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32515">
      <w:pPr>
        <w:tabs>
          <w:tab w:val="left" w:pos="7088"/>
        </w:tabs>
        <w:spacing w:line="520" w:lineRule="exact"/>
        <w:rPr>
          <w:rFonts w:ascii="仿宋_GB2312" w:eastAsia="仿宋_GB2312"/>
          <w:sz w:val="32"/>
          <w:szCs w:val="32"/>
        </w:rPr>
      </w:pPr>
      <w:r>
        <w:rPr>
          <w:rFonts w:hint="eastAsia" w:ascii="仿宋_GB2312" w:eastAsia="仿宋_GB2312"/>
          <w:sz w:val="32"/>
          <w:szCs w:val="32"/>
        </w:rPr>
        <w:t>附件1</w:t>
      </w:r>
    </w:p>
    <w:p w14:paraId="0B422C12">
      <w:pPr>
        <w:jc w:val="center"/>
        <w:rPr>
          <w:rFonts w:ascii="黑体" w:eastAsia="黑体"/>
          <w:b/>
          <w:sz w:val="36"/>
          <w:szCs w:val="36"/>
        </w:rPr>
      </w:pPr>
    </w:p>
    <w:p w14:paraId="7F0CCA46">
      <w:pPr>
        <w:jc w:val="center"/>
        <w:rPr>
          <w:rFonts w:hint="eastAsia" w:ascii="黑体" w:eastAsia="黑体"/>
          <w:b/>
          <w:sz w:val="44"/>
          <w:szCs w:val="44"/>
        </w:rPr>
      </w:pPr>
      <w:r>
        <w:rPr>
          <w:rFonts w:hint="eastAsia" w:ascii="黑体" w:eastAsia="黑体"/>
          <w:b/>
          <w:sz w:val="44"/>
          <w:szCs w:val="44"/>
        </w:rPr>
        <w:t>2016年自治区经信委专项业务经费</w:t>
      </w:r>
    </w:p>
    <w:p w14:paraId="12BDD4D5">
      <w:pPr>
        <w:jc w:val="center"/>
        <w:rPr>
          <w:rFonts w:ascii="黑体" w:eastAsia="黑体"/>
          <w:b/>
          <w:sz w:val="44"/>
          <w:szCs w:val="44"/>
        </w:rPr>
      </w:pPr>
      <w:r>
        <w:rPr>
          <w:rFonts w:hint="eastAsia" w:ascii="黑体" w:eastAsia="黑体"/>
          <w:b/>
          <w:sz w:val="44"/>
          <w:szCs w:val="44"/>
        </w:rPr>
        <w:t>绩效评价报告</w:t>
      </w:r>
    </w:p>
    <w:p w14:paraId="7F0306FE">
      <w:pPr>
        <w:rPr>
          <w:rFonts w:ascii="仿宋_GB2312" w:eastAsia="仿宋_GB2312"/>
          <w:sz w:val="32"/>
          <w:szCs w:val="32"/>
        </w:rPr>
      </w:pPr>
    </w:p>
    <w:p w14:paraId="54E975CA">
      <w:pPr>
        <w:spacing w:line="540" w:lineRule="exact"/>
        <w:ind w:firstLine="640" w:firstLineChars="200"/>
        <w:rPr>
          <w:rFonts w:ascii="黑体" w:eastAsia="黑体"/>
          <w:sz w:val="32"/>
          <w:szCs w:val="32"/>
        </w:rPr>
      </w:pPr>
      <w:r>
        <w:rPr>
          <w:rFonts w:hint="eastAsia" w:ascii="黑体" w:eastAsia="黑体"/>
          <w:sz w:val="32"/>
          <w:szCs w:val="32"/>
        </w:rPr>
        <w:t>一、专项资金概况</w:t>
      </w:r>
    </w:p>
    <w:p w14:paraId="3CDBEFF7">
      <w:pPr>
        <w:spacing w:line="540" w:lineRule="exact"/>
        <w:ind w:firstLine="640" w:firstLineChars="200"/>
        <w:rPr>
          <w:rFonts w:ascii="仿宋_GB2312" w:eastAsia="仿宋_GB2312"/>
          <w:sz w:val="32"/>
          <w:szCs w:val="32"/>
        </w:rPr>
      </w:pPr>
      <w:r>
        <w:rPr>
          <w:rFonts w:hint="eastAsia" w:ascii="仿宋_GB2312" w:eastAsia="仿宋_GB2312"/>
          <w:sz w:val="32"/>
          <w:szCs w:val="32"/>
        </w:rPr>
        <w:t>专项资金名称：经信委专项业务经费</w:t>
      </w:r>
    </w:p>
    <w:p w14:paraId="4809C7A8">
      <w:pPr>
        <w:spacing w:line="540" w:lineRule="exact"/>
        <w:ind w:firstLine="640" w:firstLineChars="200"/>
        <w:rPr>
          <w:rFonts w:ascii="仿宋_GB2312" w:eastAsia="仿宋_GB2312"/>
          <w:sz w:val="32"/>
          <w:szCs w:val="32"/>
        </w:rPr>
      </w:pPr>
      <w:r>
        <w:rPr>
          <w:rFonts w:hint="eastAsia" w:ascii="仿宋_GB2312" w:eastAsia="仿宋_GB2312"/>
          <w:sz w:val="32"/>
          <w:szCs w:val="32"/>
        </w:rPr>
        <w:t>资金规模：959万元</w:t>
      </w:r>
    </w:p>
    <w:p w14:paraId="3EEEECE7">
      <w:pPr>
        <w:spacing w:line="540" w:lineRule="exact"/>
        <w:ind w:firstLine="640" w:firstLineChars="200"/>
        <w:rPr>
          <w:rFonts w:ascii="仿宋_GB2312" w:eastAsia="仿宋_GB2312"/>
          <w:sz w:val="32"/>
          <w:szCs w:val="32"/>
        </w:rPr>
      </w:pPr>
      <w:r>
        <w:rPr>
          <w:rFonts w:hint="eastAsia" w:ascii="仿宋_GB2312" w:eastAsia="仿宋_GB2312"/>
          <w:sz w:val="32"/>
          <w:szCs w:val="32"/>
        </w:rPr>
        <w:t>主管单位：</w:t>
      </w:r>
      <w:r>
        <w:rPr>
          <w:rFonts w:hint="eastAsia" w:ascii="仿宋_GB2312" w:eastAsia="仿宋_GB2312"/>
          <w:sz w:val="32"/>
          <w:szCs w:val="32"/>
          <w:lang w:eastAsia="zh-CN"/>
        </w:rPr>
        <w:t>新疆维吾尔自治区</w:t>
      </w:r>
      <w:r>
        <w:rPr>
          <w:rFonts w:hint="eastAsia" w:ascii="仿宋_GB2312" w:eastAsia="仿宋_GB2312"/>
          <w:sz w:val="32"/>
          <w:szCs w:val="32"/>
        </w:rPr>
        <w:t>经信委</w:t>
      </w:r>
    </w:p>
    <w:p w14:paraId="1BAC34DF">
      <w:pPr>
        <w:spacing w:line="540" w:lineRule="exact"/>
        <w:ind w:firstLine="640" w:firstLineChars="200"/>
        <w:rPr>
          <w:rFonts w:ascii="仿宋_GB2312" w:eastAsia="仿宋_GB2312"/>
          <w:sz w:val="32"/>
          <w:szCs w:val="32"/>
        </w:rPr>
      </w:pPr>
      <w:r>
        <w:rPr>
          <w:rFonts w:hint="eastAsia" w:ascii="仿宋_GB2312" w:eastAsia="仿宋_GB2312"/>
          <w:sz w:val="32"/>
          <w:szCs w:val="32"/>
        </w:rPr>
        <w:t>立项依据：自治区财政厅印发《关于下达2016年自治区本级预算单位部门预算的通知》（新财预[2016]1号）。</w:t>
      </w:r>
    </w:p>
    <w:p w14:paraId="32F6D925">
      <w:pPr>
        <w:spacing w:line="540" w:lineRule="exact"/>
        <w:ind w:firstLine="640" w:firstLineChars="200"/>
        <w:rPr>
          <w:rFonts w:ascii="仿宋_GB2312" w:eastAsia="仿宋_GB2312"/>
          <w:sz w:val="32"/>
          <w:szCs w:val="32"/>
        </w:rPr>
      </w:pPr>
      <w:r>
        <w:rPr>
          <w:rFonts w:hint="eastAsia" w:ascii="仿宋_GB2312" w:eastAsia="仿宋_GB2312"/>
          <w:sz w:val="32"/>
          <w:szCs w:val="32"/>
        </w:rPr>
        <w:t>设立时间：2011年1月</w:t>
      </w:r>
    </w:p>
    <w:p w14:paraId="673507F9">
      <w:pPr>
        <w:spacing w:line="540" w:lineRule="exact"/>
        <w:ind w:firstLine="640" w:firstLineChars="200"/>
        <w:rPr>
          <w:rFonts w:ascii="黑体" w:eastAsia="黑体"/>
          <w:sz w:val="32"/>
          <w:szCs w:val="32"/>
        </w:rPr>
      </w:pPr>
      <w:r>
        <w:rPr>
          <w:rFonts w:hint="eastAsia" w:ascii="黑体" w:eastAsia="黑体"/>
          <w:sz w:val="32"/>
          <w:szCs w:val="32"/>
        </w:rPr>
        <w:t>二、绩效目标</w:t>
      </w:r>
    </w:p>
    <w:p w14:paraId="7B6386CB">
      <w:pPr>
        <w:spacing w:line="540" w:lineRule="exact"/>
        <w:ind w:firstLine="640" w:firstLineChars="200"/>
        <w:rPr>
          <w:rFonts w:ascii="仿宋_GB2312" w:eastAsia="仿宋_GB2312"/>
          <w:sz w:val="32"/>
          <w:szCs w:val="32"/>
        </w:rPr>
      </w:pPr>
      <w:r>
        <w:rPr>
          <w:rFonts w:hint="eastAsia" w:ascii="仿宋_GB2312" w:eastAsia="仿宋_GB2312"/>
          <w:sz w:val="32"/>
          <w:szCs w:val="32"/>
        </w:rPr>
        <w:t>（一）资金设立的目的</w:t>
      </w:r>
    </w:p>
    <w:p w14:paraId="56B64E23">
      <w:pPr>
        <w:spacing w:line="540" w:lineRule="exact"/>
        <w:ind w:firstLine="640" w:firstLineChars="200"/>
        <w:rPr>
          <w:rFonts w:ascii="仿宋_GB2312" w:eastAsia="仿宋_GB2312"/>
          <w:sz w:val="32"/>
          <w:szCs w:val="32"/>
        </w:rPr>
      </w:pPr>
      <w:r>
        <w:rPr>
          <w:rFonts w:hint="eastAsia" w:ascii="仿宋_GB2312" w:eastAsia="仿宋_GB2312"/>
          <w:sz w:val="32"/>
          <w:szCs w:val="32"/>
        </w:rPr>
        <w:t>1、开展三级联动入企帮扶活动，制定“1+N”工作方案，在全疆经信系统层层签订目标责任书，指导各地制定困难企业“一企一策”工作方案。</w:t>
      </w:r>
    </w:p>
    <w:p w14:paraId="55B0F1C6">
      <w:pPr>
        <w:spacing w:line="540" w:lineRule="exact"/>
        <w:ind w:firstLine="640" w:firstLineChars="200"/>
        <w:rPr>
          <w:rFonts w:ascii="仿宋_GB2312" w:eastAsia="仿宋_GB2312"/>
          <w:sz w:val="32"/>
          <w:szCs w:val="32"/>
        </w:rPr>
      </w:pPr>
      <w:r>
        <w:rPr>
          <w:rFonts w:hint="eastAsia" w:ascii="仿宋_GB2312" w:eastAsia="仿宋_GB2312"/>
          <w:sz w:val="32"/>
          <w:szCs w:val="32"/>
        </w:rPr>
        <w:t>2对南疆三地州中小企业技术工人免费培训，提高南疆三地州中小企业技术工人技能水平，提升三地州中小企业竞争力，促进南疆三地州就业。</w:t>
      </w:r>
    </w:p>
    <w:p w14:paraId="4A43DBD1">
      <w:pPr>
        <w:spacing w:line="540" w:lineRule="exact"/>
        <w:ind w:firstLine="640" w:firstLineChars="200"/>
        <w:rPr>
          <w:rFonts w:ascii="仿宋_GB2312" w:eastAsia="仿宋_GB2312"/>
          <w:sz w:val="32"/>
          <w:szCs w:val="32"/>
        </w:rPr>
      </w:pPr>
      <w:r>
        <w:rPr>
          <w:rFonts w:hint="eastAsia" w:ascii="仿宋_GB2312" w:eastAsia="仿宋_GB2312"/>
          <w:sz w:val="32"/>
          <w:szCs w:val="32"/>
        </w:rPr>
        <w:t>3.做好无线电专网运行保障工作。无线电专网项目是无线电管理信息化建设的高速路，是实现全区无线电管理信息化的基础，它承载全区重要的无线电管理台站和监测等敏数据的传输、管理和保存，是实现重要信息和数据上报至国家无线电监测中心，是开展全区无线电监测联网，及时查处非法信号的保障，是正在实施的全区无线电管理一体化应用系统顺利运行的重要保障。</w:t>
      </w:r>
    </w:p>
    <w:p w14:paraId="01D31568">
      <w:pPr>
        <w:spacing w:line="540" w:lineRule="exact"/>
        <w:ind w:firstLine="640" w:firstLineChars="200"/>
        <w:rPr>
          <w:rFonts w:ascii="仿宋_GB2312" w:eastAsia="仿宋_GB2312"/>
          <w:sz w:val="32"/>
          <w:szCs w:val="32"/>
        </w:rPr>
      </w:pPr>
      <w:r>
        <w:rPr>
          <w:rFonts w:hint="eastAsia" w:ascii="仿宋_GB2312" w:eastAsia="仿宋_GB2312"/>
          <w:sz w:val="32"/>
          <w:szCs w:val="32"/>
        </w:rPr>
        <w:t>4.多措并举，做好经信委干部各类管理类培训、短期适应性业务培训、公务员业务知识更新培训等，在培训内容上，突出当代政治、经济、科技、法律知识和适应世界经济一体化的技能培训，增强经济管理干部驾驭市场经济的素质和能力、服务新型工业化的能力。</w:t>
      </w:r>
    </w:p>
    <w:p w14:paraId="4067F6E9">
      <w:pPr>
        <w:spacing w:line="540" w:lineRule="exact"/>
        <w:ind w:firstLine="640" w:firstLineChars="200"/>
        <w:rPr>
          <w:rFonts w:ascii="仿宋_GB2312" w:eastAsia="仿宋_GB2312"/>
          <w:sz w:val="32"/>
          <w:szCs w:val="32"/>
        </w:rPr>
      </w:pPr>
      <w:r>
        <w:rPr>
          <w:rFonts w:hint="eastAsia" w:ascii="仿宋_GB2312" w:eastAsia="仿宋_GB2312"/>
          <w:sz w:val="32"/>
          <w:szCs w:val="32"/>
        </w:rPr>
        <w:t>5做好经信委系统和民爆行业安全生产管理工作，配合政府安全生产主管部门对相关行业进行安全生产宣传、检查、分析工作。全疆民爆器材安全生产、销售，黄金、军工、电力、委属行办、直属院校的安全生产及管理工作。</w:t>
      </w:r>
    </w:p>
    <w:p w14:paraId="4479F3C3">
      <w:pPr>
        <w:spacing w:line="540" w:lineRule="exact"/>
        <w:ind w:firstLine="640" w:firstLineChars="200"/>
        <w:rPr>
          <w:rFonts w:ascii="仿宋_GB2312" w:eastAsia="仿宋_GB2312"/>
          <w:sz w:val="32"/>
          <w:szCs w:val="32"/>
        </w:rPr>
      </w:pPr>
      <w:r>
        <w:rPr>
          <w:rFonts w:hint="eastAsia" w:ascii="仿宋_GB2312" w:eastAsia="仿宋_GB2312"/>
          <w:sz w:val="32"/>
          <w:szCs w:val="32"/>
        </w:rPr>
        <w:t>6.按照建立政府购买行业协会服务的制度，经信委作为所属系统行业协会的业务主管部门，对行业协会受政府委托开展业务活动或提供的服务，申请政府应支付相应的费用，所需资金纳入预算管理。</w:t>
      </w:r>
    </w:p>
    <w:p w14:paraId="25EA262A">
      <w:pPr>
        <w:spacing w:line="540" w:lineRule="exact"/>
        <w:ind w:firstLine="640" w:firstLineChars="200"/>
        <w:rPr>
          <w:rFonts w:ascii="仿宋_GB2312" w:eastAsia="仿宋_GB2312"/>
          <w:sz w:val="32"/>
          <w:szCs w:val="32"/>
        </w:rPr>
      </w:pPr>
      <w:r>
        <w:rPr>
          <w:rFonts w:hint="eastAsia" w:ascii="仿宋_GB2312" w:eastAsia="仿宋_GB2312"/>
          <w:sz w:val="32"/>
          <w:szCs w:val="32"/>
        </w:rPr>
        <w:t>（二）资金主要用途</w:t>
      </w:r>
    </w:p>
    <w:p w14:paraId="6A5848D9">
      <w:pPr>
        <w:spacing w:line="540" w:lineRule="exact"/>
        <w:ind w:firstLine="640" w:firstLineChars="200"/>
        <w:rPr>
          <w:rFonts w:ascii="仿宋_GB2312" w:eastAsia="仿宋_GB2312"/>
          <w:sz w:val="32"/>
          <w:szCs w:val="32"/>
        </w:rPr>
      </w:pPr>
      <w:r>
        <w:rPr>
          <w:rFonts w:hint="eastAsia" w:ascii="仿宋_GB2312" w:eastAsia="仿宋_GB2312"/>
          <w:sz w:val="32"/>
          <w:szCs w:val="32"/>
        </w:rPr>
        <w:t>开展三级联动入企帮扶活动，深入地州调研，制定“1+N”工作方案，在全疆经信系统层层签订目标责任书。用于对南疆三地州中小企业技术工人免费培训相关费用，包括教授授课差旅费、讲课费、场地租赁费、技能鉴定及取证费用等。无线电专网项目开通长途电路和本地电路移动、电信月租费，长途电路包含至国家无线电监测中心和十五个地州市无线电管理局的长途专线，本地电路包含至乌鲁木齐市重要区域固定监测站和指挥控制中心。用于经信委系统涉及轻工、化工、机电、纺织、建材、院校、无线电管理等所属部门，每年需进行各类行业专业培训约2000名人次的培训费用。对安全生产隐患整改、应急救援、监控防治、宣传、教育培训等项目，应急救援预案制作、应急设施配备与演练;民爆器材安全生产、销售许可及现场监督管理等费用。对行业协会受政府委托开展行业统计、创办报刊和网站、组织业务培训，参与行业资质认证、新技术和新产品鉴定及推广、事故认定等相关业务活动或提供的服务费用。</w:t>
      </w:r>
    </w:p>
    <w:p w14:paraId="441C1F92">
      <w:pPr>
        <w:spacing w:line="540" w:lineRule="exact"/>
        <w:ind w:firstLine="640" w:firstLineChars="200"/>
        <w:rPr>
          <w:rFonts w:ascii="仿宋_GB2312" w:eastAsia="仿宋_GB2312"/>
          <w:sz w:val="32"/>
          <w:szCs w:val="32"/>
        </w:rPr>
      </w:pPr>
      <w:r>
        <w:rPr>
          <w:rFonts w:hint="eastAsia" w:ascii="仿宋_GB2312" w:eastAsia="仿宋_GB2312"/>
          <w:sz w:val="32"/>
          <w:szCs w:val="32"/>
        </w:rPr>
        <w:t>（三）预期经济社会效益</w:t>
      </w:r>
    </w:p>
    <w:p w14:paraId="6B67E29F">
      <w:pPr>
        <w:spacing w:line="540" w:lineRule="exact"/>
        <w:ind w:firstLine="640" w:firstLineChars="200"/>
        <w:rPr>
          <w:rFonts w:ascii="仿宋_GB2312" w:eastAsia="仿宋_GB2312"/>
          <w:sz w:val="32"/>
          <w:szCs w:val="32"/>
        </w:rPr>
      </w:pPr>
      <w:r>
        <w:rPr>
          <w:rFonts w:hint="eastAsia" w:ascii="仿宋_GB2312" w:eastAsia="仿宋_GB2312"/>
          <w:sz w:val="32"/>
          <w:szCs w:val="32"/>
        </w:rPr>
        <w:t>率先出台落实自治区12个方面60条措施的34条工业稳增长政策，指导各地制定困难企业“一企一策”工作方案，及时帮助企业解决生产经营中的突出困难，力促进我区工业经济缓中趋稳。</w:t>
      </w:r>
      <w:r>
        <w:rPr>
          <w:rFonts w:hint="eastAsia" w:ascii="仿宋_GB2312" w:eastAsia="仿宋_GB2312" w:cs="宋体"/>
          <w:kern w:val="0"/>
          <w:sz w:val="32"/>
          <w:szCs w:val="32"/>
        </w:rPr>
        <w:t>通过</w:t>
      </w:r>
      <w:r>
        <w:rPr>
          <w:rFonts w:hint="eastAsia" w:ascii="仿宋_GB2312" w:eastAsia="仿宋_GB2312"/>
          <w:sz w:val="32"/>
          <w:szCs w:val="32"/>
        </w:rPr>
        <w:t>为南疆三地州中小企业技术工人免费培训，提高技术工人技能水平和综合素质，提升南疆三地州中小企业竞争能力，推动南疆三地州经济发展，社会稳定，促进就业。确保无线电监测、台站管理、内网邮件的收发、视频会议系统的联网通畅，保障无线电各类业监测和业务系统运行正常和无线电重要数据管理，也为民航、铁路、公安、武警等重要部门无线电通信提供安全保障。建立委系统人才培训平台，组建自己的培训师资队伍，为新型工业化建设提供智力支持和人才保障。加强对行业和系统重大危险源监控、重大事故隐患整改的安全技术措施；安全生产技术创新、产业技术成果转化项目及其推广应用；改善设施设备安全运行条件等项目进行安全监督检查。严格我区民用爆炸物品生产、销售许可和安全许可的监管，确保我区的社会稳定。充分发挥行业协会桥梁和纽带作用，完善行业管理，促进行业发展，加强行业自律，大力推动行业诚信建设，建立完善行业自律约束机制，维护公平竞争的市场环境。</w:t>
      </w:r>
    </w:p>
    <w:p w14:paraId="33051932">
      <w:pPr>
        <w:spacing w:line="540" w:lineRule="exact"/>
        <w:ind w:firstLine="640" w:firstLineChars="200"/>
        <w:rPr>
          <w:rFonts w:ascii="黑体" w:eastAsia="黑体"/>
          <w:sz w:val="32"/>
          <w:szCs w:val="32"/>
        </w:rPr>
      </w:pPr>
      <w:r>
        <w:rPr>
          <w:rFonts w:hint="eastAsia" w:ascii="黑体" w:eastAsia="黑体"/>
          <w:sz w:val="32"/>
          <w:szCs w:val="32"/>
        </w:rPr>
        <w:t>三、考评结果</w:t>
      </w:r>
    </w:p>
    <w:p w14:paraId="7951B8A2">
      <w:pPr>
        <w:spacing w:line="540" w:lineRule="exact"/>
        <w:ind w:firstLine="640" w:firstLineChars="200"/>
        <w:rPr>
          <w:rFonts w:ascii="仿宋_GB2312" w:eastAsia="仿宋_GB2312"/>
          <w:sz w:val="32"/>
          <w:szCs w:val="32"/>
        </w:rPr>
      </w:pPr>
      <w:r>
        <w:rPr>
          <w:rFonts w:hint="eastAsia" w:ascii="仿宋_GB2312" w:eastAsia="仿宋_GB2312"/>
          <w:sz w:val="32"/>
          <w:szCs w:val="32"/>
        </w:rPr>
        <w:t>（一）专项资金分配方面</w:t>
      </w:r>
    </w:p>
    <w:p w14:paraId="72A65A0C">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按照自治区财政部门下达的部门预算执行统一管理、突出重点、力求节约、注重实效的原则。其中：“”三级联动入企帮扶活动“经费占专项业务总经费2%、南疆三地州中小企业技术工人免费培训经费占专项业务总经费10%、保稳定、促民生南疆专项经费占专项业务总经费的16%、第二十五届中国儿童青少年计算机表演赛专项经费占专项业务总经费的3%、无线电专网项目开通长途电路和本地电路移动、电信月租费、办公设施维护费占专项业务总经费30%、18届工博会展位搭建及保障服务经费占专项业务总经费10%、第九届APEC中小企业技术交流展览会等经费支出占专项业务总经费5%、经信委系统干部培训等经费占专项业务总经费20%、自治区民爆行业安全生产监督管理专项工作经费占专项业务总经费1%、行业协会服务工作专项经费占专项业务总经费1%。</w:t>
      </w:r>
    </w:p>
    <w:p w14:paraId="0EC35551">
      <w:pPr>
        <w:spacing w:line="540" w:lineRule="exact"/>
        <w:ind w:firstLine="640" w:firstLineChars="200"/>
        <w:rPr>
          <w:rFonts w:ascii="仿宋_GB2312" w:eastAsia="仿宋_GB2312"/>
          <w:sz w:val="32"/>
          <w:szCs w:val="32"/>
        </w:rPr>
      </w:pPr>
      <w:r>
        <w:rPr>
          <w:rFonts w:hint="eastAsia" w:ascii="仿宋_GB2312" w:eastAsia="仿宋_GB2312"/>
          <w:sz w:val="32"/>
          <w:szCs w:val="32"/>
        </w:rPr>
        <w:t>（二）专项资金的管理方面</w:t>
      </w:r>
    </w:p>
    <w:p w14:paraId="35135429">
      <w:pPr>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坚持严格预算、统一管理、专款专用。先由各相关业务部门分别编制专项资金项目预算申报书，经经信委审核后，与年度部门预算汇总报送财政部门审批，经自治区批复下达经信委机关统一管理；委机关按照资金使用方向委托相关业务部门按照预算合理使用资金，并分部门、项目进行会计辅助核算，做到专款专用。</w:t>
      </w:r>
    </w:p>
    <w:p w14:paraId="6EE8C48A">
      <w:pPr>
        <w:spacing w:line="540" w:lineRule="exact"/>
        <w:ind w:firstLine="640" w:firstLineChars="200"/>
        <w:rPr>
          <w:rFonts w:ascii="仿宋_GB2312" w:eastAsia="仿宋_GB2312"/>
          <w:sz w:val="32"/>
          <w:szCs w:val="32"/>
        </w:rPr>
      </w:pPr>
      <w:r>
        <w:rPr>
          <w:rFonts w:hint="eastAsia" w:ascii="仿宋_GB2312" w:eastAsia="仿宋_GB2312"/>
          <w:sz w:val="32"/>
          <w:szCs w:val="32"/>
        </w:rPr>
        <w:t>（三）专项资金使用情况及效益方面</w:t>
      </w:r>
    </w:p>
    <w:p w14:paraId="2FB3B9FB">
      <w:pPr>
        <w:spacing w:line="540" w:lineRule="exact"/>
        <w:ind w:firstLine="640" w:firstLineChars="200"/>
        <w:rPr>
          <w:rFonts w:ascii="仿宋_GB2312" w:eastAsia="仿宋_GB2312"/>
          <w:sz w:val="32"/>
          <w:szCs w:val="32"/>
        </w:rPr>
      </w:pPr>
      <w:r>
        <w:rPr>
          <w:rFonts w:hint="eastAsia" w:ascii="仿宋_GB2312" w:eastAsia="仿宋_GB2312"/>
          <w:sz w:val="32"/>
          <w:szCs w:val="32"/>
        </w:rPr>
        <w:t>1. 率先出台落实自治区12个方面60条措施的34条工业稳增长政策，制定“1+N”工作方案，在全疆经信系统层层签订目标责任书，指导各地制定困难企业“一企一策”工作方案，及时帮助企业解决生产经营中的突出困难，促进了我区工业经济缓中趋稳。</w:t>
      </w:r>
    </w:p>
    <w:p w14:paraId="2A7218DC">
      <w:pPr>
        <w:spacing w:line="540" w:lineRule="exact"/>
        <w:ind w:firstLine="640" w:firstLineChars="200"/>
        <w:rPr>
          <w:rFonts w:ascii="仿宋_GB2312" w:eastAsia="仿宋_GB2312"/>
          <w:sz w:val="32"/>
          <w:szCs w:val="32"/>
        </w:rPr>
      </w:pPr>
      <w:r>
        <w:rPr>
          <w:rFonts w:hint="eastAsia" w:ascii="仿宋_GB2312" w:eastAsia="仿宋_GB2312"/>
          <w:sz w:val="32"/>
          <w:szCs w:val="32"/>
        </w:rPr>
        <w:t>2、2016年通过提供免费培训加强南疆三地州中小企业职工培训，对企业职工提高素质、掌握一技之长，增强就业能力、职业转换能力和创业能力有着重要作用，对于提高中小企业竞争力、促进和稳定当地就业也有着积极的促进作用。</w:t>
      </w:r>
    </w:p>
    <w:p w14:paraId="3D32C249">
      <w:pPr>
        <w:spacing w:line="560" w:lineRule="exact"/>
        <w:ind w:firstLine="640" w:firstLineChars="200"/>
        <w:rPr>
          <w:rFonts w:ascii="仿宋_GB2312" w:eastAsia="仿宋_GB2312"/>
          <w:sz w:val="32"/>
          <w:szCs w:val="32"/>
        </w:rPr>
      </w:pPr>
      <w:r>
        <w:rPr>
          <w:rFonts w:hint="eastAsia" w:ascii="仿宋_GB2312" w:eastAsia="仿宋_GB2312"/>
          <w:sz w:val="32"/>
          <w:szCs w:val="32"/>
        </w:rPr>
        <w:t>3.无线电专网项目开通长途电路和本地电路移动、电信月租费。长途电路包含至国家无线电监测中心和十五个地州市无线电管理局的长途专线，实现了全区内网语音电话系统、邮件系统、应急通信系统、远程培训和视频会议系统、办公自动化系统、业务管理系统、固定资产管理系统以及全区无线电台站和监测数据集中存储和调用，保证无线电管理应用系统和数据的安全。本地电路包含至乌鲁木齐市重要区域固定监测站和指挥控制中心，遥控各固定监测站进行工作及时发现非法信号并将监测结果和数据回传至指挥控制中心，以便于快速排查工作。</w:t>
      </w:r>
    </w:p>
    <w:p w14:paraId="77D153A9">
      <w:pPr>
        <w:spacing w:line="560" w:lineRule="exact"/>
        <w:ind w:firstLine="640" w:firstLineChars="200"/>
        <w:rPr>
          <w:rFonts w:ascii="仿宋_GB2312" w:eastAsia="仿宋_GB2312"/>
          <w:sz w:val="32"/>
          <w:szCs w:val="32"/>
        </w:rPr>
      </w:pPr>
      <w:r>
        <w:rPr>
          <w:rFonts w:hint="eastAsia" w:ascii="仿宋_GB2312" w:eastAsia="仿宋_GB2312"/>
          <w:sz w:val="32"/>
          <w:szCs w:val="32"/>
        </w:rPr>
        <w:t>4．经信委系统干部培训经费。主要用于经信委系统各类专业培训费用、专业培训材料费用。增强了经济管理干部驾驭市场经济的素质和能力、服务新型工业化的能力，为我区支柱产业优化升级贡献力量。尤其是高学历、高技能、复合型、国际型人才的数量和比重有明显增加，为我区经济和社会发展提供强有力的人才保证和智力支持。</w:t>
      </w:r>
    </w:p>
    <w:p w14:paraId="3B05E21C">
      <w:pPr>
        <w:spacing w:line="540" w:lineRule="exact"/>
        <w:ind w:firstLine="640" w:firstLineChars="200"/>
        <w:rPr>
          <w:rFonts w:ascii="仿宋_GB2312" w:eastAsia="仿宋_GB2312"/>
          <w:sz w:val="32"/>
          <w:szCs w:val="32"/>
        </w:rPr>
      </w:pPr>
      <w:r>
        <w:rPr>
          <w:rFonts w:hint="eastAsia" w:ascii="仿宋_GB2312" w:eastAsia="仿宋_GB2312"/>
          <w:sz w:val="32"/>
          <w:szCs w:val="32"/>
        </w:rPr>
        <w:t>5．自治区民爆行业安全生产监督管理专项工作经费主要用于组织民用爆炸物品安全生产许可证、销售许可证企业的现场审查、审核、上报，相关的资料工本费、差旅费、车辆运行交通费，专家检查、考核、评审等费用。对行业和系统重大危险源监控、重大事故隐患整改的安全技术措施；安全生产技术创新、产业技术成果转化项目及其推广应用；改善设施设备安全运行条件等项目进行了安全监督检查。严格我区民用爆炸物品生产、销售许可和安全许可的监管，确保我区的社会稳定。</w:t>
      </w:r>
    </w:p>
    <w:p w14:paraId="7D8B171E">
      <w:pPr>
        <w:spacing w:line="540" w:lineRule="exact"/>
        <w:ind w:firstLine="640" w:firstLineChars="200"/>
        <w:rPr>
          <w:rFonts w:ascii="仿宋_GB2312" w:eastAsia="仿宋_GB2312"/>
          <w:sz w:val="32"/>
          <w:szCs w:val="32"/>
        </w:rPr>
      </w:pPr>
      <w:r>
        <w:rPr>
          <w:rFonts w:hint="eastAsia" w:ascii="仿宋_GB2312" w:eastAsia="仿宋_GB2312"/>
          <w:sz w:val="32"/>
          <w:szCs w:val="32"/>
        </w:rPr>
        <w:t>6、行业协会服务工作专项经费主要用于建立专家队伍，分析评估，提供咨询服务、行业协会业务培训费用、调研差旅费等。积极帮助企业开拓国际市场，实行政会分开，改革和完善监管方式，调整、优化结构和布局，完善促进行业协会发展的政策措施。</w:t>
      </w:r>
    </w:p>
    <w:p w14:paraId="05D8150D">
      <w:pPr>
        <w:spacing w:line="520" w:lineRule="exact"/>
        <w:rPr>
          <w:rFonts w:hint="eastAsia" w:ascii="黑体" w:eastAsia="黑体"/>
          <w:sz w:val="32"/>
          <w:szCs w:val="32"/>
        </w:rPr>
      </w:pPr>
    </w:p>
    <w:p w14:paraId="24A3D305">
      <w:pPr>
        <w:spacing w:line="520" w:lineRule="exact"/>
        <w:rPr>
          <w:rFonts w:hint="eastAsia" w:ascii="黑体" w:eastAsia="黑体"/>
          <w:sz w:val="32"/>
          <w:szCs w:val="32"/>
        </w:rPr>
      </w:pPr>
    </w:p>
    <w:p w14:paraId="0B8F5B1F">
      <w:pPr>
        <w:spacing w:line="520" w:lineRule="exact"/>
        <w:rPr>
          <w:rFonts w:ascii="黑体" w:eastAsia="黑体"/>
          <w:sz w:val="32"/>
          <w:szCs w:val="32"/>
        </w:rPr>
      </w:pPr>
    </w:p>
    <w:p w14:paraId="79405DC2">
      <w:pPr>
        <w:tabs>
          <w:tab w:val="left" w:pos="7088"/>
        </w:tabs>
        <w:spacing w:line="520" w:lineRule="exact"/>
        <w:rPr>
          <w:rFonts w:ascii="仿宋_GB2312" w:eastAsia="仿宋_GB2312"/>
          <w:sz w:val="32"/>
          <w:szCs w:val="32"/>
        </w:rPr>
      </w:pPr>
      <w:r>
        <w:rPr>
          <w:rFonts w:hint="eastAsia" w:ascii="仿宋_GB2312" w:eastAsia="仿宋_GB2312"/>
          <w:sz w:val="32"/>
          <w:szCs w:val="32"/>
        </w:rPr>
        <w:t>附件2</w:t>
      </w:r>
    </w:p>
    <w:p w14:paraId="6F43A048">
      <w:pPr>
        <w:spacing w:line="520" w:lineRule="exact"/>
        <w:rPr>
          <w:rFonts w:ascii="黑体" w:eastAsia="黑体"/>
          <w:sz w:val="32"/>
          <w:szCs w:val="32"/>
        </w:rPr>
      </w:pPr>
    </w:p>
    <w:p w14:paraId="56BC9D97">
      <w:pPr>
        <w:jc w:val="center"/>
        <w:rPr>
          <w:rFonts w:ascii="黑体" w:hAnsi="黑体" w:eastAsia="黑体"/>
          <w:sz w:val="44"/>
          <w:szCs w:val="44"/>
        </w:rPr>
      </w:pPr>
      <w:r>
        <w:rPr>
          <w:rFonts w:hint="eastAsia" w:ascii="黑体" w:hAnsi="黑体" w:eastAsia="黑体"/>
          <w:sz w:val="44"/>
          <w:szCs w:val="44"/>
        </w:rPr>
        <w:t>2016年新疆维吾尔自治区工业经济和信息化研究院专项业务经费绩效评价报告</w:t>
      </w:r>
    </w:p>
    <w:p w14:paraId="5781BDFC">
      <w:pPr>
        <w:jc w:val="center"/>
        <w:rPr>
          <w:rFonts w:ascii="黑体" w:hAnsi="黑体" w:eastAsia="黑体"/>
          <w:sz w:val="36"/>
          <w:szCs w:val="36"/>
        </w:rPr>
      </w:pPr>
    </w:p>
    <w:p w14:paraId="290C3C7A">
      <w:pPr>
        <w:spacing w:line="540" w:lineRule="exact"/>
        <w:ind w:firstLine="640" w:firstLineChars="200"/>
        <w:rPr>
          <w:rFonts w:ascii="仿宋_GB2312" w:eastAsia="仿宋_GB2312"/>
          <w:sz w:val="32"/>
          <w:szCs w:val="32"/>
        </w:rPr>
      </w:pPr>
      <w:r>
        <w:rPr>
          <w:rFonts w:hint="eastAsia" w:ascii="仿宋_GB2312" w:eastAsia="仿宋_GB2312"/>
          <w:sz w:val="32"/>
          <w:szCs w:val="32"/>
        </w:rPr>
        <w:t>一、专项资金概况</w:t>
      </w:r>
    </w:p>
    <w:p w14:paraId="5123C427">
      <w:pPr>
        <w:ind w:firstLine="640" w:firstLineChars="200"/>
        <w:rPr>
          <w:rFonts w:ascii="仿宋_GB2312" w:eastAsia="仿宋_GB2312"/>
          <w:sz w:val="32"/>
          <w:szCs w:val="32"/>
        </w:rPr>
      </w:pPr>
      <w:r>
        <w:rPr>
          <w:rFonts w:hint="eastAsia" w:ascii="仿宋_GB2312" w:eastAsia="仿宋_GB2312"/>
          <w:sz w:val="32"/>
          <w:szCs w:val="32"/>
        </w:rPr>
        <w:t>专项资金名称：新疆维吾尔自治区工业经济和信息化研究院2016年推动食品工业精品品牌工程工作经费</w:t>
      </w:r>
    </w:p>
    <w:p w14:paraId="74CD53D5">
      <w:pPr>
        <w:spacing w:line="540" w:lineRule="exact"/>
        <w:ind w:firstLine="640" w:firstLineChars="200"/>
        <w:rPr>
          <w:rFonts w:ascii="仿宋_GB2312" w:eastAsia="仿宋_GB2312"/>
          <w:sz w:val="32"/>
          <w:szCs w:val="32"/>
        </w:rPr>
      </w:pPr>
      <w:r>
        <w:rPr>
          <w:rFonts w:hint="eastAsia" w:ascii="仿宋_GB2312" w:eastAsia="仿宋_GB2312"/>
          <w:sz w:val="32"/>
          <w:szCs w:val="32"/>
        </w:rPr>
        <w:t>资金规模：30万元</w:t>
      </w:r>
    </w:p>
    <w:p w14:paraId="49B8C467">
      <w:pPr>
        <w:spacing w:line="540" w:lineRule="exact"/>
        <w:ind w:firstLine="640" w:firstLineChars="200"/>
        <w:rPr>
          <w:rFonts w:ascii="仿宋_GB2312" w:eastAsia="仿宋_GB2312"/>
          <w:sz w:val="32"/>
          <w:szCs w:val="32"/>
        </w:rPr>
      </w:pPr>
      <w:r>
        <w:rPr>
          <w:rFonts w:hint="eastAsia" w:ascii="仿宋_GB2312" w:eastAsia="仿宋_GB2312"/>
          <w:sz w:val="32"/>
          <w:szCs w:val="32"/>
        </w:rPr>
        <w:t>主管单位：新疆维吾尔自治区经信委</w:t>
      </w:r>
    </w:p>
    <w:p w14:paraId="6A75D7ED">
      <w:pPr>
        <w:ind w:firstLine="640" w:firstLineChars="200"/>
        <w:rPr>
          <w:rFonts w:ascii="仿宋_GB2312" w:eastAsia="仿宋_GB2312"/>
          <w:sz w:val="32"/>
          <w:szCs w:val="32"/>
        </w:rPr>
      </w:pPr>
      <w:r>
        <w:rPr>
          <w:rFonts w:hint="eastAsia" w:ascii="仿宋_GB2312" w:eastAsia="仿宋_GB2312"/>
          <w:sz w:val="32"/>
          <w:szCs w:val="32"/>
        </w:rPr>
        <w:t>立项依据：自治区财政厅印发《关于拨付自治区推动食品工业精品品牌工程建设领导小组办公室工作经费的通知》（新财企【2016年】79号）。</w:t>
      </w:r>
    </w:p>
    <w:p w14:paraId="733F1DC0">
      <w:pPr>
        <w:spacing w:line="540" w:lineRule="exact"/>
        <w:ind w:firstLine="640" w:firstLineChars="200"/>
        <w:rPr>
          <w:rFonts w:ascii="仿宋_GB2312" w:eastAsia="仿宋_GB2312"/>
          <w:sz w:val="32"/>
          <w:szCs w:val="32"/>
        </w:rPr>
      </w:pPr>
      <w:r>
        <w:rPr>
          <w:rFonts w:hint="eastAsia" w:ascii="仿宋_GB2312" w:eastAsia="仿宋_GB2312"/>
          <w:sz w:val="32"/>
          <w:szCs w:val="32"/>
        </w:rPr>
        <w:t>设立时间：2016年7月</w:t>
      </w:r>
    </w:p>
    <w:p w14:paraId="700098A1">
      <w:pPr>
        <w:spacing w:line="540" w:lineRule="exact"/>
        <w:ind w:firstLine="640" w:firstLineChars="200"/>
        <w:rPr>
          <w:rFonts w:ascii="仿宋_GB2312" w:eastAsia="仿宋_GB2312"/>
          <w:sz w:val="32"/>
          <w:szCs w:val="32"/>
        </w:rPr>
      </w:pPr>
      <w:r>
        <w:rPr>
          <w:rFonts w:hint="eastAsia" w:ascii="仿宋_GB2312" w:eastAsia="仿宋_GB2312"/>
          <w:sz w:val="32"/>
          <w:szCs w:val="32"/>
        </w:rPr>
        <w:t>二、绩效目标</w:t>
      </w:r>
    </w:p>
    <w:p w14:paraId="5BF79969">
      <w:pPr>
        <w:spacing w:line="540" w:lineRule="exact"/>
        <w:ind w:firstLine="640" w:firstLineChars="200"/>
        <w:rPr>
          <w:rFonts w:ascii="仿宋_GB2312" w:eastAsia="仿宋_GB2312"/>
          <w:sz w:val="32"/>
          <w:szCs w:val="32"/>
        </w:rPr>
      </w:pPr>
      <w:r>
        <w:rPr>
          <w:rFonts w:hint="eastAsia" w:ascii="仿宋_GB2312" w:eastAsia="仿宋_GB2312"/>
          <w:sz w:val="32"/>
          <w:szCs w:val="32"/>
        </w:rPr>
        <w:t>（一）资金设立的目的</w:t>
      </w:r>
    </w:p>
    <w:p w14:paraId="7B11507E">
      <w:pPr>
        <w:spacing w:line="540" w:lineRule="exact"/>
        <w:ind w:firstLine="640" w:firstLineChars="200"/>
        <w:rPr>
          <w:rFonts w:ascii="仿宋_GB2312" w:eastAsia="仿宋_GB2312"/>
          <w:sz w:val="32"/>
          <w:szCs w:val="32"/>
        </w:rPr>
      </w:pPr>
      <w:r>
        <w:rPr>
          <w:rFonts w:hint="eastAsia" w:ascii="仿宋_GB2312" w:eastAsia="仿宋_GB2312"/>
          <w:sz w:val="32"/>
          <w:szCs w:val="32"/>
        </w:rPr>
        <w:t>根据自治区党委编办《关于印发〈自治区经济和信息化委员会所属事业单位机构编制调整方案〉的通知》（新党编办【2013】70号）和经信委事业单位机构编制调整工作领导小组的安排，成立新疆维吾尔自治区工业经济和信息化研究院，级别为县（处）级单位，核定事业编制50名。</w:t>
      </w:r>
    </w:p>
    <w:p w14:paraId="72568126">
      <w:pPr>
        <w:spacing w:line="600" w:lineRule="exact"/>
        <w:ind w:firstLine="627" w:firstLineChars="196"/>
        <w:rPr>
          <w:rFonts w:ascii="仿宋_GB2312" w:eastAsia="仿宋_GB2312"/>
          <w:sz w:val="32"/>
          <w:szCs w:val="32"/>
        </w:rPr>
      </w:pPr>
      <w:r>
        <w:rPr>
          <w:rFonts w:hint="eastAsia" w:ascii="仿宋_GB2312" w:eastAsia="仿宋_GB2312"/>
          <w:sz w:val="32"/>
          <w:szCs w:val="32"/>
        </w:rPr>
        <w:t>主要工作职责：承担对工业和信息化领域重大理论、实践问题、重大热度、难点问题研究工作、对全区经济运行进行预测预警分析。2016年重点开展新疆新型工业化和信息化</w:t>
      </w:r>
      <w:r>
        <w:rPr>
          <w:rFonts w:hint="eastAsia" w:ascii="仿宋_GB2312" w:eastAsia="仿宋_GB2312"/>
          <w:sz w:val="32"/>
          <w:szCs w:val="32"/>
          <w:lang w:eastAsia="zh-CN"/>
        </w:rPr>
        <w:t>“</w:t>
      </w:r>
      <w:r>
        <w:rPr>
          <w:rFonts w:hint="eastAsia" w:ascii="仿宋_GB2312" w:eastAsia="仿宋_GB2312"/>
          <w:sz w:val="32"/>
          <w:szCs w:val="32"/>
        </w:rPr>
        <w:t>十三五</w:t>
      </w:r>
      <w:r>
        <w:rPr>
          <w:rFonts w:hint="eastAsia" w:ascii="仿宋_GB2312" w:eastAsia="仿宋_GB2312"/>
          <w:sz w:val="32"/>
          <w:szCs w:val="32"/>
          <w:lang w:eastAsia="zh-CN"/>
        </w:rPr>
        <w:t>”</w:t>
      </w:r>
      <w:r>
        <w:rPr>
          <w:rFonts w:hint="eastAsia" w:ascii="仿宋_GB2312" w:eastAsia="仿宋_GB2312"/>
          <w:sz w:val="32"/>
          <w:szCs w:val="32"/>
        </w:rPr>
        <w:t>规划评估研究、工业企业创新评价研究，新疆钢铁产业发展对策、新常态下钢铁产业解忧脱困举措，探讨向西开放产能及对外合作的可行性研究，核心区建设对钢铁产业新的市场需求，开展石油下游产业研究，经济</w:t>
      </w:r>
      <w:r>
        <w:rPr>
          <w:rFonts w:hint="eastAsia" w:ascii="仿宋_GB2312" w:eastAsia="仿宋_GB2312"/>
          <w:sz w:val="32"/>
          <w:szCs w:val="32"/>
          <w:lang w:val="en-US" w:eastAsia="zh-CN"/>
        </w:rPr>
        <w:t>煤炭</w:t>
      </w:r>
      <w:r>
        <w:rPr>
          <w:rFonts w:hint="eastAsia" w:ascii="仿宋_GB2312" w:eastAsia="仿宋_GB2312"/>
          <w:sz w:val="32"/>
          <w:szCs w:val="32"/>
        </w:rPr>
        <w:t>资源优势的转换渠道，煤化工产业发展方向研判研究。新疆电解铝行业，纺织行业发展印染基地发展对策研究，大数据及云计算产业的发展趋势、发展思路、发展定位、发展布局、建设重点进行全面深入分析，提出切实可行的对策建议等。</w:t>
      </w:r>
    </w:p>
    <w:p w14:paraId="493BBE3E">
      <w:pPr>
        <w:spacing w:line="600" w:lineRule="exact"/>
        <w:ind w:firstLine="627" w:firstLineChars="196"/>
        <w:rPr>
          <w:rFonts w:ascii="仿宋_GB2312" w:eastAsia="仿宋_GB2312"/>
          <w:sz w:val="32"/>
          <w:szCs w:val="32"/>
        </w:rPr>
      </w:pPr>
      <w:r>
        <w:rPr>
          <w:rFonts w:hint="eastAsia" w:ascii="仿宋_GB2312" w:eastAsia="仿宋_GB2312"/>
          <w:sz w:val="32"/>
          <w:szCs w:val="32"/>
        </w:rPr>
        <w:t>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14:paraId="7D381D58">
      <w:pPr>
        <w:spacing w:line="540" w:lineRule="exact"/>
        <w:ind w:firstLine="480" w:firstLineChars="150"/>
        <w:rPr>
          <w:rFonts w:ascii="仿宋_GB2312" w:eastAsia="仿宋_GB2312"/>
          <w:sz w:val="32"/>
          <w:szCs w:val="32"/>
        </w:rPr>
      </w:pPr>
      <w:r>
        <w:rPr>
          <w:rFonts w:hint="eastAsia" w:ascii="仿宋_GB2312" w:eastAsia="仿宋_GB2312"/>
          <w:sz w:val="32"/>
          <w:szCs w:val="32"/>
        </w:rPr>
        <w:t>（二）资金主要用途</w:t>
      </w:r>
    </w:p>
    <w:p w14:paraId="19486551">
      <w:pPr>
        <w:ind w:firstLine="640" w:firstLineChars="200"/>
        <w:rPr>
          <w:rFonts w:ascii="仿宋_GB2312" w:eastAsia="仿宋_GB2312"/>
          <w:sz w:val="32"/>
          <w:szCs w:val="32"/>
        </w:rPr>
      </w:pPr>
      <w:bookmarkStart w:id="0" w:name="_Toc419809616"/>
      <w:bookmarkStart w:id="1" w:name="_Toc308686978"/>
      <w:bookmarkStart w:id="2" w:name="_Toc308686992"/>
      <w:r>
        <w:rPr>
          <w:rFonts w:hint="eastAsia" w:ascii="仿宋_GB2312" w:eastAsia="仿宋_GB2312"/>
          <w:sz w:val="32"/>
          <w:szCs w:val="32"/>
        </w:rPr>
        <w:t>针对新疆维吾尔自治区清真食品产业发展现状，存在的问题，精品品牌建设的对策建议，</w:t>
      </w:r>
      <w:bookmarkEnd w:id="0"/>
      <w:bookmarkStart w:id="3" w:name="_Toc419809638"/>
      <w:r>
        <w:rPr>
          <w:rFonts w:hint="eastAsia" w:ascii="仿宋_GB2312" w:eastAsia="仿宋_GB2312"/>
          <w:sz w:val="32"/>
          <w:szCs w:val="32"/>
        </w:rPr>
        <w:t>面临的机遇及挑战</w:t>
      </w:r>
      <w:bookmarkEnd w:id="3"/>
      <w:r>
        <w:rPr>
          <w:rFonts w:hint="eastAsia" w:ascii="仿宋_GB2312" w:eastAsia="仿宋_GB2312"/>
          <w:sz w:val="32"/>
          <w:szCs w:val="32"/>
        </w:rPr>
        <w:t>，总体部署、</w:t>
      </w:r>
      <w:bookmarkEnd w:id="1"/>
      <w:r>
        <w:rPr>
          <w:rFonts w:hint="eastAsia" w:ascii="仿宋_GB2312" w:eastAsia="仿宋_GB2312"/>
          <w:sz w:val="32"/>
          <w:szCs w:val="32"/>
        </w:rPr>
        <w:t>主要任务、</w:t>
      </w:r>
      <w:bookmarkEnd w:id="2"/>
      <w:r>
        <w:rPr>
          <w:rFonts w:hint="eastAsia" w:ascii="仿宋_GB2312" w:eastAsia="仿宋_GB2312"/>
          <w:sz w:val="32"/>
          <w:szCs w:val="32"/>
        </w:rPr>
        <w:t>重点工程以及保障措施，赴全疆以清真食品经营单位为主的中小型企业，调研、交流、咨询、评审等费用。对推动食品工业精品品牌工程的发展趋势、发展思路、发展定位、发展布局、建设重点等专项课题项目调研、评审、检查、绩效评价等工作经费。</w:t>
      </w:r>
    </w:p>
    <w:p w14:paraId="6742E93E">
      <w:pPr>
        <w:ind w:firstLine="641"/>
        <w:rPr>
          <w:rFonts w:ascii="仿宋_GB2312" w:eastAsia="仿宋_GB2312"/>
          <w:sz w:val="32"/>
          <w:szCs w:val="32"/>
        </w:rPr>
      </w:pPr>
      <w:r>
        <w:rPr>
          <w:rFonts w:hint="eastAsia" w:ascii="仿宋_GB2312" w:eastAsia="仿宋_GB2312"/>
          <w:sz w:val="32"/>
          <w:szCs w:val="32"/>
        </w:rPr>
        <w:t>由于课题成果尚末通过验收，2016年末发生任何支出，所有支出待2017年验收结束后支出。</w:t>
      </w:r>
    </w:p>
    <w:p w14:paraId="303763C4">
      <w:pPr>
        <w:spacing w:line="540" w:lineRule="exact"/>
        <w:ind w:firstLine="640" w:firstLineChars="200"/>
        <w:rPr>
          <w:rFonts w:ascii="仿宋_GB2312" w:eastAsia="仿宋_GB2312"/>
          <w:sz w:val="32"/>
          <w:szCs w:val="32"/>
        </w:rPr>
      </w:pPr>
      <w:r>
        <w:rPr>
          <w:rFonts w:hint="eastAsia" w:ascii="仿宋_GB2312" w:eastAsia="仿宋_GB2312"/>
          <w:sz w:val="32"/>
          <w:szCs w:val="32"/>
        </w:rPr>
        <w:t>三、考评结果</w:t>
      </w:r>
    </w:p>
    <w:p w14:paraId="65CAA642">
      <w:pPr>
        <w:spacing w:line="540" w:lineRule="exact"/>
        <w:ind w:firstLine="640" w:firstLineChars="200"/>
        <w:rPr>
          <w:rFonts w:ascii="仿宋_GB2312" w:eastAsia="仿宋_GB2312"/>
          <w:sz w:val="32"/>
          <w:szCs w:val="32"/>
        </w:rPr>
      </w:pPr>
      <w:r>
        <w:rPr>
          <w:rFonts w:hint="eastAsia" w:ascii="仿宋_GB2312" w:eastAsia="仿宋_GB2312"/>
          <w:sz w:val="32"/>
          <w:szCs w:val="32"/>
        </w:rPr>
        <w:t>（一）专项资金分配方面</w:t>
      </w:r>
    </w:p>
    <w:p w14:paraId="691D11E9">
      <w:pPr>
        <w:spacing w:line="540" w:lineRule="exact"/>
        <w:ind w:firstLine="640" w:firstLineChars="200"/>
        <w:rPr>
          <w:rFonts w:ascii="仿宋_GB2312" w:eastAsia="仿宋_GB2312"/>
          <w:sz w:val="32"/>
          <w:szCs w:val="32"/>
        </w:rPr>
      </w:pPr>
      <w:r>
        <w:rPr>
          <w:rFonts w:hint="eastAsia" w:ascii="仿宋_GB2312" w:eastAsia="仿宋_GB2312"/>
          <w:sz w:val="32"/>
          <w:szCs w:val="32"/>
        </w:rPr>
        <w:t>该项资金由研究院财务部统一管理、统筹安排、严格按照部门预算下达的指标和核定的资金用途统一支付。</w:t>
      </w:r>
    </w:p>
    <w:p w14:paraId="389DFECC">
      <w:pPr>
        <w:spacing w:line="540" w:lineRule="exact"/>
        <w:ind w:firstLine="640" w:firstLineChars="200"/>
        <w:rPr>
          <w:rFonts w:ascii="仿宋_GB2312" w:eastAsia="仿宋_GB2312"/>
          <w:sz w:val="32"/>
          <w:szCs w:val="32"/>
        </w:rPr>
      </w:pPr>
      <w:r>
        <w:rPr>
          <w:rFonts w:hint="eastAsia" w:ascii="仿宋_GB2312" w:eastAsia="仿宋_GB2312"/>
          <w:sz w:val="32"/>
          <w:szCs w:val="32"/>
        </w:rPr>
        <w:t>（二）专项资金的管理方面</w:t>
      </w:r>
    </w:p>
    <w:p w14:paraId="46BEF816">
      <w:pPr>
        <w:ind w:firstLine="640" w:firstLineChars="200"/>
        <w:rPr>
          <w:rFonts w:ascii="仿宋_GB2312" w:eastAsia="仿宋_GB2312"/>
          <w:sz w:val="32"/>
          <w:szCs w:val="32"/>
        </w:rPr>
      </w:pPr>
      <w:r>
        <w:rPr>
          <w:rFonts w:hint="eastAsia" w:ascii="仿宋_GB2312" w:eastAsia="仿宋_GB2312"/>
          <w:sz w:val="32"/>
          <w:szCs w:val="32"/>
        </w:rPr>
        <w:t>坚持严格预算、统一管理、专款专用。推动食品工业精品品牌工程工作经费由研究院财务部门统一管理分部门核算。财务部门先审核工作经费预算报告，报相关领导签批，合理分配资金，安排专人负责。按照资金使用方向和预算要求合理使用资金，分项目进行会计辅助核算，做到专款专用。</w:t>
      </w:r>
    </w:p>
    <w:p w14:paraId="1A61903E">
      <w:pPr>
        <w:spacing w:line="540" w:lineRule="exact"/>
        <w:ind w:firstLine="640" w:firstLineChars="200"/>
        <w:rPr>
          <w:rFonts w:ascii="仿宋_GB2312" w:eastAsia="仿宋_GB2312"/>
          <w:sz w:val="32"/>
          <w:szCs w:val="32"/>
        </w:rPr>
      </w:pPr>
      <w:r>
        <w:rPr>
          <w:rFonts w:hint="eastAsia" w:ascii="仿宋_GB2312" w:eastAsia="仿宋_GB2312"/>
          <w:sz w:val="32"/>
          <w:szCs w:val="32"/>
        </w:rPr>
        <w:t>（三）专项资金使用情况及效益方面</w:t>
      </w:r>
    </w:p>
    <w:p w14:paraId="5133D593">
      <w:pPr>
        <w:widowControl/>
        <w:shd w:val="clear" w:color="auto" w:fill="FFFFFF"/>
        <w:spacing w:before="300" w:after="225" w:line="360" w:lineRule="atLeast"/>
        <w:ind w:firstLine="420"/>
        <w:jc w:val="left"/>
        <w:rPr>
          <w:rFonts w:ascii="仿宋_GB2312" w:eastAsia="仿宋_GB2312"/>
          <w:sz w:val="32"/>
          <w:szCs w:val="32"/>
        </w:rPr>
      </w:pPr>
      <w:r>
        <w:rPr>
          <w:rFonts w:hint="eastAsia" w:ascii="仿宋_GB2312" w:eastAsia="仿宋_GB2312"/>
          <w:sz w:val="32"/>
          <w:szCs w:val="32"/>
        </w:rPr>
        <w:fldChar w:fldCharType="begin">
          <w:fldData xml:space="preserve">MgA1ADgARAAxADgAOAA2AEIAMABEAEIANAA0AEEAMABBAEMAMwAwAEEANwA4ADkAMAA2AEUAOQBB
AEIAQgAzAA==
</w:fldData>
        </w:fldChar>
      </w:r>
      <w:r>
        <w:rPr>
          <w:rFonts w:hint="eastAsia" w:ascii="仿宋_GB2312" w:eastAsia="仿宋_GB2312"/>
          <w:sz w:val="32"/>
          <w:szCs w:val="32"/>
        </w:rPr>
        <w:instrText xml:space="preserve">Addin 项目绩效目标</w:instrText>
      </w:r>
      <w:r>
        <w:rPr>
          <w:rFonts w:hint="eastAsia" w:ascii="仿宋_GB2312" w:eastAsia="仿宋_GB2312"/>
          <w:sz w:val="32"/>
          <w:szCs w:val="32"/>
        </w:rPr>
        <w:fldChar w:fldCharType="separate"/>
      </w:r>
      <w:r>
        <w:rPr>
          <w:rFonts w:hint="eastAsia" w:ascii="仿宋_GB2312" w:eastAsia="仿宋_GB2312"/>
          <w:sz w:val="32"/>
          <w:szCs w:val="32"/>
        </w:rPr>
        <w:t>2016年，开展对自治区推动食品工业精品品牌工程课题初步研究，通过查阅相关文献，实地考察企业运营情况，调研疆内清真食品市场，尤其是土耳其、马来西亚进口我区的清真食品销售情况，掌握第一手素材。明确产业发展思路，引导产业持续发展。</w:t>
      </w:r>
      <w:r>
        <w:rPr>
          <w:rFonts w:hint="eastAsia" w:ascii="仿宋_GB2312" w:eastAsia="仿宋_GB2312"/>
          <w:sz w:val="32"/>
          <w:szCs w:val="32"/>
        </w:rPr>
        <w:fldChar w:fldCharType="end"/>
      </w:r>
    </w:p>
    <w:p w14:paraId="26D82ED0">
      <w:pPr>
        <w:rPr>
          <w:rFonts w:hint="eastAsia" w:ascii="仿宋_GB2312" w:eastAsia="仿宋_GB2312"/>
          <w:sz w:val="32"/>
          <w:szCs w:val="32"/>
        </w:rPr>
      </w:pPr>
    </w:p>
    <w:p w14:paraId="7B5F3438">
      <w:pPr>
        <w:rPr>
          <w:rFonts w:hint="eastAsia" w:ascii="仿宋_GB2312" w:eastAsia="仿宋_GB2312"/>
          <w:sz w:val="32"/>
          <w:szCs w:val="32"/>
        </w:rPr>
      </w:pPr>
    </w:p>
    <w:p w14:paraId="06D36EB5">
      <w:pPr>
        <w:rPr>
          <w:rFonts w:ascii="仿宋_GB2312" w:eastAsia="仿宋_GB2312"/>
          <w:sz w:val="32"/>
          <w:szCs w:val="32"/>
        </w:rPr>
      </w:pPr>
      <w:r>
        <w:rPr>
          <w:rFonts w:hint="eastAsia" w:ascii="仿宋_GB2312" w:eastAsia="仿宋_GB2312"/>
          <w:sz w:val="32"/>
          <w:szCs w:val="32"/>
        </w:rPr>
        <w:t>附件3</w:t>
      </w:r>
    </w:p>
    <w:p w14:paraId="3FDA09B1">
      <w:pPr>
        <w:spacing w:line="520" w:lineRule="exact"/>
        <w:rPr>
          <w:rFonts w:ascii="黑体" w:eastAsia="黑体"/>
          <w:sz w:val="32"/>
          <w:szCs w:val="32"/>
        </w:rPr>
      </w:pPr>
    </w:p>
    <w:p w14:paraId="737BEAFD">
      <w:pPr>
        <w:jc w:val="center"/>
        <w:rPr>
          <w:rFonts w:ascii="黑体" w:eastAsia="黑体"/>
          <w:b/>
          <w:color w:val="000000"/>
          <w:sz w:val="44"/>
          <w:szCs w:val="44"/>
        </w:rPr>
      </w:pPr>
      <w:r>
        <w:rPr>
          <w:rFonts w:hint="eastAsia" w:ascii="黑体" w:eastAsia="黑体"/>
          <w:b/>
          <w:color w:val="000000"/>
          <w:sz w:val="44"/>
          <w:szCs w:val="44"/>
        </w:rPr>
        <w:t>2016年自治区药品工业协会组团参展全国药交会专项经费绩效评价报告</w:t>
      </w:r>
    </w:p>
    <w:p w14:paraId="561AA963">
      <w:pPr>
        <w:rPr>
          <w:rFonts w:ascii="仿宋_GB2312" w:eastAsia="仿宋_GB2312"/>
          <w:color w:val="000000"/>
          <w:sz w:val="32"/>
          <w:szCs w:val="32"/>
        </w:rPr>
      </w:pPr>
    </w:p>
    <w:p w14:paraId="7047061B">
      <w:pPr>
        <w:spacing w:line="540" w:lineRule="exact"/>
        <w:ind w:firstLine="640" w:firstLineChars="200"/>
        <w:rPr>
          <w:rFonts w:ascii="仿宋_GB2312" w:eastAsia="仿宋_GB2312"/>
          <w:sz w:val="32"/>
          <w:szCs w:val="32"/>
        </w:rPr>
      </w:pPr>
      <w:r>
        <w:rPr>
          <w:rFonts w:hint="eastAsia" w:ascii="仿宋_GB2312" w:eastAsia="仿宋_GB2312"/>
          <w:sz w:val="32"/>
          <w:szCs w:val="32"/>
        </w:rPr>
        <w:t>一、专项资金概况</w:t>
      </w:r>
    </w:p>
    <w:p w14:paraId="20D5620A">
      <w:pPr>
        <w:spacing w:line="540" w:lineRule="exact"/>
        <w:ind w:firstLine="640" w:firstLineChars="200"/>
        <w:rPr>
          <w:rFonts w:ascii="仿宋_GB2312" w:eastAsia="仿宋_GB2312"/>
          <w:sz w:val="32"/>
          <w:szCs w:val="32"/>
        </w:rPr>
      </w:pPr>
      <w:r>
        <w:rPr>
          <w:rFonts w:hint="eastAsia" w:ascii="仿宋_GB2312" w:eastAsia="仿宋_GB2312"/>
          <w:sz w:val="32"/>
          <w:szCs w:val="32"/>
        </w:rPr>
        <w:t>专项资金名称：自治区药品工业协会组团参加全国药交会专项经费</w:t>
      </w:r>
    </w:p>
    <w:p w14:paraId="24CBDAD6">
      <w:pPr>
        <w:spacing w:line="540" w:lineRule="exact"/>
        <w:ind w:firstLine="640" w:firstLineChars="200"/>
        <w:rPr>
          <w:rFonts w:ascii="仿宋_GB2312" w:eastAsia="仿宋_GB2312"/>
          <w:sz w:val="32"/>
          <w:szCs w:val="32"/>
        </w:rPr>
      </w:pPr>
      <w:r>
        <w:rPr>
          <w:rFonts w:hint="eastAsia" w:ascii="仿宋_GB2312" w:eastAsia="仿宋_GB2312"/>
          <w:sz w:val="32"/>
          <w:szCs w:val="32"/>
        </w:rPr>
        <w:t>资金规模：15万元</w:t>
      </w:r>
    </w:p>
    <w:p w14:paraId="74803130">
      <w:pPr>
        <w:spacing w:line="540" w:lineRule="exact"/>
        <w:ind w:firstLine="640" w:firstLineChars="200"/>
        <w:rPr>
          <w:rFonts w:ascii="仿宋_GB2312" w:eastAsia="仿宋_GB2312"/>
          <w:sz w:val="32"/>
          <w:szCs w:val="32"/>
        </w:rPr>
      </w:pPr>
      <w:r>
        <w:rPr>
          <w:rFonts w:hint="eastAsia" w:ascii="仿宋_GB2312" w:eastAsia="仿宋_GB2312"/>
          <w:sz w:val="32"/>
          <w:szCs w:val="32"/>
        </w:rPr>
        <w:t>主管单位：</w:t>
      </w:r>
      <w:r>
        <w:rPr>
          <w:rFonts w:hint="eastAsia" w:ascii="仿宋_GB2312" w:eastAsia="仿宋_GB2312"/>
          <w:sz w:val="32"/>
          <w:szCs w:val="32"/>
          <w:lang w:eastAsia="zh-CN"/>
        </w:rPr>
        <w:t>新疆维吾尔自治区</w:t>
      </w:r>
      <w:r>
        <w:rPr>
          <w:rFonts w:hint="eastAsia" w:ascii="仿宋_GB2312" w:eastAsia="仿宋_GB2312"/>
          <w:sz w:val="32"/>
          <w:szCs w:val="32"/>
        </w:rPr>
        <w:t>经信委</w:t>
      </w:r>
    </w:p>
    <w:p w14:paraId="4135CFF1">
      <w:pPr>
        <w:spacing w:line="540" w:lineRule="exact"/>
        <w:ind w:firstLine="640" w:firstLineChars="200"/>
        <w:rPr>
          <w:rFonts w:ascii="仿宋_GB2312" w:eastAsia="仿宋_GB2312"/>
          <w:sz w:val="32"/>
          <w:szCs w:val="32"/>
        </w:rPr>
      </w:pPr>
      <w:r>
        <w:rPr>
          <w:rFonts w:hint="eastAsia" w:ascii="仿宋_GB2312" w:eastAsia="仿宋_GB2312"/>
          <w:sz w:val="32"/>
          <w:szCs w:val="32"/>
        </w:rPr>
        <w:t>立项依据：自治区财政厅印发《关于下达2016年自治区特色轻工发展专项资金预算指标的通知》（新财建[2016]195号）。</w:t>
      </w:r>
    </w:p>
    <w:p w14:paraId="02A25C05">
      <w:pPr>
        <w:spacing w:line="540" w:lineRule="exact"/>
        <w:ind w:firstLine="640" w:firstLineChars="200"/>
        <w:rPr>
          <w:rFonts w:ascii="仿宋_GB2312" w:eastAsia="仿宋_GB2312"/>
          <w:sz w:val="32"/>
          <w:szCs w:val="32"/>
        </w:rPr>
      </w:pPr>
      <w:r>
        <w:rPr>
          <w:rFonts w:hint="eastAsia" w:ascii="仿宋_GB2312" w:eastAsia="仿宋_GB2312"/>
          <w:sz w:val="32"/>
          <w:szCs w:val="32"/>
        </w:rPr>
        <w:t>设立时间：2016年11月</w:t>
      </w:r>
    </w:p>
    <w:p w14:paraId="4E9C9928">
      <w:pPr>
        <w:spacing w:line="540" w:lineRule="exact"/>
        <w:ind w:firstLine="640" w:firstLineChars="200"/>
        <w:rPr>
          <w:rFonts w:ascii="仿宋_GB2312" w:eastAsia="仿宋_GB2312"/>
          <w:sz w:val="32"/>
          <w:szCs w:val="32"/>
        </w:rPr>
      </w:pPr>
      <w:r>
        <w:rPr>
          <w:rFonts w:hint="eastAsia" w:ascii="仿宋_GB2312" w:eastAsia="仿宋_GB2312"/>
          <w:sz w:val="32"/>
          <w:szCs w:val="32"/>
        </w:rPr>
        <w:t>二、绩效目标</w:t>
      </w:r>
    </w:p>
    <w:p w14:paraId="14E9D6FB">
      <w:pPr>
        <w:spacing w:line="540" w:lineRule="exact"/>
        <w:ind w:firstLine="640" w:firstLineChars="200"/>
        <w:rPr>
          <w:rFonts w:ascii="仿宋_GB2312" w:eastAsia="仿宋_GB2312"/>
          <w:sz w:val="32"/>
          <w:szCs w:val="32"/>
        </w:rPr>
      </w:pPr>
      <w:r>
        <w:rPr>
          <w:rFonts w:hint="eastAsia" w:ascii="仿宋_GB2312" w:eastAsia="仿宋_GB2312"/>
          <w:sz w:val="32"/>
          <w:szCs w:val="32"/>
        </w:rPr>
        <w:t>（一）资金设立的目的</w:t>
      </w:r>
    </w:p>
    <w:p w14:paraId="2033C7E9">
      <w:pPr>
        <w:spacing w:line="540" w:lineRule="exact"/>
        <w:ind w:firstLine="640" w:firstLineChars="200"/>
        <w:rPr>
          <w:rFonts w:ascii="仿宋_GB2312" w:eastAsia="仿宋_GB2312"/>
          <w:sz w:val="32"/>
          <w:szCs w:val="32"/>
        </w:rPr>
      </w:pPr>
      <w:r>
        <w:rPr>
          <w:rFonts w:hint="eastAsia" w:ascii="仿宋_GB2312" w:eastAsia="仿宋_GB2312"/>
          <w:sz w:val="32"/>
          <w:szCs w:val="32"/>
        </w:rPr>
        <w:t>全国药交会作为全国规模最大、推广效果最好的医药行业展会，一直以来备受各地制药行业和药品流通行业关注，新疆药企组团参会旨在打造“新疆药—亚克西”品牌，坚持“民族药、生态药、放心药”宣传理念，突出新疆特色、民族特色、资源特色，充分展示新疆医药行业的特点和优势，不断拓展和增强新疆药品的市场知名度和影响力。</w:t>
      </w:r>
    </w:p>
    <w:p w14:paraId="283DFF83">
      <w:pPr>
        <w:spacing w:line="540" w:lineRule="exact"/>
        <w:ind w:firstLine="640" w:firstLineChars="200"/>
        <w:rPr>
          <w:rFonts w:ascii="仿宋_GB2312" w:eastAsia="仿宋_GB2312"/>
          <w:sz w:val="32"/>
          <w:szCs w:val="32"/>
        </w:rPr>
      </w:pPr>
      <w:r>
        <w:rPr>
          <w:rFonts w:hint="eastAsia" w:ascii="仿宋_GB2312" w:eastAsia="仿宋_GB2312"/>
          <w:sz w:val="32"/>
          <w:szCs w:val="32"/>
        </w:rPr>
        <w:t>（二）资金主要用途</w:t>
      </w:r>
    </w:p>
    <w:p w14:paraId="5A07530A">
      <w:pPr>
        <w:spacing w:line="540" w:lineRule="exact"/>
        <w:ind w:firstLine="640" w:firstLineChars="200"/>
        <w:rPr>
          <w:rFonts w:ascii="仿宋_GB2312" w:eastAsia="仿宋_GB2312"/>
          <w:sz w:val="32"/>
          <w:szCs w:val="32"/>
        </w:rPr>
      </w:pPr>
      <w:r>
        <w:rPr>
          <w:rFonts w:hint="eastAsia" w:ascii="仿宋_GB2312" w:eastAsia="仿宋_GB2312"/>
          <w:sz w:val="32"/>
          <w:szCs w:val="32"/>
        </w:rPr>
        <w:t>用于新疆参团展台设计制作费、展位租赁费、宣传册印刷费。</w:t>
      </w:r>
    </w:p>
    <w:p w14:paraId="552B4D95">
      <w:pPr>
        <w:spacing w:line="540" w:lineRule="exact"/>
        <w:ind w:firstLine="640" w:firstLineChars="200"/>
        <w:rPr>
          <w:rFonts w:ascii="仿宋_GB2312" w:eastAsia="仿宋_GB2312"/>
          <w:sz w:val="32"/>
          <w:szCs w:val="32"/>
        </w:rPr>
      </w:pPr>
      <w:r>
        <w:rPr>
          <w:rFonts w:hint="eastAsia" w:ascii="仿宋_GB2312" w:eastAsia="仿宋_GB2312"/>
          <w:sz w:val="32"/>
          <w:szCs w:val="32"/>
        </w:rPr>
        <w:t>（三）预期经济社会效益</w:t>
      </w:r>
    </w:p>
    <w:p w14:paraId="313FE333">
      <w:pPr>
        <w:spacing w:line="540" w:lineRule="exact"/>
        <w:ind w:firstLine="640" w:firstLineChars="200"/>
        <w:rPr>
          <w:rFonts w:ascii="仿宋_GB2312" w:eastAsia="仿宋_GB2312"/>
          <w:sz w:val="32"/>
          <w:szCs w:val="32"/>
        </w:rPr>
      </w:pPr>
      <w:r>
        <w:rPr>
          <w:rFonts w:hint="eastAsia" w:ascii="仿宋_GB2312" w:eastAsia="仿宋_GB2312"/>
          <w:sz w:val="32"/>
          <w:szCs w:val="32"/>
        </w:rPr>
        <w:t>新疆药企从2009年第一组团参会开始，到2016年4月已抱团参展15次，参展企业由最初5家发展壮大到最多一次达18家。累计签约额达8.3亿元，达成合作意向18亿元。通过15届药交会的连续举办，新疆制药企业得到了实实在在的好处和实惠：</w:t>
      </w:r>
    </w:p>
    <w:p w14:paraId="7944B2FE">
      <w:pPr>
        <w:spacing w:line="540" w:lineRule="exact"/>
        <w:ind w:firstLine="640" w:firstLineChars="200"/>
        <w:rPr>
          <w:rFonts w:ascii="仿宋_GB2312" w:eastAsia="仿宋_GB2312"/>
          <w:sz w:val="32"/>
          <w:szCs w:val="32"/>
        </w:rPr>
      </w:pPr>
      <w:r>
        <w:rPr>
          <w:rFonts w:hint="eastAsia" w:ascii="仿宋_GB2312" w:eastAsia="仿宋_GB2312"/>
          <w:sz w:val="32"/>
          <w:szCs w:val="32"/>
        </w:rPr>
        <w:t>1、推动新疆药企走出疆门，销售渠道逐步实现国内全覆盖。在履次参会与内地销售代理机构洽谈的过程中，疆内药企逐步找到与自己产品适销对路的销售渠道，使得阿胶强骨口服液、西帕依固龈液、祖卡木颗粒、复方一支蒿颗粒、直立式大输液等诸多新疆“特色药”明星产品在内地市场大放异彩。内地的医疗机构、商业渠道、连锁终端、第三终端队伍等不同层次的营销资源也纷纷找上门来与新疆药企洽谈合作，使本地企业的销售市场由原来只在内地十几个主要省级市场的分布，发展到现在除台湾、西藏外30余个省市全面覆盖。</w:t>
      </w:r>
    </w:p>
    <w:p w14:paraId="3F4CEADC">
      <w:pPr>
        <w:spacing w:line="540" w:lineRule="exact"/>
        <w:ind w:firstLine="640" w:firstLineChars="200"/>
        <w:rPr>
          <w:rFonts w:ascii="仿宋_GB2312" w:eastAsia="仿宋_GB2312"/>
          <w:sz w:val="32"/>
          <w:szCs w:val="32"/>
        </w:rPr>
      </w:pPr>
      <w:r>
        <w:rPr>
          <w:rFonts w:hint="eastAsia" w:ascii="仿宋_GB2312" w:eastAsia="仿宋_GB2312"/>
          <w:sz w:val="32"/>
          <w:szCs w:val="32"/>
        </w:rPr>
        <w:t>2、提供前沿资讯平台，与内地企业同步接收最新资讯。“药交会”素有行业“风向标”之称，每届药交会上各类高端医药论坛，都是对国内医药行业政策、各地招标情况分析、市场用药趋势、新的医药推广模式等的最新解读，新疆药企与内地企业能够同步接受这些资讯，为新疆药企紧跟内地医药市场发展步伐、与其保持一致方向起到了良好的促进作用。</w:t>
      </w:r>
    </w:p>
    <w:p w14:paraId="0213BC3B">
      <w:pPr>
        <w:spacing w:line="540" w:lineRule="exact"/>
        <w:ind w:firstLine="640" w:firstLineChars="200"/>
        <w:rPr>
          <w:rFonts w:ascii="仿宋_GB2312" w:eastAsia="仿宋_GB2312"/>
          <w:sz w:val="32"/>
          <w:szCs w:val="32"/>
        </w:rPr>
      </w:pPr>
      <w:r>
        <w:rPr>
          <w:rFonts w:hint="eastAsia" w:ascii="仿宋_GB2312" w:eastAsia="仿宋_GB2312"/>
          <w:sz w:val="32"/>
          <w:szCs w:val="32"/>
        </w:rPr>
        <w:t>3、创造参观见学机会，深入内地企业学习。每届药交会期间参观见学活动的安排，使更多的新疆药企和各主管厅局负责人能够亲自走进内地知名企业，亲身感受新疆药业与内地企业之间的差距，不仅促使主管部门在政策的制定及行业的管理方面对新疆药企有了全新调整，而且对新疆药企负责人在自身企业发展规划的制定方面也产生了较大影响。</w:t>
      </w:r>
    </w:p>
    <w:p w14:paraId="0CDD5250">
      <w:pPr>
        <w:spacing w:line="540" w:lineRule="exact"/>
        <w:ind w:firstLine="640" w:firstLineChars="200"/>
        <w:rPr>
          <w:rFonts w:ascii="仿宋_GB2312" w:eastAsia="仿宋_GB2312"/>
          <w:sz w:val="32"/>
          <w:szCs w:val="32"/>
        </w:rPr>
      </w:pPr>
      <w:r>
        <w:rPr>
          <w:rFonts w:hint="eastAsia" w:ascii="仿宋_GB2312" w:eastAsia="仿宋_GB2312"/>
          <w:sz w:val="32"/>
          <w:szCs w:val="32"/>
        </w:rPr>
        <w:t>4、每届药交会上特色新产品的推出也为新疆药企制定自身研发规划指引了方向。</w:t>
      </w:r>
    </w:p>
    <w:p w14:paraId="33B62B56">
      <w:pPr>
        <w:spacing w:line="540" w:lineRule="exact"/>
        <w:ind w:firstLine="640" w:firstLineChars="200"/>
        <w:rPr>
          <w:rFonts w:ascii="仿宋_GB2312" w:eastAsia="仿宋_GB2312"/>
          <w:sz w:val="32"/>
          <w:szCs w:val="32"/>
        </w:rPr>
      </w:pPr>
      <w:r>
        <w:rPr>
          <w:rFonts w:hint="eastAsia" w:ascii="仿宋_GB2312" w:eastAsia="仿宋_GB2312"/>
          <w:sz w:val="32"/>
          <w:szCs w:val="32"/>
        </w:rPr>
        <w:t>历届药交会新疆展团的抱团参会，不仅加强了各企业之间的团结凝聚力，增进了政府与企业的互动，最主要的是对企业本身的发展产生了积极的影响。通过多次参会，当年年销售收入只有几千万元的一些小企业如今都逐步成长为上亿元规模的企业，近年来疆内制药企业的年销售收入递增率都保持在36%左右增长。同时，通过药交会上的有效宣传，内地一些知名企业也看到了新疆当地医药资源的强大优势，在本地投资建厂、收购兼并老企业、整体买断销售权、入股发展强劲企业的行动越来越积极。抱团参会平台的搭建，不仅拉动了新疆药品工业特别是中药民族药产业链的整体增长，对“</w:t>
      </w:r>
      <w:bookmarkStart w:id="4" w:name="_GoBack"/>
      <w:bookmarkEnd w:id="4"/>
      <w:r>
        <w:rPr>
          <w:rFonts w:hint="eastAsia" w:ascii="仿宋_GB2312" w:eastAsia="仿宋_GB2312"/>
          <w:sz w:val="32"/>
          <w:szCs w:val="32"/>
        </w:rPr>
        <w:t>十三五”期间实现疆内医药产业总产值百亿的目标发挥了积极的推动作用。</w:t>
      </w:r>
    </w:p>
    <w:p w14:paraId="0372CE34">
      <w:pPr>
        <w:spacing w:line="540" w:lineRule="exact"/>
        <w:ind w:firstLine="640" w:firstLineChars="200"/>
        <w:rPr>
          <w:rFonts w:ascii="仿宋_GB2312" w:eastAsia="仿宋_GB2312"/>
          <w:sz w:val="32"/>
          <w:szCs w:val="32"/>
        </w:rPr>
      </w:pPr>
      <w:r>
        <w:rPr>
          <w:rFonts w:hint="eastAsia" w:ascii="仿宋_GB2312" w:eastAsia="仿宋_GB2312"/>
          <w:sz w:val="32"/>
          <w:szCs w:val="32"/>
        </w:rPr>
        <w:t>三、考评结果</w:t>
      </w:r>
    </w:p>
    <w:p w14:paraId="01BFF072">
      <w:pPr>
        <w:spacing w:line="540" w:lineRule="exact"/>
        <w:ind w:firstLine="640" w:firstLineChars="200"/>
        <w:rPr>
          <w:rFonts w:ascii="仿宋_GB2312" w:eastAsia="仿宋_GB2312"/>
          <w:sz w:val="32"/>
          <w:szCs w:val="32"/>
        </w:rPr>
      </w:pPr>
      <w:r>
        <w:rPr>
          <w:rFonts w:hint="eastAsia" w:ascii="仿宋_GB2312" w:eastAsia="仿宋_GB2312"/>
          <w:sz w:val="32"/>
          <w:szCs w:val="32"/>
        </w:rPr>
        <w:t>（一）专项资金的管理方面</w:t>
      </w:r>
    </w:p>
    <w:p w14:paraId="7344463F">
      <w:pPr>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坚持严格预算、统一管理、专款专用。先由自治区药品工业协会编制专项资金项目预算申报书，经经信委审核后，与年度部门预算汇总报送财政部门审批，经自治区批复下达经信委机关统一管理，经信委财务部门拨付自治区药品工业协会使用；委机关按照资金使用方向要求自治区药品工业协会按照参展预算合理使用资金，做到专款专用。</w:t>
      </w:r>
    </w:p>
    <w:p w14:paraId="25FF0DDF">
      <w:pPr>
        <w:spacing w:line="540" w:lineRule="exact"/>
        <w:ind w:firstLine="640" w:firstLineChars="200"/>
        <w:rPr>
          <w:rFonts w:ascii="仿宋_GB2312" w:eastAsia="仿宋_GB2312"/>
          <w:sz w:val="32"/>
          <w:szCs w:val="32"/>
        </w:rPr>
      </w:pPr>
      <w:r>
        <w:rPr>
          <w:rFonts w:hint="eastAsia" w:ascii="仿宋_GB2312" w:eastAsia="仿宋_GB2312"/>
          <w:sz w:val="32"/>
          <w:szCs w:val="32"/>
        </w:rPr>
        <w:t>（三）专项资金使用情况及效益方面</w:t>
      </w:r>
    </w:p>
    <w:p w14:paraId="6B1A62C2">
      <w:pPr>
        <w:spacing w:line="540" w:lineRule="exact"/>
        <w:ind w:firstLine="640" w:firstLineChars="200"/>
        <w:rPr>
          <w:rFonts w:ascii="仿宋_GB2312" w:eastAsia="仿宋_GB2312"/>
          <w:sz w:val="32"/>
          <w:szCs w:val="32"/>
        </w:rPr>
      </w:pPr>
      <w:r>
        <w:rPr>
          <w:rFonts w:hint="eastAsia" w:ascii="仿宋_GB2312" w:eastAsia="仿宋_GB2312"/>
          <w:sz w:val="32"/>
          <w:szCs w:val="32"/>
        </w:rPr>
        <w:t>1、使用情况</w:t>
      </w:r>
    </w:p>
    <w:p w14:paraId="7397F550">
      <w:pPr>
        <w:spacing w:line="540" w:lineRule="exact"/>
        <w:ind w:firstLine="640" w:firstLineChars="200"/>
        <w:rPr>
          <w:rFonts w:ascii="仿宋_GB2312" w:eastAsia="仿宋_GB2312"/>
          <w:sz w:val="32"/>
          <w:szCs w:val="32"/>
        </w:rPr>
      </w:pPr>
      <w:r>
        <w:rPr>
          <w:rFonts w:hint="eastAsia" w:ascii="仿宋_GB2312" w:eastAsia="仿宋_GB2312"/>
          <w:sz w:val="32"/>
          <w:szCs w:val="32"/>
        </w:rPr>
        <w:t>按照自治区财政部门下达的部门预算执行统一管理、突出重点、力求节约、注重实效的原则。其中：第76届全国药交会新疆展团展位费48000元，展台设计制作费10万元，宣传册印刷费2000元。</w:t>
      </w:r>
    </w:p>
    <w:p w14:paraId="2F96B03C">
      <w:pPr>
        <w:spacing w:line="520" w:lineRule="exact"/>
        <w:ind w:firstLine="640" w:firstLineChars="200"/>
        <w:rPr>
          <w:rFonts w:ascii="仿宋_GB2312" w:eastAsia="仿宋_GB2312"/>
          <w:sz w:val="32"/>
          <w:szCs w:val="32"/>
        </w:rPr>
      </w:pPr>
      <w:r>
        <w:rPr>
          <w:rFonts w:hint="eastAsia" w:ascii="仿宋_GB2312" w:eastAsia="仿宋_GB2312"/>
          <w:sz w:val="32"/>
          <w:szCs w:val="32"/>
        </w:rPr>
        <w:t>本次药交会，新疆展团参展企业8家，特装展位96平方米，参展产品38个，企业参会人员68人。自治区食药监局、卫计委、经信委、乌鲁木齐市科技局、高新区（新市区）管委会、自治区中药民族药研究所、自治区药物研究所等7个单位的10位领导亲临现场指导，新疆展团的特装展位设计和参观座谈活动的组织得到与会领导好评。政府对医药行业的支持，不仅鼓舞了参会企业，也坚定了参会企业代理商与新疆药企深入合作的信心。</w:t>
      </w:r>
    </w:p>
    <w:p w14:paraId="74286AE9">
      <w:pPr>
        <w:numPr>
          <w:ilvl w:val="0"/>
          <w:numId w:val="1"/>
        </w:numPr>
        <w:spacing w:line="520" w:lineRule="exact"/>
        <w:ind w:firstLine="640" w:firstLineChars="200"/>
        <w:rPr>
          <w:rFonts w:ascii="仿宋_GB2312" w:eastAsia="仿宋_GB2312"/>
          <w:sz w:val="32"/>
          <w:szCs w:val="32"/>
        </w:rPr>
      </w:pPr>
      <w:r>
        <w:rPr>
          <w:rFonts w:hint="eastAsia" w:ascii="仿宋_GB2312" w:eastAsia="仿宋_GB2312"/>
          <w:sz w:val="32"/>
          <w:szCs w:val="32"/>
        </w:rPr>
        <w:t>实际效益</w:t>
      </w:r>
    </w:p>
    <w:p w14:paraId="4DA1F0E3">
      <w:pPr>
        <w:spacing w:line="520" w:lineRule="exact"/>
        <w:rPr>
          <w:rFonts w:ascii="仿宋_GB2312" w:eastAsia="仿宋_GB2312"/>
          <w:sz w:val="32"/>
          <w:szCs w:val="32"/>
        </w:rPr>
      </w:pPr>
      <w:r>
        <w:rPr>
          <w:rFonts w:hint="eastAsia" w:ascii="仿宋_GB2312" w:eastAsia="仿宋_GB2312"/>
          <w:sz w:val="32"/>
          <w:szCs w:val="32"/>
        </w:rPr>
        <w:t xml:space="preserve">    （1）本届药交会8家参展企业共接洽客户2011人，达成意向客户390人，合同签约金额3158万元，意向合作金额1.3亿元，为参展企业2017年销售奠定了坚实的基础。新疆展团的代理商数量和质量已经大大提升，参展药企不仅实现了从“产品招商会”到“代理商答谢会”的转变，还完成了从“代理商选择我们”到“我们选择代理商”的突破。新疆药企联合参展的影响力将助推新疆药品更好的掘金全国市场。</w:t>
      </w:r>
    </w:p>
    <w:p w14:paraId="63D21D8C">
      <w:pPr>
        <w:spacing w:line="540" w:lineRule="exact"/>
        <w:ind w:firstLine="640" w:firstLineChars="200"/>
        <w:rPr>
          <w:rFonts w:ascii="仿宋_GB2312" w:eastAsia="仿宋_GB2312"/>
          <w:sz w:val="32"/>
          <w:szCs w:val="32"/>
        </w:rPr>
      </w:pPr>
      <w:r>
        <w:rPr>
          <w:rFonts w:hint="eastAsia" w:ascii="仿宋_GB2312" w:eastAsia="仿宋_GB2312"/>
          <w:sz w:val="32"/>
          <w:szCs w:val="32"/>
        </w:rPr>
        <w:t>（2）药企联合参展已经成为各省市争相打造区域医药和大健康产业、展示各地区行业实力的一个窗口。本次药交会邀请职能部门领导参会，加深了他们对整个医药产业，尤其加深了对新疆医药产业的了解和理解，有利于职能部门更好的扶持帮助和支持新疆医药产业的发展。通过几天的参观交流，更加坚定了职能部门支持新疆医药产业发展的信心。</w:t>
      </w:r>
    </w:p>
    <w:p w14:paraId="4E584F24">
      <w:pPr>
        <w:spacing w:line="540" w:lineRule="exact"/>
        <w:ind w:firstLine="640" w:firstLineChars="200"/>
        <w:rPr>
          <w:rFonts w:ascii="仿宋_GB2312" w:eastAsia="仿宋_GB2312"/>
          <w:sz w:val="32"/>
          <w:szCs w:val="32"/>
        </w:rPr>
      </w:pPr>
      <w:r>
        <w:rPr>
          <w:rFonts w:hint="eastAsia" w:ascii="仿宋_GB2312" w:eastAsia="仿宋_GB2312"/>
          <w:sz w:val="32"/>
          <w:szCs w:val="32"/>
        </w:rPr>
        <w:t>（3）2016年，国家出台政策超过300项，各省市出台的政策更是多达1000余项，学习解读政策、预见行业趋势已经成为行业协会和药品生产企业的必修课，一些大企业更是设立专门的政策研究部门，通过调整企业经营策略应对外部政策变化。本次药交会新疆展团通过参加论坛，集中学习了解了国家医药产业政策、兄弟省市医药产业扶持政策，对于预见行业发展方向、制定2017年的规划和策略十分有利。</w:t>
      </w:r>
    </w:p>
    <w:p w14:paraId="19C0FDAC">
      <w:pPr>
        <w:spacing w:line="540" w:lineRule="exact"/>
        <w:ind w:firstLine="640" w:firstLineChars="200"/>
        <w:rPr>
          <w:rFonts w:ascii="仿宋_GB2312" w:eastAsia="仿宋_GB2312"/>
          <w:sz w:val="32"/>
          <w:szCs w:val="32"/>
        </w:rPr>
      </w:pPr>
      <w:r>
        <w:rPr>
          <w:rFonts w:hint="eastAsia" w:ascii="仿宋_GB2312" w:eastAsia="仿宋_GB2312"/>
          <w:sz w:val="32"/>
          <w:szCs w:val="32"/>
        </w:rPr>
        <w:t>（4）通过参观、调研和座谈交流，新疆展团不仅了解了知名药企和大院大所的发展轨迹，也学习了他们先进的管理理念和模式，中科院昆明植物研究所历经76年出版了21卷植物志，特别是在药物的基础研究方面，从植物种植、植物基源方面做起，让新疆医药研究方面的专业人员开阔了眼界，汲取了很多基础知识，为新疆医药行业尤其是中药民族药的发展提供了很好的借鉴模式。云南白药作为医药行业的百年老店，品牌战略推广非常成功，是典型的大企业、大品牌、大品种。利用“老字号”品牌优势进行多元化经营，尤其在大健康产业先行一步，其先进的经营理念和在大健康领域率先试水的经验，对新疆中药民族药今后的发展具有很好的借鉴作用。</w:t>
      </w:r>
    </w:p>
    <w:p w14:paraId="60239144">
      <w:pPr>
        <w:spacing w:line="520" w:lineRule="exact"/>
        <w:rPr>
          <w:rFonts w:ascii="黑体" w:eastAsia="黑体"/>
          <w:sz w:val="32"/>
          <w:szCs w:val="32"/>
        </w:rPr>
      </w:pPr>
    </w:p>
    <w:p w14:paraId="46F11ABD">
      <w:pPr>
        <w:spacing w:line="520" w:lineRule="exact"/>
        <w:rPr>
          <w:rFonts w:ascii="黑体" w:eastAsia="黑体"/>
          <w:sz w:val="32"/>
          <w:szCs w:val="32"/>
        </w:rPr>
      </w:pPr>
    </w:p>
    <w:p w14:paraId="0B93C925">
      <w:pPr>
        <w:spacing w:line="520" w:lineRule="exact"/>
        <w:rPr>
          <w:rFonts w:ascii="黑体" w:eastAsia="黑体"/>
          <w:sz w:val="32"/>
          <w:szCs w:val="32"/>
        </w:rPr>
      </w:pPr>
    </w:p>
    <w:p w14:paraId="5D414D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99783"/>
    <w:multiLevelType w:val="singleLevel"/>
    <w:tmpl w:val="5899978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lhMWQxY2Y3MjlmMzc2NDQxNjk3MWFiYmYzMzA1NmUifQ=="/>
  </w:docVars>
  <w:rsids>
    <w:rsidRoot w:val="009D2FE3"/>
    <w:rsid w:val="000B08D0"/>
    <w:rsid w:val="001C2919"/>
    <w:rsid w:val="00274D51"/>
    <w:rsid w:val="002E6D62"/>
    <w:rsid w:val="003F52EB"/>
    <w:rsid w:val="00404B57"/>
    <w:rsid w:val="004A063B"/>
    <w:rsid w:val="005A404D"/>
    <w:rsid w:val="005A4560"/>
    <w:rsid w:val="00622F4B"/>
    <w:rsid w:val="007B05A8"/>
    <w:rsid w:val="007B3F63"/>
    <w:rsid w:val="007F4EA6"/>
    <w:rsid w:val="0080656D"/>
    <w:rsid w:val="008B0EC4"/>
    <w:rsid w:val="00912CE2"/>
    <w:rsid w:val="00963509"/>
    <w:rsid w:val="009D2FE3"/>
    <w:rsid w:val="00A566FF"/>
    <w:rsid w:val="00AA71CA"/>
    <w:rsid w:val="00AB40FB"/>
    <w:rsid w:val="00B01ED7"/>
    <w:rsid w:val="00B344C0"/>
    <w:rsid w:val="00B81449"/>
    <w:rsid w:val="00C552DC"/>
    <w:rsid w:val="00D24476"/>
    <w:rsid w:val="00E260AA"/>
    <w:rsid w:val="00E3215F"/>
    <w:rsid w:val="00E4601E"/>
    <w:rsid w:val="00E876E6"/>
    <w:rsid w:val="561B2A2C"/>
    <w:rsid w:val="76972E70"/>
    <w:rsid w:val="76A47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6965</Words>
  <Characters>7128</Characters>
  <Lines>51</Lines>
  <Paragraphs>14</Paragraphs>
  <TotalTime>0</TotalTime>
  <ScaleCrop>false</ScaleCrop>
  <LinksUpToDate>false</LinksUpToDate>
  <CharactersWithSpaces>7133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2017-02-13T08:03:00Z</dcterms:created>
  <dc:creator>lenovo</dc:creator>
  <cp:lastModifiedBy>岁月无痕</cp:lastModifiedBy>
  <dcterms:modified xsi:type="dcterms:W3CDTF">2024-09-20T04:57:54Z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F07035042B1F4E6694280B9877830D48_12</vt:lpwstr>
  </property>
</Properties>
</file>