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val="en-US" w:eastAsia="zh-CN"/>
        </w:rPr>
        <w:t>新疆静宁医院</w:t>
      </w:r>
      <w:r>
        <w:rPr>
          <w:rFonts w:hint="eastAsia" w:ascii="方正小标宋_GBK" w:hAnsi="宋体" w:eastAsia="方正小标宋_GBK"/>
          <w:color w:val="auto"/>
          <w:sz w:val="44"/>
          <w:szCs w:val="44"/>
          <w:highlight w:val="none"/>
          <w:lang w:eastAsia="zh-CN"/>
        </w:rPr>
        <w:t>202</w:t>
      </w:r>
      <w:bookmarkStart w:id="48" w:name="_GoBack"/>
      <w:bookmarkEnd w:id="48"/>
      <w:r>
        <w:rPr>
          <w:rFonts w:hint="eastAsia" w:ascii="方正小标宋_GBK" w:hAnsi="宋体" w:eastAsia="方正小标宋_GBK"/>
          <w:color w:val="auto"/>
          <w:sz w:val="44"/>
          <w:szCs w:val="44"/>
          <w:highlight w:val="none"/>
          <w:lang w:eastAsia="zh-CN"/>
        </w:rPr>
        <w:t>3年度单位</w:t>
      </w:r>
      <w:r>
        <w:rPr>
          <w:rFonts w:hint="eastAsia" w:ascii="方正小标宋_GBK" w:hAnsi="宋体" w:eastAsia="方正小标宋_GBK"/>
          <w:color w:val="auto"/>
          <w:sz w:val="44"/>
          <w:szCs w:val="44"/>
          <w:highlight w:val="none"/>
        </w:rPr>
        <w:t>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第二部分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第四部分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bookmarkStart w:id="4" w:name="_Toc31238"/>
      <w:bookmarkStart w:id="5" w:name="_Toc2151"/>
      <w:r>
        <w:rPr>
          <w:rFonts w:hint="eastAsia" w:ascii="仿宋_GB2312" w:eastAsia="仿宋_GB2312"/>
          <w:color w:val="auto"/>
          <w:sz w:val="32"/>
          <w:szCs w:val="32"/>
          <w:highlight w:val="none"/>
          <w:lang w:eastAsia="zh-CN"/>
        </w:rPr>
        <w:t>收治各类精神病患者</w:t>
      </w:r>
      <w:r>
        <w:rPr>
          <w:rFonts w:hint="eastAsia" w:ascii="仿宋_GB2312" w:eastAsia="仿宋_GB2312"/>
          <w:color w:val="auto"/>
          <w:sz w:val="32"/>
          <w:szCs w:val="32"/>
          <w:highlight w:val="none"/>
          <w:lang w:val="en-US" w:eastAsia="zh-CN"/>
        </w:rPr>
        <w:t>;为贫困家庭精神障碍患者提供救助式收养和治疗;向驻地群众提供医疗卫生服务。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新疆静宁医院</w:t>
      </w:r>
      <w:r>
        <w:rPr>
          <w:rFonts w:hint="eastAsia" w:ascii="Times New Roman" w:hAnsi="Times New Roman" w:eastAsia="仿宋_GB2312" w:cs="Times New Roman"/>
          <w:color w:val="auto"/>
          <w:kern w:val="2"/>
          <w:sz w:val="32"/>
          <w:szCs w:val="32"/>
          <w:highlight w:val="none"/>
          <w:lang w:val="zh-CN" w:eastAsia="zh-CN" w:bidi="ar-SA"/>
        </w:rPr>
        <w:t>2023年度，实有人数130人，其中：在职人员50人，离休人员0人，退休人员80人。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bookmarkStart w:id="6" w:name="_Toc3092"/>
      <w:bookmarkStart w:id="7" w:name="_Toc29374"/>
      <w:r>
        <w:rPr>
          <w:rFonts w:hint="eastAsia" w:ascii="Times New Roman" w:hAnsi="Times New Roman" w:eastAsia="仿宋_GB2312" w:cs="Times New Roman"/>
          <w:color w:val="auto"/>
          <w:kern w:val="2"/>
          <w:sz w:val="32"/>
          <w:szCs w:val="32"/>
          <w:highlight w:val="none"/>
          <w:lang w:val="zh-CN" w:eastAsia="zh-CN" w:bidi="ar-SA"/>
        </w:rPr>
        <w:t>单位无</w:t>
      </w:r>
      <w:r>
        <w:rPr>
          <w:rFonts w:hint="eastAsia" w:ascii="Times New Roman" w:hAnsi="Times New Roman" w:eastAsia="仿宋_GB2312" w:cs="Times New Roman"/>
          <w:color w:val="auto"/>
          <w:kern w:val="2"/>
          <w:sz w:val="32"/>
          <w:szCs w:val="32"/>
          <w:highlight w:val="none"/>
          <w:lang w:val="en-US" w:eastAsia="zh-CN" w:bidi="ar-SA"/>
        </w:rPr>
        <w:t>下</w:t>
      </w:r>
      <w:r>
        <w:rPr>
          <w:rFonts w:hint="eastAsia" w:ascii="Times New Roman" w:hAnsi="Times New Roman" w:eastAsia="仿宋_GB2312" w:cs="Times New Roman"/>
          <w:color w:val="auto"/>
          <w:kern w:val="2"/>
          <w:sz w:val="32"/>
          <w:szCs w:val="32"/>
          <w:highlight w:val="none"/>
          <w:lang w:val="zh-CN" w:eastAsia="zh-CN" w:bidi="ar-SA"/>
        </w:rPr>
        <w:t>属</w:t>
      </w:r>
      <w:r>
        <w:rPr>
          <w:rFonts w:hint="eastAsia" w:ascii="Times New Roman" w:hAnsi="Times New Roman" w:eastAsia="仿宋_GB2312" w:cs="Times New Roman"/>
          <w:color w:val="auto"/>
          <w:kern w:val="2"/>
          <w:sz w:val="32"/>
          <w:szCs w:val="32"/>
          <w:highlight w:val="none"/>
          <w:lang w:val="en-US" w:eastAsia="zh-CN" w:bidi="ar-SA"/>
        </w:rPr>
        <w:t>预算</w:t>
      </w:r>
      <w:r>
        <w:rPr>
          <w:rFonts w:hint="eastAsia" w:ascii="Times New Roman" w:hAnsi="Times New Roman" w:eastAsia="仿宋_GB2312" w:cs="Times New Roman"/>
          <w:color w:val="auto"/>
          <w:kern w:val="2"/>
          <w:sz w:val="32"/>
          <w:szCs w:val="32"/>
          <w:highlight w:val="none"/>
          <w:lang w:val="zh-CN" w:eastAsia="zh-CN" w:bidi="ar-SA"/>
        </w:rPr>
        <w:t>单位，下设</w:t>
      </w:r>
      <w:r>
        <w:rPr>
          <w:rFonts w:hint="eastAsia" w:ascii="Times New Roman" w:hAnsi="Times New Roman" w:eastAsia="仿宋_GB2312" w:cs="Times New Roman"/>
          <w:color w:val="auto"/>
          <w:kern w:val="2"/>
          <w:sz w:val="32"/>
          <w:szCs w:val="32"/>
          <w:highlight w:val="none"/>
          <w:lang w:val="en-US" w:eastAsia="zh-CN" w:bidi="ar-SA"/>
        </w:rPr>
        <w:t>5</w:t>
      </w:r>
      <w:r>
        <w:rPr>
          <w:rFonts w:hint="eastAsia" w:ascii="Times New Roman" w:hAnsi="Times New Roman" w:eastAsia="仿宋_GB2312" w:cs="Times New Roman"/>
          <w:color w:val="auto"/>
          <w:kern w:val="2"/>
          <w:sz w:val="32"/>
          <w:szCs w:val="32"/>
          <w:highlight w:val="none"/>
          <w:lang w:val="zh-CN" w:eastAsia="zh-CN" w:bidi="ar-SA"/>
        </w:rPr>
        <w:t>个</w:t>
      </w:r>
      <w:r>
        <w:rPr>
          <w:rFonts w:hint="eastAsia" w:ascii="Times New Roman" w:hAnsi="Times New Roman" w:eastAsia="仿宋_GB2312" w:cs="Times New Roman"/>
          <w:color w:val="auto"/>
          <w:kern w:val="2"/>
          <w:sz w:val="32"/>
          <w:szCs w:val="32"/>
          <w:highlight w:val="none"/>
          <w:lang w:val="en-US" w:eastAsia="zh-CN" w:bidi="ar-SA"/>
        </w:rPr>
        <w:t>科</w:t>
      </w:r>
      <w:r>
        <w:rPr>
          <w:rFonts w:hint="eastAsia" w:ascii="Times New Roman" w:hAnsi="Times New Roman" w:eastAsia="仿宋_GB2312" w:cs="Times New Roman"/>
          <w:color w:val="auto"/>
          <w:kern w:val="2"/>
          <w:sz w:val="32"/>
          <w:szCs w:val="32"/>
          <w:highlight w:val="none"/>
          <w:lang w:val="zh-CN" w:eastAsia="zh-CN" w:bidi="ar-SA"/>
        </w:rPr>
        <w:t>室，分别是：</w:t>
      </w:r>
      <w:r>
        <w:rPr>
          <w:rFonts w:hint="eastAsia" w:ascii="Times New Roman" w:hAnsi="Times New Roman" w:eastAsia="仿宋_GB2312" w:cs="Times New Roman"/>
          <w:color w:val="auto"/>
          <w:kern w:val="2"/>
          <w:sz w:val="32"/>
          <w:szCs w:val="32"/>
          <w:highlight w:val="none"/>
          <w:lang w:val="en-US" w:eastAsia="zh-CN" w:bidi="ar-SA"/>
        </w:rPr>
        <w:t>医务部、护理部、综合办、财务科、办公室</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 xml:space="preserve">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b/>
          <w:bCs/>
          <w:color w:val="auto"/>
          <w:kern w:val="2"/>
          <w:sz w:val="32"/>
          <w:szCs w:val="32"/>
          <w:highlight w:val="none"/>
          <w:lang w:val="zh-CN" w:eastAsia="zh-CN" w:bidi="ar-SA"/>
        </w:rPr>
        <w:t>2023年度</w:t>
      </w:r>
      <w:r>
        <w:rPr>
          <w:rFonts w:hint="eastAsia" w:ascii="Times New Roman" w:hAnsi="Times New Roman" w:eastAsia="仿宋_GB2312" w:cs="Times New Roman"/>
          <w:b/>
          <w:bCs/>
          <w:color w:val="auto"/>
          <w:kern w:val="2"/>
          <w:sz w:val="32"/>
          <w:szCs w:val="32"/>
          <w:highlight w:val="none"/>
          <w:lang w:val="en-US" w:eastAsia="zh-CN" w:bidi="ar-SA"/>
        </w:rPr>
        <w:t>收入总计</w:t>
      </w:r>
      <w:r>
        <w:rPr>
          <w:rFonts w:hint="eastAsia" w:ascii="Times New Roman" w:hAnsi="Times New Roman" w:eastAsia="仿宋_GB2312" w:cs="Times New Roman"/>
          <w:b/>
          <w:bCs/>
          <w:color w:val="auto"/>
          <w:kern w:val="2"/>
          <w:sz w:val="32"/>
          <w:szCs w:val="32"/>
          <w:highlight w:val="none"/>
          <w:lang w:val="zh-CN" w:eastAsia="zh-CN" w:bidi="ar-SA"/>
        </w:rPr>
        <w:t>2,329.72万元，</w:t>
      </w:r>
      <w:r>
        <w:rPr>
          <w:rFonts w:hint="eastAsia" w:ascii="Times New Roman" w:hAnsi="Times New Roman" w:eastAsia="仿宋_GB2312" w:cs="Times New Roman"/>
          <w:color w:val="auto"/>
          <w:kern w:val="2"/>
          <w:sz w:val="32"/>
          <w:szCs w:val="32"/>
          <w:highlight w:val="none"/>
          <w:lang w:val="en-US" w:eastAsia="zh-CN" w:bidi="ar-SA"/>
        </w:rPr>
        <w:t>其中：本年收入合计</w:t>
      </w:r>
      <w:r>
        <w:rPr>
          <w:rFonts w:hint="eastAsia" w:ascii="Times New Roman" w:hAnsi="Times New Roman" w:eastAsia="仿宋_GB2312" w:cs="Times New Roman"/>
          <w:color w:val="auto"/>
          <w:kern w:val="2"/>
          <w:sz w:val="32"/>
          <w:szCs w:val="32"/>
          <w:highlight w:val="none"/>
          <w:lang w:val="zh-CN" w:eastAsia="zh-CN" w:bidi="ar-SA"/>
        </w:rPr>
        <w:t>2,177.33万元，使用非财政拨款结余32.23万元，年初结转和结余120.1</w:t>
      </w:r>
      <w:r>
        <w:rPr>
          <w:rFonts w:hint="eastAsia" w:ascii="Times New Roman" w:hAnsi="Times New Roman" w:eastAsia="仿宋_GB2312" w:cs="Times New Roman"/>
          <w:color w:val="auto"/>
          <w:kern w:val="2"/>
          <w:sz w:val="32"/>
          <w:szCs w:val="32"/>
          <w:highlight w:val="none"/>
          <w:lang w:val="en-US" w:eastAsia="zh-CN" w:bidi="ar-SA"/>
        </w:rPr>
        <w:t>6</w:t>
      </w:r>
      <w:r>
        <w:rPr>
          <w:rFonts w:hint="eastAsia" w:ascii="Times New Roman" w:hAnsi="Times New Roman" w:eastAsia="仿宋_GB2312" w:cs="Times New Roman"/>
          <w:color w:val="auto"/>
          <w:kern w:val="2"/>
          <w:sz w:val="32"/>
          <w:szCs w:val="32"/>
          <w:highlight w:val="none"/>
          <w:lang w:val="zh-CN" w:eastAsia="zh-CN" w:bidi="ar-SA"/>
        </w:rPr>
        <w:t>万元。</w:t>
      </w:r>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b/>
          <w:bCs/>
          <w:color w:val="auto"/>
          <w:kern w:val="2"/>
          <w:sz w:val="32"/>
          <w:szCs w:val="32"/>
          <w:highlight w:val="none"/>
          <w:lang w:val="en-US" w:eastAsia="zh-CN" w:bidi="ar-SA"/>
        </w:rPr>
        <w:t>2023</w:t>
      </w:r>
      <w:r>
        <w:rPr>
          <w:rFonts w:hint="eastAsia" w:ascii="Times New Roman" w:hAnsi="Times New Roman" w:eastAsia="仿宋_GB2312" w:cs="Times New Roman"/>
          <w:b/>
          <w:bCs/>
          <w:color w:val="auto"/>
          <w:kern w:val="2"/>
          <w:sz w:val="32"/>
          <w:szCs w:val="32"/>
          <w:highlight w:val="none"/>
          <w:lang w:val="zh-CN" w:eastAsia="zh-CN" w:bidi="ar-SA"/>
        </w:rPr>
        <w:t>年</w:t>
      </w:r>
      <w:r>
        <w:rPr>
          <w:rFonts w:hint="eastAsia" w:ascii="Times New Roman" w:hAnsi="Times New Roman" w:eastAsia="仿宋_GB2312" w:cs="Times New Roman"/>
          <w:b/>
          <w:bCs/>
          <w:color w:val="auto"/>
          <w:kern w:val="2"/>
          <w:sz w:val="32"/>
          <w:szCs w:val="32"/>
          <w:highlight w:val="none"/>
          <w:lang w:val="en-US" w:eastAsia="zh-CN" w:bidi="ar-SA"/>
        </w:rPr>
        <w:t>度</w:t>
      </w:r>
      <w:r>
        <w:rPr>
          <w:rFonts w:hint="eastAsia" w:ascii="Times New Roman" w:hAnsi="Times New Roman" w:eastAsia="仿宋_GB2312" w:cs="Times New Roman"/>
          <w:b/>
          <w:bCs/>
          <w:color w:val="auto"/>
          <w:kern w:val="2"/>
          <w:sz w:val="32"/>
          <w:szCs w:val="32"/>
          <w:highlight w:val="none"/>
          <w:lang w:val="zh-CN" w:eastAsia="zh-CN" w:bidi="ar-SA"/>
        </w:rPr>
        <w:t>支出</w:t>
      </w:r>
      <w:r>
        <w:rPr>
          <w:rFonts w:hint="eastAsia" w:ascii="Times New Roman" w:hAnsi="Times New Roman" w:eastAsia="仿宋_GB2312" w:cs="Times New Roman"/>
          <w:b/>
          <w:bCs/>
          <w:color w:val="auto"/>
          <w:kern w:val="2"/>
          <w:sz w:val="32"/>
          <w:szCs w:val="32"/>
          <w:highlight w:val="none"/>
          <w:lang w:val="en-US" w:eastAsia="zh-CN" w:bidi="ar-SA"/>
        </w:rPr>
        <w:t>总计</w:t>
      </w:r>
      <w:r>
        <w:rPr>
          <w:rFonts w:hint="eastAsia" w:ascii="Times New Roman" w:hAnsi="Times New Roman" w:eastAsia="仿宋_GB2312" w:cs="Times New Roman"/>
          <w:b/>
          <w:bCs/>
          <w:color w:val="auto"/>
          <w:kern w:val="2"/>
          <w:sz w:val="32"/>
          <w:szCs w:val="32"/>
          <w:highlight w:val="none"/>
          <w:lang w:val="zh-CN" w:eastAsia="zh-CN" w:bidi="ar-SA"/>
        </w:rPr>
        <w:t>2,329.72万元，</w:t>
      </w:r>
      <w:r>
        <w:rPr>
          <w:rFonts w:hint="eastAsia" w:ascii="Times New Roman" w:hAnsi="Times New Roman" w:eastAsia="仿宋_GB2312" w:cs="Times New Roman"/>
          <w:color w:val="auto"/>
          <w:kern w:val="2"/>
          <w:sz w:val="32"/>
          <w:szCs w:val="32"/>
          <w:highlight w:val="none"/>
          <w:lang w:val="en-US" w:eastAsia="zh-CN" w:bidi="ar-SA"/>
        </w:rPr>
        <w:t>其中：本年支出合计</w:t>
      </w:r>
      <w:r>
        <w:rPr>
          <w:rFonts w:hint="eastAsia" w:ascii="Times New Roman" w:hAnsi="Times New Roman" w:eastAsia="仿宋_GB2312" w:cs="Times New Roman"/>
          <w:color w:val="auto"/>
          <w:kern w:val="2"/>
          <w:sz w:val="32"/>
          <w:szCs w:val="32"/>
          <w:highlight w:val="none"/>
          <w:lang w:val="zh-CN" w:eastAsia="zh-CN" w:bidi="ar-SA"/>
        </w:rPr>
        <w:t>2,250.27万元，</w:t>
      </w:r>
      <w:r>
        <w:rPr>
          <w:rFonts w:hint="eastAsia" w:ascii="Times New Roman" w:hAnsi="Times New Roman" w:eastAsia="仿宋_GB2312" w:cs="Times New Roman"/>
          <w:color w:val="auto"/>
          <w:kern w:val="2"/>
          <w:sz w:val="32"/>
          <w:szCs w:val="32"/>
          <w:highlight w:val="none"/>
          <w:lang w:val="en-US" w:eastAsia="zh-CN" w:bidi="ar-SA"/>
        </w:rPr>
        <w:t>结余分配</w:t>
      </w:r>
      <w:r>
        <w:rPr>
          <w:rFonts w:hint="eastAsia" w:ascii="Times New Roman" w:hAnsi="Times New Roman" w:eastAsia="仿宋_GB2312" w:cs="Times New Roman"/>
          <w:color w:val="auto"/>
          <w:kern w:val="2"/>
          <w:sz w:val="32"/>
          <w:szCs w:val="32"/>
          <w:highlight w:val="none"/>
          <w:lang w:val="zh-CN" w:eastAsia="zh-CN" w:bidi="ar-SA"/>
        </w:rPr>
        <w:t>0.00万元，年末结转和结余79.45万元。</w:t>
      </w:r>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both"/>
        <w:textAlignment w:val="auto"/>
        <w:rPr>
          <w:rFonts w:hint="default" w:ascii="Times New Roman" w:hAnsi="Times New Roman" w:eastAsia="仿宋_GB2312" w:cs="Times New Roman"/>
          <w:color w:val="auto"/>
          <w:kern w:val="2"/>
          <w:sz w:val="32"/>
          <w:szCs w:val="32"/>
          <w:highlight w:val="none"/>
          <w:lang w:val="en" w:eastAsia="zh-CN" w:bidi="ar-SA"/>
        </w:rPr>
      </w:pPr>
      <w:r>
        <w:rPr>
          <w:rFonts w:hint="eastAsia" w:ascii="仿宋_GB2312" w:eastAsia="仿宋_GB2312"/>
          <w:b/>
          <w:bCs/>
          <w:color w:val="auto"/>
          <w:spacing w:val="0"/>
          <w:sz w:val="32"/>
          <w:szCs w:val="32"/>
          <w:highlight w:val="none"/>
          <w:lang w:val="en-US" w:eastAsia="zh-CN"/>
        </w:rPr>
        <w:t>收入支出总体与上年相比</w:t>
      </w:r>
      <w:r>
        <w:rPr>
          <w:rFonts w:hint="eastAsia" w:ascii="仿宋_GB2312" w:eastAsia="仿宋_GB2312"/>
          <w:b/>
          <w:bCs/>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w:t>
      </w:r>
      <w:r>
        <w:rPr>
          <w:rFonts w:hint="eastAsia" w:ascii="Times New Roman" w:hAnsi="Times New Roman" w:eastAsia="仿宋_GB2312" w:cs="Times New Roman"/>
          <w:color w:val="auto"/>
          <w:kern w:val="2"/>
          <w:sz w:val="32"/>
          <w:szCs w:val="32"/>
          <w:highlight w:val="none"/>
          <w:lang w:val="zh-CN" w:eastAsia="zh-CN" w:bidi="ar-SA"/>
        </w:rPr>
        <w:t>少514.70万元</w:t>
      </w:r>
      <w:r>
        <w:rPr>
          <w:rFonts w:hint="eastAsia" w:ascii="Times New Roman" w:hAnsi="Times New Roman" w:eastAsia="仿宋_GB2312" w:cs="Times New Roman"/>
          <w:color w:val="auto"/>
          <w:kern w:val="2"/>
          <w:sz w:val="32"/>
          <w:szCs w:val="32"/>
          <w:highlight w:val="none"/>
          <w:lang w:val="en-US" w:eastAsia="zh-CN" w:bidi="ar-SA"/>
        </w:rPr>
        <w:t>，下降18.</w:t>
      </w:r>
      <w:r>
        <w:rPr>
          <w:rFonts w:hint="eastAsia" w:eastAsia="仿宋_GB2312" w:cs="Times New Roman"/>
          <w:color w:val="auto"/>
          <w:kern w:val="2"/>
          <w:sz w:val="32"/>
          <w:szCs w:val="32"/>
          <w:highlight w:val="none"/>
          <w:lang w:val="en-US" w:eastAsia="zh-CN" w:bidi="ar-SA"/>
        </w:rPr>
        <w:t>10</w:t>
      </w:r>
      <w:r>
        <w:rPr>
          <w:rFonts w:hint="eastAsia" w:ascii="Times New Roman"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zh-CN" w:eastAsia="zh-CN" w:bidi="ar-SA"/>
        </w:rPr>
        <w:t>，主要原因是：</w:t>
      </w:r>
      <w:r>
        <w:rPr>
          <w:rFonts w:hint="eastAsia" w:ascii="Times New Roman" w:hAnsi="Times New Roman" w:eastAsia="仿宋_GB2312" w:cs="Times New Roman"/>
          <w:color w:val="auto"/>
          <w:kern w:val="2"/>
          <w:sz w:val="32"/>
          <w:szCs w:val="32"/>
          <w:highlight w:val="none"/>
          <w:lang w:val="en-US" w:eastAsia="zh-CN" w:bidi="ar-SA"/>
        </w:rPr>
        <w:t>1.</w:t>
      </w:r>
      <w:r>
        <w:rPr>
          <w:rFonts w:hint="eastAsia" w:ascii="Times New Roman" w:hAnsi="Times New Roman" w:eastAsia="仿宋_GB2312" w:cs="Times New Roman"/>
          <w:color w:val="auto"/>
          <w:kern w:val="2"/>
          <w:sz w:val="32"/>
          <w:szCs w:val="32"/>
          <w:highlight w:val="none"/>
          <w:lang w:val="zh-CN" w:eastAsia="zh-CN" w:bidi="ar-SA"/>
        </w:rPr>
        <w:t>根据自治区财政厅</w:t>
      </w:r>
      <w:r>
        <w:rPr>
          <w:rFonts w:hint="eastAsia" w:ascii="Times New Roman" w:hAnsi="Times New Roman" w:eastAsia="仿宋_GB2312" w:cs="Times New Roman"/>
          <w:color w:val="auto"/>
          <w:kern w:val="2"/>
          <w:sz w:val="32"/>
          <w:szCs w:val="32"/>
          <w:highlight w:val="none"/>
          <w:lang w:val="en-US" w:eastAsia="zh-CN" w:bidi="ar-SA"/>
        </w:rPr>
        <w:t>要求，退回年初预算安排的离退休人员单位医保缴费资金</w:t>
      </w:r>
      <w:r>
        <w:rPr>
          <w:rFonts w:hint="eastAsia" w:ascii="Times New Roman"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en-US" w:eastAsia="zh-CN" w:bidi="ar-SA"/>
        </w:rPr>
        <w:t>2.新疆静宁医院改造提升项目已完结，2023年</w:t>
      </w:r>
      <w:r>
        <w:rPr>
          <w:rFonts w:hint="eastAsia" w:ascii="Times New Roman" w:hAnsi="Times New Roman" w:eastAsia="仿宋_GB2312" w:cs="Times New Roman"/>
          <w:color w:val="auto"/>
          <w:kern w:val="2"/>
          <w:sz w:val="32"/>
          <w:szCs w:val="32"/>
          <w:highlight w:val="none"/>
          <w:lang w:val="zh-CN" w:eastAsia="zh-CN" w:bidi="ar-SA"/>
        </w:rPr>
        <w:t>未安排。</w:t>
      </w:r>
      <w:r>
        <w:rPr>
          <w:rFonts w:hint="eastAsia" w:ascii="Times New Roman" w:hAnsi="Times New Roman" w:eastAsia="仿宋_GB2312" w:cs="Times New Roman"/>
          <w:color w:val="auto"/>
          <w:kern w:val="2"/>
          <w:sz w:val="32"/>
          <w:szCs w:val="32"/>
          <w:highlight w:val="none"/>
          <w:lang w:val="en" w:eastAsia="zh-CN" w:bidi="ar-SA"/>
        </w:rPr>
        <w:t>3.医疗成本性支出项目</w:t>
      </w:r>
      <w:r>
        <w:rPr>
          <w:rFonts w:hint="eastAsia" w:ascii="Times New Roman" w:hAnsi="Times New Roman" w:eastAsia="仿宋_GB2312" w:cs="Times New Roman"/>
          <w:color w:val="auto"/>
          <w:kern w:val="2"/>
          <w:sz w:val="32"/>
          <w:szCs w:val="32"/>
          <w:highlight w:val="none"/>
          <w:lang w:val="en-US" w:eastAsia="zh-CN" w:bidi="ar-SA"/>
        </w:rPr>
        <w:t>资金减少。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仿宋_GB2312" w:eastAsia="仿宋_GB2312"/>
          <w:b/>
          <w:bCs/>
          <w:color w:val="auto"/>
          <w:sz w:val="32"/>
          <w:szCs w:val="32"/>
          <w:highlight w:val="none"/>
        </w:rPr>
        <w:t>本年收入</w:t>
      </w:r>
      <w:r>
        <w:rPr>
          <w:rFonts w:hint="eastAsia" w:ascii="Times New Roman" w:hAnsi="Times New Roman" w:eastAsia="仿宋_GB2312" w:cs="Times New Roman"/>
          <w:b/>
          <w:bCs/>
          <w:color w:val="auto"/>
          <w:kern w:val="2"/>
          <w:sz w:val="32"/>
          <w:szCs w:val="32"/>
          <w:highlight w:val="none"/>
          <w:lang w:val="zh-CN" w:eastAsia="zh-CN" w:bidi="ar-SA"/>
        </w:rPr>
        <w:t>2,177.33</w:t>
      </w:r>
      <w:r>
        <w:rPr>
          <w:rFonts w:hint="eastAsia" w:ascii="仿宋_GB2312" w:eastAsia="仿宋_GB2312"/>
          <w:b/>
          <w:bCs/>
          <w:color w:val="auto"/>
          <w:sz w:val="32"/>
          <w:szCs w:val="32"/>
          <w:highlight w:val="none"/>
        </w:rPr>
        <w:t>万元，</w:t>
      </w:r>
      <w:r>
        <w:rPr>
          <w:rFonts w:hint="eastAsia" w:ascii="Times New Roman" w:hAnsi="Times New Roman" w:eastAsia="仿宋_GB2312" w:cs="Times New Roman"/>
          <w:color w:val="auto"/>
          <w:kern w:val="2"/>
          <w:sz w:val="32"/>
          <w:szCs w:val="32"/>
          <w:highlight w:val="none"/>
          <w:lang w:val="zh-CN" w:eastAsia="zh-CN" w:bidi="ar-SA"/>
        </w:rPr>
        <w:t>其中：财政拨款收入1,661.06万元，占76.29%；上级补助收入0.00万元，占0.00%；事业收入510.93万元，占23.47%；经营收入0.00万元，占0.00%；附属单位上缴收入0.00万元，占0.00%；其他收入5.34万元，占0.2</w:t>
      </w:r>
      <w:r>
        <w:rPr>
          <w:rFonts w:hint="eastAsia" w:ascii="Times New Roman" w:hAnsi="Times New Roman" w:eastAsia="仿宋_GB2312" w:cs="Times New Roman"/>
          <w:color w:val="auto"/>
          <w:kern w:val="2"/>
          <w:sz w:val="32"/>
          <w:szCs w:val="32"/>
          <w:highlight w:val="none"/>
          <w:lang w:val="en-US" w:eastAsia="zh-CN" w:bidi="ar-SA"/>
        </w:rPr>
        <w:t>4</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仿宋_GB2312" w:eastAsia="仿宋_GB2312"/>
          <w:b/>
          <w:bCs/>
          <w:color w:val="auto"/>
          <w:sz w:val="32"/>
          <w:szCs w:val="32"/>
          <w:highlight w:val="none"/>
          <w:lang w:val="zh-CN" w:eastAsia="zh-CN"/>
        </w:rPr>
        <w:t>本年支出</w:t>
      </w:r>
      <w:r>
        <w:rPr>
          <w:rFonts w:hint="eastAsia" w:ascii="Times New Roman" w:hAnsi="Times New Roman" w:eastAsia="仿宋_GB2312" w:cs="Times New Roman"/>
          <w:b/>
          <w:bCs/>
          <w:color w:val="auto"/>
          <w:kern w:val="2"/>
          <w:sz w:val="32"/>
          <w:szCs w:val="32"/>
          <w:highlight w:val="none"/>
          <w:lang w:val="zh-CN" w:eastAsia="zh-CN" w:bidi="ar-SA"/>
        </w:rPr>
        <w:t>2,250.27</w:t>
      </w:r>
      <w:r>
        <w:rPr>
          <w:rFonts w:hint="eastAsia" w:ascii="仿宋_GB2312" w:eastAsia="仿宋_GB2312"/>
          <w:b/>
          <w:bCs/>
          <w:color w:val="auto"/>
          <w:sz w:val="32"/>
          <w:szCs w:val="32"/>
          <w:highlight w:val="none"/>
          <w:lang w:val="zh-CN" w:eastAsia="zh-CN"/>
        </w:rPr>
        <w:t>万元，</w:t>
      </w:r>
      <w:r>
        <w:rPr>
          <w:rFonts w:hint="eastAsia" w:ascii="Times New Roman" w:hAnsi="Times New Roman" w:eastAsia="仿宋_GB2312" w:cs="Times New Roman"/>
          <w:color w:val="auto"/>
          <w:kern w:val="2"/>
          <w:sz w:val="32"/>
          <w:szCs w:val="32"/>
          <w:highlight w:val="none"/>
          <w:lang w:val="zh-CN" w:eastAsia="zh-CN" w:bidi="ar-SA"/>
        </w:rPr>
        <w:t>其中：基本支出1,136.56万元，占50.51%；项目支出1,113.71万元，占49.49%；上缴上级支出0.00万元，占0.00%；经营支出0.00万元，占0.00%；对附属单位补助支出0.00万元，占0.00%。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both"/>
        <w:textAlignment w:val="auto"/>
        <w:rPr>
          <w:rFonts w:hint="eastAsia" w:ascii="仿宋_GB2312" w:eastAsia="仿宋_GB2312"/>
          <w:color w:val="auto"/>
          <w:sz w:val="32"/>
          <w:szCs w:val="32"/>
          <w:highlight w:val="none"/>
          <w:lang w:val="zh-CN" w:eastAsia="zh-CN"/>
        </w:rPr>
      </w:pPr>
      <w:r>
        <w:rPr>
          <w:rFonts w:hint="eastAsia" w:ascii="Times New Roman" w:hAnsi="Times New Roman" w:eastAsia="仿宋_GB2312" w:cs="Times New Roman"/>
          <w:b/>
          <w:bCs/>
          <w:color w:val="auto"/>
          <w:kern w:val="2"/>
          <w:sz w:val="32"/>
          <w:szCs w:val="32"/>
          <w:highlight w:val="none"/>
          <w:lang w:val="zh-CN" w:eastAsia="zh-CN" w:bidi="ar-SA"/>
        </w:rPr>
        <w:t>2023年度财政拨款收入</w:t>
      </w:r>
      <w:r>
        <w:rPr>
          <w:rFonts w:hint="eastAsia" w:ascii="Times New Roman" w:hAnsi="Times New Roman" w:eastAsia="仿宋_GB2312" w:cs="Times New Roman"/>
          <w:b/>
          <w:bCs/>
          <w:color w:val="auto"/>
          <w:kern w:val="2"/>
          <w:sz w:val="32"/>
          <w:szCs w:val="32"/>
          <w:highlight w:val="none"/>
          <w:lang w:val="en-US" w:eastAsia="zh-CN" w:bidi="ar-SA"/>
        </w:rPr>
        <w:t>总计</w:t>
      </w:r>
      <w:r>
        <w:rPr>
          <w:rFonts w:hint="eastAsia" w:ascii="Times New Roman" w:hAnsi="Times New Roman" w:eastAsia="仿宋_GB2312" w:cs="Times New Roman"/>
          <w:b/>
          <w:bCs/>
          <w:color w:val="auto"/>
          <w:kern w:val="2"/>
          <w:sz w:val="32"/>
          <w:szCs w:val="32"/>
          <w:highlight w:val="none"/>
          <w:lang w:val="zh-CN" w:eastAsia="zh-CN" w:bidi="ar-SA"/>
        </w:rPr>
        <w:t>1,661.06</w:t>
      </w:r>
      <w:r>
        <w:rPr>
          <w:rFonts w:hint="eastAsia" w:ascii="仿宋_GB2312" w:eastAsia="仿宋_GB2312"/>
          <w:b/>
          <w:bCs/>
          <w:color w:val="auto"/>
          <w:sz w:val="32"/>
          <w:szCs w:val="32"/>
          <w:highlight w:val="none"/>
          <w:lang w:val="zh-CN" w:eastAsia="zh-CN"/>
        </w:rPr>
        <w:t>万元，</w:t>
      </w:r>
      <w:r>
        <w:rPr>
          <w:rFonts w:hint="eastAsia" w:ascii="仿宋_GB2312" w:eastAsia="仿宋_GB2312"/>
          <w:color w:val="auto"/>
          <w:sz w:val="32"/>
          <w:szCs w:val="32"/>
          <w:highlight w:val="none"/>
          <w:lang w:val="en-US" w:eastAsia="zh-CN"/>
        </w:rPr>
        <w:t>其中：年初财政拨款结转和结余</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本年财政拨款收入</w:t>
      </w:r>
      <w:r>
        <w:rPr>
          <w:rFonts w:hint="eastAsia" w:ascii="Times New Roman" w:hAnsi="Times New Roman" w:eastAsia="仿宋_GB2312" w:cs="Times New Roman"/>
          <w:color w:val="auto"/>
          <w:kern w:val="2"/>
          <w:sz w:val="32"/>
          <w:szCs w:val="32"/>
          <w:highlight w:val="none"/>
          <w:lang w:val="en-US" w:eastAsia="zh-CN" w:bidi="ar-SA"/>
        </w:rPr>
        <w:t>1</w:t>
      </w:r>
      <w:r>
        <w:rPr>
          <w:rFonts w:hint="eastAsia" w:ascii="Times New Roman" w:hAnsi="Times New Roman" w:eastAsia="仿宋_GB2312" w:cs="Times New Roman"/>
          <w:color w:val="auto"/>
          <w:kern w:val="2"/>
          <w:sz w:val="32"/>
          <w:szCs w:val="32"/>
          <w:highlight w:val="none"/>
          <w:lang w:val="zh-CN" w:eastAsia="zh-CN" w:bidi="ar-SA"/>
        </w:rPr>
        <w:t>,661.06</w:t>
      </w:r>
      <w:r>
        <w:rPr>
          <w:rFonts w:hint="eastAsia" w:ascii="仿宋_GB2312" w:eastAsia="仿宋_GB2312"/>
          <w:color w:val="auto"/>
          <w:sz w:val="32"/>
          <w:szCs w:val="32"/>
          <w:highlight w:val="none"/>
          <w:lang w:val="zh-CN" w:eastAsia="zh-CN"/>
        </w:rPr>
        <w:t>万元。</w:t>
      </w:r>
      <w:r>
        <w:rPr>
          <w:rFonts w:hint="eastAsia" w:ascii="仿宋_GB2312" w:eastAsia="仿宋_GB2312"/>
          <w:b/>
          <w:bCs/>
          <w:color w:val="auto"/>
          <w:sz w:val="32"/>
          <w:szCs w:val="32"/>
          <w:highlight w:val="none"/>
          <w:lang w:val="zh-CN" w:eastAsia="zh-CN"/>
        </w:rPr>
        <w:t>财政拨款支出</w:t>
      </w:r>
      <w:r>
        <w:rPr>
          <w:rFonts w:hint="eastAsia" w:ascii="仿宋_GB2312" w:eastAsia="仿宋_GB2312"/>
          <w:b/>
          <w:bCs/>
          <w:color w:val="auto"/>
          <w:sz w:val="32"/>
          <w:szCs w:val="32"/>
          <w:highlight w:val="none"/>
          <w:lang w:val="en-US" w:eastAsia="zh-CN"/>
        </w:rPr>
        <w:t>总计</w:t>
      </w:r>
      <w:r>
        <w:rPr>
          <w:rFonts w:hint="eastAsia" w:ascii="Times New Roman" w:hAnsi="Times New Roman" w:eastAsia="仿宋_GB2312" w:cs="Times New Roman"/>
          <w:b/>
          <w:bCs/>
          <w:color w:val="auto"/>
          <w:kern w:val="2"/>
          <w:sz w:val="32"/>
          <w:szCs w:val="32"/>
          <w:highlight w:val="none"/>
          <w:lang w:val="zh-CN" w:eastAsia="zh-CN" w:bidi="ar-SA"/>
        </w:rPr>
        <w:t>1,661.06</w:t>
      </w:r>
      <w:r>
        <w:rPr>
          <w:rFonts w:hint="eastAsia" w:ascii="仿宋_GB2312" w:eastAsia="仿宋_GB2312"/>
          <w:b/>
          <w:bCs/>
          <w:color w:val="auto"/>
          <w:sz w:val="32"/>
          <w:szCs w:val="32"/>
          <w:highlight w:val="none"/>
          <w:lang w:val="zh-CN" w:eastAsia="zh-CN"/>
        </w:rPr>
        <w:t>万元，</w:t>
      </w:r>
      <w:r>
        <w:rPr>
          <w:rFonts w:hint="eastAsia" w:ascii="仿宋_GB2312" w:eastAsia="仿宋_GB2312"/>
          <w:color w:val="auto"/>
          <w:sz w:val="32"/>
          <w:szCs w:val="32"/>
          <w:highlight w:val="none"/>
          <w:lang w:val="en-US" w:eastAsia="zh-CN"/>
        </w:rPr>
        <w:t>其中：年末财政拨款结转和结余</w:t>
      </w:r>
      <w:r>
        <w:rPr>
          <w:rFonts w:hint="eastAsia" w:ascii="Times New Roman" w:hAnsi="Times New Roman" w:eastAsia="仿宋_GB2312" w:cs="Times New Roman"/>
          <w:color w:val="auto"/>
          <w:kern w:val="2"/>
          <w:sz w:val="32"/>
          <w:szCs w:val="32"/>
          <w:highlight w:val="none"/>
          <w:lang w:val="zh-CN" w:eastAsia="zh-CN" w:bidi="ar-SA"/>
        </w:rPr>
        <w:t>0.00</w:t>
      </w:r>
      <w:r>
        <w:rPr>
          <w:rFonts w:hint="eastAsia" w:ascii="仿宋_GB2312" w:eastAsia="仿宋_GB2312"/>
          <w:color w:val="auto"/>
          <w:sz w:val="32"/>
          <w:szCs w:val="32"/>
          <w:highlight w:val="none"/>
          <w:lang w:val="zh-CN" w:eastAsia="zh-CN"/>
        </w:rPr>
        <w:t>万元，</w:t>
      </w:r>
      <w:r>
        <w:rPr>
          <w:rFonts w:hint="eastAsia" w:ascii="仿宋_GB2312" w:eastAsia="仿宋_GB2312"/>
          <w:color w:val="auto"/>
          <w:sz w:val="32"/>
          <w:szCs w:val="32"/>
          <w:highlight w:val="none"/>
          <w:lang w:val="en-US" w:eastAsia="zh-CN"/>
        </w:rPr>
        <w:t>本年财政拨款支出</w:t>
      </w:r>
      <w:r>
        <w:rPr>
          <w:rFonts w:hint="eastAsia" w:ascii="Times New Roman" w:hAnsi="Times New Roman" w:eastAsia="仿宋_GB2312" w:cs="Times New Roman"/>
          <w:color w:val="auto"/>
          <w:kern w:val="2"/>
          <w:sz w:val="32"/>
          <w:szCs w:val="32"/>
          <w:highlight w:val="none"/>
          <w:lang w:val="zh-CN" w:eastAsia="zh-CN" w:bidi="ar-SA"/>
        </w:rPr>
        <w:t>1,661.06</w:t>
      </w:r>
      <w:r>
        <w:rPr>
          <w:rFonts w:hint="eastAsia" w:ascii="仿宋_GB2312" w:eastAsia="仿宋_GB2312"/>
          <w:color w:val="auto"/>
          <w:sz w:val="32"/>
          <w:szCs w:val="32"/>
          <w:highlight w:val="none"/>
          <w:lang w:val="zh-CN"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2" w:firstLineChars="200"/>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财政拨款收入支出总体与上年相比</w:t>
      </w:r>
      <w:r>
        <w:rPr>
          <w:rFonts w:hint="eastAsia" w:ascii="仿宋_GB2312" w:eastAsia="仿宋_GB2312"/>
          <w:b/>
          <w:bCs/>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w:t>
      </w:r>
      <w:r>
        <w:rPr>
          <w:rFonts w:hint="eastAsia" w:ascii="Times New Roman" w:hAnsi="Times New Roman" w:eastAsia="仿宋_GB2312" w:cs="Times New Roman"/>
          <w:color w:val="auto"/>
          <w:kern w:val="2"/>
          <w:sz w:val="32"/>
          <w:szCs w:val="32"/>
          <w:highlight w:val="none"/>
          <w:lang w:val="zh-CN" w:eastAsia="zh-CN" w:bidi="ar-SA"/>
        </w:rPr>
        <w:t>191.</w:t>
      </w:r>
      <w:r>
        <w:rPr>
          <w:rFonts w:hint="eastAsia" w:eastAsia="仿宋_GB2312" w:cs="Times New Roman"/>
          <w:color w:val="auto"/>
          <w:kern w:val="2"/>
          <w:sz w:val="32"/>
          <w:szCs w:val="32"/>
          <w:highlight w:val="none"/>
          <w:lang w:val="en-US" w:eastAsia="zh-CN" w:bidi="ar-SA"/>
        </w:rPr>
        <w:t>90</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w:t>
      </w:r>
      <w:r>
        <w:rPr>
          <w:rFonts w:hint="eastAsia" w:ascii="Times New Roman" w:hAnsi="Times New Roman" w:eastAsia="仿宋_GB2312" w:cs="Times New Roman"/>
          <w:color w:val="auto"/>
          <w:kern w:val="2"/>
          <w:sz w:val="32"/>
          <w:szCs w:val="32"/>
          <w:highlight w:val="none"/>
          <w:lang w:val="zh-CN" w:eastAsia="zh-CN" w:bidi="ar-SA"/>
        </w:rPr>
        <w:t>10.36%</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主要原因是：</w:t>
      </w:r>
      <w:r>
        <w:rPr>
          <w:rFonts w:hint="eastAsia" w:ascii="Times New Roman" w:hAnsi="Times New Roman" w:eastAsia="仿宋_GB2312" w:cs="Times New Roman"/>
          <w:color w:val="auto"/>
          <w:kern w:val="2"/>
          <w:sz w:val="32"/>
          <w:szCs w:val="32"/>
          <w:highlight w:val="none"/>
          <w:lang w:val="en-US" w:eastAsia="zh-CN" w:bidi="ar-SA"/>
        </w:rPr>
        <w:t>1.</w:t>
      </w:r>
      <w:r>
        <w:rPr>
          <w:rFonts w:hint="eastAsia" w:ascii="Times New Roman" w:hAnsi="Times New Roman" w:eastAsia="仿宋_GB2312" w:cs="Times New Roman"/>
          <w:color w:val="auto"/>
          <w:kern w:val="2"/>
          <w:sz w:val="32"/>
          <w:szCs w:val="32"/>
          <w:highlight w:val="none"/>
          <w:lang w:val="zh-CN" w:eastAsia="zh-CN" w:bidi="ar-SA"/>
        </w:rPr>
        <w:t>根据自治区财政厅</w:t>
      </w:r>
      <w:r>
        <w:rPr>
          <w:rFonts w:hint="eastAsia" w:ascii="Times New Roman" w:hAnsi="Times New Roman" w:eastAsia="仿宋_GB2312" w:cs="Times New Roman"/>
          <w:color w:val="auto"/>
          <w:kern w:val="2"/>
          <w:sz w:val="32"/>
          <w:szCs w:val="32"/>
          <w:highlight w:val="none"/>
          <w:lang w:val="en-US" w:eastAsia="zh-CN" w:bidi="ar-SA"/>
        </w:rPr>
        <w:t>要求，退回年初预算安排的离退休人员单位医保缴费资金</w:t>
      </w:r>
      <w:r>
        <w:rPr>
          <w:rFonts w:hint="eastAsia" w:ascii="Times New Roman"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en-US" w:eastAsia="zh-CN" w:bidi="ar-SA"/>
        </w:rPr>
        <w:t>2.新疆静宁医院改造提升项目已完结，2023年</w:t>
      </w:r>
      <w:r>
        <w:rPr>
          <w:rFonts w:hint="eastAsia" w:ascii="Times New Roman" w:hAnsi="Times New Roman" w:eastAsia="仿宋_GB2312" w:cs="Times New Roman"/>
          <w:color w:val="auto"/>
          <w:kern w:val="2"/>
          <w:sz w:val="32"/>
          <w:szCs w:val="32"/>
          <w:highlight w:val="none"/>
          <w:lang w:val="zh-CN" w:eastAsia="zh-CN" w:bidi="ar-SA"/>
        </w:rPr>
        <w:t>未安排，经费减少。</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Times New Roman" w:hAnsi="Times New Roman" w:eastAsia="仿宋_GB2312" w:cs="Times New Roman"/>
          <w:color w:val="auto"/>
          <w:kern w:val="2"/>
          <w:sz w:val="32"/>
          <w:szCs w:val="32"/>
          <w:highlight w:val="none"/>
          <w:lang w:val="zh-CN" w:eastAsia="zh-CN" w:bidi="ar-SA"/>
        </w:rPr>
        <w:t>1,619.98</w:t>
      </w:r>
      <w:r>
        <w:rPr>
          <w:rFonts w:hint="eastAsia" w:ascii="仿宋_GB2312" w:eastAsia="仿宋_GB2312"/>
          <w:color w:val="auto"/>
          <w:spacing w:val="0"/>
          <w:sz w:val="32"/>
          <w:szCs w:val="32"/>
          <w:highlight w:val="none"/>
          <w:lang w:eastAsia="zh-CN"/>
        </w:rPr>
        <w:t>万元，决算数</w:t>
      </w:r>
      <w:r>
        <w:rPr>
          <w:rFonts w:hint="eastAsia" w:ascii="Times New Roman" w:hAnsi="Times New Roman" w:eastAsia="仿宋_GB2312" w:cs="Times New Roman"/>
          <w:color w:val="auto"/>
          <w:kern w:val="2"/>
          <w:sz w:val="32"/>
          <w:szCs w:val="32"/>
          <w:highlight w:val="none"/>
          <w:lang w:val="zh-CN" w:eastAsia="zh-CN" w:bidi="ar-SA"/>
        </w:rPr>
        <w:t>1,661.06</w:t>
      </w:r>
      <w:r>
        <w:rPr>
          <w:rFonts w:hint="eastAsia" w:ascii="仿宋_GB2312" w:eastAsia="仿宋_GB2312"/>
          <w:color w:val="auto"/>
          <w:spacing w:val="0"/>
          <w:sz w:val="32"/>
          <w:szCs w:val="32"/>
          <w:highlight w:val="none"/>
          <w:lang w:eastAsia="zh-CN"/>
        </w:rPr>
        <w:t>万元，预决算差异率</w:t>
      </w:r>
      <w:r>
        <w:rPr>
          <w:rFonts w:hint="eastAsia" w:ascii="Times New Roman" w:hAnsi="Times New Roman" w:eastAsia="仿宋_GB2312" w:cs="Times New Roman"/>
          <w:color w:val="auto"/>
          <w:kern w:val="2"/>
          <w:sz w:val="32"/>
          <w:szCs w:val="32"/>
          <w:highlight w:val="none"/>
          <w:lang w:val="zh-CN" w:eastAsia="zh-CN" w:bidi="ar-SA"/>
        </w:rPr>
        <w:t>2.54%</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z w:val="32"/>
          <w:szCs w:val="32"/>
          <w:highlight w:val="none"/>
          <w:lang w:val="en-US" w:eastAsia="zh-CN"/>
        </w:rPr>
        <w:t>人员正常晋升、年中追加新聘人员工资、职业年金及丧葬费、抚恤金，经费</w:t>
      </w:r>
      <w:r>
        <w:rPr>
          <w:rFonts w:hint="eastAsia" w:ascii="仿宋_GB2312" w:eastAsia="仿宋_GB2312"/>
          <w:color w:val="auto"/>
          <w:spacing w:val="0"/>
          <w:sz w:val="32"/>
          <w:szCs w:val="32"/>
          <w:highlight w:val="none"/>
          <w:lang w:val="en-US" w:eastAsia="zh-CN"/>
        </w:rPr>
        <w:t>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2" w:firstLineChars="200"/>
        <w:textAlignment w:val="auto"/>
        <w:rPr>
          <w:rFonts w:hint="default"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b/>
          <w:bCs/>
          <w:color w:val="auto"/>
          <w:kern w:val="2"/>
          <w:sz w:val="32"/>
          <w:szCs w:val="32"/>
          <w:highlight w:val="none"/>
          <w:lang w:val="zh-CN" w:eastAsia="zh-CN" w:bidi="ar-SA"/>
        </w:rPr>
        <w:t>2023年度一般公共预算财政拨款支出1,306.56万元，</w:t>
      </w:r>
      <w:r>
        <w:rPr>
          <w:rFonts w:hint="eastAsia" w:ascii="Times New Roman" w:hAnsi="Times New Roman" w:eastAsia="仿宋_GB2312" w:cs="Times New Roman"/>
          <w:color w:val="auto"/>
          <w:kern w:val="2"/>
          <w:sz w:val="32"/>
          <w:szCs w:val="32"/>
          <w:highlight w:val="none"/>
          <w:lang w:val="zh-CN" w:eastAsia="zh-CN" w:bidi="ar-SA"/>
        </w:rPr>
        <w:t>占本年支出合计的58.06%。</w:t>
      </w:r>
      <w:r>
        <w:rPr>
          <w:rFonts w:hint="eastAsia" w:ascii="Times New Roman" w:hAnsi="Times New Roman" w:eastAsia="仿宋_GB2312" w:cs="Times New Roman"/>
          <w:b/>
          <w:bCs/>
          <w:color w:val="auto"/>
          <w:kern w:val="2"/>
          <w:sz w:val="32"/>
          <w:szCs w:val="32"/>
          <w:highlight w:val="none"/>
          <w:lang w:val="zh-CN" w:eastAsia="zh-CN" w:bidi="ar-SA"/>
        </w:rPr>
        <w:t>与上年相比，</w:t>
      </w:r>
      <w:r>
        <w:rPr>
          <w:rFonts w:hint="eastAsia" w:ascii="Times New Roman" w:hAnsi="Times New Roman" w:eastAsia="仿宋_GB2312" w:cs="Times New Roman"/>
          <w:color w:val="auto"/>
          <w:kern w:val="2"/>
          <w:sz w:val="32"/>
          <w:szCs w:val="32"/>
          <w:highlight w:val="none"/>
          <w:lang w:val="zh-CN" w:eastAsia="zh-CN" w:bidi="ar-SA"/>
        </w:rPr>
        <w:t>减少113.93万元，下降8.02%，主要原因是：根据自治区财政厅</w:t>
      </w:r>
      <w:r>
        <w:rPr>
          <w:rFonts w:hint="eastAsia" w:ascii="Times New Roman" w:hAnsi="Times New Roman" w:eastAsia="仿宋_GB2312" w:cs="Times New Roman"/>
          <w:color w:val="auto"/>
          <w:kern w:val="2"/>
          <w:sz w:val="32"/>
          <w:szCs w:val="32"/>
          <w:highlight w:val="none"/>
          <w:lang w:val="en-US" w:eastAsia="zh-CN" w:bidi="ar-SA"/>
        </w:rPr>
        <w:t>要求，2023年退回年初预算安排的离退休人员单位医保缴费资金，支出减少</w:t>
      </w:r>
      <w:r>
        <w:rPr>
          <w:rFonts w:hint="eastAsia" w:ascii="Times New Roman"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b/>
          <w:bCs/>
          <w:color w:val="auto"/>
          <w:kern w:val="2"/>
          <w:sz w:val="32"/>
          <w:szCs w:val="32"/>
          <w:highlight w:val="none"/>
          <w:lang w:val="zh-CN" w:eastAsia="zh-CN" w:bidi="ar-SA"/>
        </w:rPr>
        <w:t>与年初预算相比，</w:t>
      </w:r>
      <w:r>
        <w:rPr>
          <w:rFonts w:hint="eastAsia" w:ascii="Times New Roman" w:hAnsi="Times New Roman" w:eastAsia="仿宋_GB2312" w:cs="Times New Roman"/>
          <w:color w:val="auto"/>
          <w:kern w:val="2"/>
          <w:sz w:val="32"/>
          <w:szCs w:val="32"/>
          <w:highlight w:val="none"/>
          <w:lang w:val="zh-CN" w:eastAsia="zh-CN" w:bidi="ar-SA"/>
        </w:rPr>
        <w:t>年初预算数1,265.48万元，决算数1,306.56万元，预决算差异率3.25%，主要原因是：</w:t>
      </w:r>
      <w:r>
        <w:rPr>
          <w:rFonts w:hint="eastAsia" w:ascii="Times New Roman" w:hAnsi="Times New Roman" w:eastAsia="仿宋_GB2312" w:cs="Times New Roman"/>
          <w:color w:val="auto"/>
          <w:kern w:val="2"/>
          <w:sz w:val="32"/>
          <w:szCs w:val="32"/>
          <w:highlight w:val="none"/>
          <w:lang w:val="en-US" w:eastAsia="zh-CN" w:bidi="ar-SA"/>
        </w:rPr>
        <w:t>人员正常晋升、年中追加新聘人员工资、职业年金及丧葬费、抚恤金，支出增加。</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left"/>
        <w:textAlignment w:val="auto"/>
        <w:rPr>
          <w:rFonts w:hint="default" w:ascii="Times New Roman" w:hAnsi="Times New Roman" w:eastAsia="方正仿宋_GBK" w:cs="Times New Roman"/>
          <w:color w:val="auto"/>
          <w:spacing w:val="0"/>
          <w:kern w:val="2"/>
          <w:sz w:val="32"/>
          <w:szCs w:val="32"/>
          <w:highlight w:val="none"/>
          <w:lang w:val="zh-CN" w:eastAsia="zh-CN" w:bidi="ar-SA"/>
        </w:rPr>
      </w:pPr>
      <w:r>
        <w:rPr>
          <w:rFonts w:hint="default" w:ascii="Times New Roman" w:hAnsi="Times New Roman" w:eastAsia="方正仿宋_GBK" w:cs="Times New Roman"/>
          <w:color w:val="auto"/>
          <w:spacing w:val="0"/>
          <w:kern w:val="2"/>
          <w:sz w:val="32"/>
          <w:szCs w:val="32"/>
          <w:highlight w:val="none"/>
          <w:lang w:val="zh-CN" w:eastAsia="zh-CN" w:bidi="ar-SA"/>
        </w:rPr>
        <w:t>1.社会保障和就业支出（类）</w:t>
      </w:r>
      <w:r>
        <w:rPr>
          <w:rFonts w:hint="eastAsia" w:ascii="Times New Roman" w:hAnsi="Times New Roman" w:eastAsia="方正仿宋_GBK" w:cs="Times New Roman"/>
          <w:color w:val="auto"/>
          <w:spacing w:val="0"/>
          <w:kern w:val="2"/>
          <w:sz w:val="32"/>
          <w:szCs w:val="32"/>
          <w:highlight w:val="none"/>
          <w:lang w:val="zh-CN" w:eastAsia="zh-CN" w:bidi="ar-SA"/>
        </w:rPr>
        <w:t>1,174.37</w:t>
      </w:r>
      <w:r>
        <w:rPr>
          <w:rFonts w:hint="default" w:ascii="Times New Roman" w:hAnsi="Times New Roman" w:eastAsia="方正仿宋_GBK" w:cs="Times New Roman"/>
          <w:color w:val="auto"/>
          <w:spacing w:val="0"/>
          <w:kern w:val="2"/>
          <w:sz w:val="32"/>
          <w:szCs w:val="32"/>
          <w:highlight w:val="none"/>
          <w:lang w:val="zh-CN" w:eastAsia="zh-CN" w:bidi="ar-SA"/>
        </w:rPr>
        <w:t>万元，占</w:t>
      </w:r>
      <w:r>
        <w:rPr>
          <w:rFonts w:hint="eastAsia" w:ascii="Times New Roman" w:hAnsi="Times New Roman" w:eastAsia="方正仿宋_GBK" w:cs="Times New Roman"/>
          <w:color w:val="auto"/>
          <w:spacing w:val="0"/>
          <w:kern w:val="2"/>
          <w:sz w:val="32"/>
          <w:szCs w:val="32"/>
          <w:highlight w:val="none"/>
          <w:lang w:val="zh-CN" w:eastAsia="zh-CN" w:bidi="ar-SA"/>
        </w:rPr>
        <w:t>89.88</w:t>
      </w:r>
      <w:r>
        <w:rPr>
          <w:rFonts w:hint="default" w:ascii="Times New Roman" w:hAnsi="Times New Roman" w:eastAsia="方正仿宋_GBK"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w:t>
      </w:r>
      <w:r>
        <w:rPr>
          <w:rFonts w:hint="default" w:ascii="Times New Roman" w:hAnsi="Times New Roman" w:eastAsia="仿宋_GB2312" w:cs="Times New Roman"/>
          <w:color w:val="auto"/>
          <w:kern w:val="2"/>
          <w:sz w:val="32"/>
          <w:szCs w:val="32"/>
          <w:highlight w:val="none"/>
          <w:lang w:val="zh-CN" w:eastAsia="zh-CN" w:bidi="ar-SA"/>
        </w:rPr>
        <w:t>.卫生健康支出（类）</w:t>
      </w:r>
      <w:r>
        <w:rPr>
          <w:rFonts w:hint="eastAsia" w:ascii="Times New Roman" w:hAnsi="Times New Roman" w:eastAsia="仿宋_GB2312" w:cs="Times New Roman"/>
          <w:color w:val="auto"/>
          <w:kern w:val="2"/>
          <w:sz w:val="32"/>
          <w:szCs w:val="32"/>
          <w:highlight w:val="none"/>
          <w:lang w:val="zh-CN" w:eastAsia="zh-CN" w:bidi="ar-SA"/>
        </w:rPr>
        <w:t>72.33</w:t>
      </w:r>
      <w:r>
        <w:rPr>
          <w:rFonts w:hint="default" w:ascii="Times New Roman" w:hAnsi="Times New Roman" w:eastAsia="仿宋_GB2312" w:cs="Times New Roman"/>
          <w:color w:val="auto"/>
          <w:kern w:val="2"/>
          <w:sz w:val="32"/>
          <w:szCs w:val="32"/>
          <w:highlight w:val="none"/>
          <w:lang w:val="zh-CN" w:eastAsia="zh-CN" w:bidi="ar-SA"/>
        </w:rPr>
        <w:t>万元，占</w:t>
      </w:r>
      <w:r>
        <w:rPr>
          <w:rFonts w:hint="eastAsia" w:ascii="Times New Roman" w:hAnsi="Times New Roman" w:eastAsia="仿宋_GB2312" w:cs="Times New Roman"/>
          <w:color w:val="auto"/>
          <w:kern w:val="2"/>
          <w:sz w:val="32"/>
          <w:szCs w:val="32"/>
          <w:highlight w:val="none"/>
          <w:lang w:val="zh-CN" w:eastAsia="zh-CN" w:bidi="ar-SA"/>
        </w:rPr>
        <w:t>5.54</w:t>
      </w:r>
      <w:r>
        <w:rPr>
          <w:rFonts w:hint="default" w:ascii="Times New Roman" w:hAnsi="Times New Roman" w:eastAsia="仿宋_GB2312" w:cs="Times New Roman"/>
          <w:color w:val="auto"/>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w:t>
      </w:r>
      <w:r>
        <w:rPr>
          <w:rFonts w:hint="default" w:ascii="Times New Roman" w:hAnsi="Times New Roman" w:eastAsia="仿宋_GB2312" w:cs="Times New Roman"/>
          <w:color w:val="auto"/>
          <w:kern w:val="2"/>
          <w:sz w:val="32"/>
          <w:szCs w:val="32"/>
          <w:highlight w:val="none"/>
          <w:lang w:val="zh-CN" w:eastAsia="zh-CN" w:bidi="ar-SA"/>
        </w:rPr>
        <w:t>.住房保障支出（类）</w:t>
      </w:r>
      <w:r>
        <w:rPr>
          <w:rFonts w:hint="eastAsia" w:ascii="Times New Roman" w:hAnsi="Times New Roman" w:eastAsia="仿宋_GB2312" w:cs="Times New Roman"/>
          <w:color w:val="auto"/>
          <w:kern w:val="2"/>
          <w:sz w:val="32"/>
          <w:szCs w:val="32"/>
          <w:highlight w:val="none"/>
          <w:lang w:val="zh-CN" w:eastAsia="zh-CN" w:bidi="ar-SA"/>
        </w:rPr>
        <w:t>59.86</w:t>
      </w:r>
      <w:r>
        <w:rPr>
          <w:rFonts w:hint="default" w:ascii="Times New Roman" w:hAnsi="Times New Roman" w:eastAsia="仿宋_GB2312" w:cs="Times New Roman"/>
          <w:color w:val="auto"/>
          <w:kern w:val="2"/>
          <w:sz w:val="32"/>
          <w:szCs w:val="32"/>
          <w:highlight w:val="none"/>
          <w:lang w:val="zh-CN" w:eastAsia="zh-CN" w:bidi="ar-SA"/>
        </w:rPr>
        <w:t>万元，占</w:t>
      </w:r>
      <w:r>
        <w:rPr>
          <w:rFonts w:hint="eastAsia" w:ascii="Times New Roman" w:hAnsi="Times New Roman" w:eastAsia="仿宋_GB2312" w:cs="Times New Roman"/>
          <w:color w:val="auto"/>
          <w:kern w:val="2"/>
          <w:sz w:val="32"/>
          <w:szCs w:val="32"/>
          <w:highlight w:val="none"/>
          <w:lang w:val="zh-CN" w:eastAsia="zh-CN" w:bidi="ar-SA"/>
        </w:rPr>
        <w:t>4.58</w:t>
      </w:r>
      <w:r>
        <w:rPr>
          <w:rFonts w:hint="default" w:ascii="Times New Roman" w:hAnsi="Times New Roman" w:eastAsia="仿宋_GB2312" w:cs="Times New Roman"/>
          <w:color w:val="auto"/>
          <w:kern w:val="2"/>
          <w:sz w:val="32"/>
          <w:szCs w:val="32"/>
          <w:highlight w:val="none"/>
          <w:lang w:val="zh-CN" w:eastAsia="zh-CN" w:bidi="ar-SA"/>
        </w:rPr>
        <w:t>%</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1.社会保障和就业支出（类）社会福利（款）社会福利事业单位（项）:支出决算数为933.27万元，比上年决算减少2.0</w:t>
      </w:r>
      <w:r>
        <w:rPr>
          <w:rFonts w:hint="eastAsia"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en-US" w:eastAsia="zh-CN" w:bidi="ar-SA"/>
        </w:rPr>
        <w:t>万元，下降0.22%，主要原因是：按照2023年预算编制要求,将退休</w:t>
      </w:r>
      <w:r>
        <w:rPr>
          <w:rFonts w:hint="eastAsia" w:ascii="Times New Roman" w:hAnsi="Times New Roman" w:eastAsia="仿宋_GB2312" w:cs="Times New Roman"/>
          <w:color w:val="auto"/>
          <w:kern w:val="2"/>
          <w:sz w:val="32"/>
          <w:szCs w:val="32"/>
          <w:highlight w:val="none"/>
          <w:lang w:val="zh-CN" w:eastAsia="zh-CN" w:bidi="ar-SA"/>
        </w:rPr>
        <w:t>职工取暖费列入退休费科目。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2.卫生健康支出（类）行政事业单位医疗（款）事业单位医疗（项）:支出决算数为37.41万元，比上年决算减少0.67万元，下降1.76%，主要原因是：</w:t>
      </w:r>
      <w:r>
        <w:rPr>
          <w:rFonts w:hint="eastAsia" w:eastAsia="仿宋_GB2312" w:cs="Times New Roman"/>
          <w:color w:val="auto"/>
          <w:kern w:val="2"/>
          <w:sz w:val="32"/>
          <w:szCs w:val="32"/>
          <w:highlight w:val="none"/>
          <w:lang w:val="en-US" w:eastAsia="zh-CN" w:bidi="ar-SA"/>
        </w:rPr>
        <w:t>2023年</w:t>
      </w:r>
      <w:r>
        <w:rPr>
          <w:rFonts w:hint="eastAsia" w:ascii="Times New Roman" w:hAnsi="Times New Roman" w:eastAsia="仿宋_GB2312" w:cs="Times New Roman"/>
          <w:color w:val="auto"/>
          <w:kern w:val="2"/>
          <w:sz w:val="32"/>
          <w:szCs w:val="32"/>
          <w:highlight w:val="none"/>
          <w:lang w:val="zh-CN" w:eastAsia="zh-CN" w:bidi="ar-SA"/>
        </w:rPr>
        <w:t>职工基本医疗保险缴费</w:t>
      </w:r>
      <w:r>
        <w:rPr>
          <w:rFonts w:hint="eastAsia" w:eastAsia="仿宋_GB2312" w:cs="Times New Roman"/>
          <w:color w:val="auto"/>
          <w:kern w:val="2"/>
          <w:sz w:val="32"/>
          <w:szCs w:val="32"/>
          <w:highlight w:val="none"/>
          <w:lang w:val="zh-CN" w:eastAsia="zh-CN" w:bidi="ar-SA"/>
        </w:rPr>
        <w:t>比例降低</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3.卫生健康支出（类）行政事业单位医疗（款）公务员医疗补助（项）:支出决算数为34.92万元，比上年决算增加5.30万元，增长17.8</w:t>
      </w:r>
      <w:r>
        <w:rPr>
          <w:rFonts w:hint="eastAsia" w:eastAsia="仿宋_GB2312" w:cs="Times New Roman"/>
          <w:color w:val="auto"/>
          <w:kern w:val="2"/>
          <w:sz w:val="32"/>
          <w:szCs w:val="32"/>
          <w:highlight w:val="none"/>
          <w:lang w:val="en-US" w:eastAsia="zh-CN" w:bidi="ar-SA"/>
        </w:rPr>
        <w:t>9</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Times New Roman" w:hAnsi="Times New Roman" w:eastAsia="仿宋_GB2312" w:cs="Times New Roman"/>
          <w:color w:val="auto"/>
          <w:kern w:val="2"/>
          <w:sz w:val="32"/>
          <w:szCs w:val="32"/>
          <w:highlight w:val="none"/>
          <w:lang w:val="zh-CN" w:eastAsia="zh-CN" w:bidi="ar-SA"/>
        </w:rPr>
        <w:t>在职人员增加，人员正常晋升，支出增加。</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4.住房保障支出（类）住房改革支出（款）住房公积金（项）:支出决算数为59.86万元，比上年决算增加7.03万元，增长13.31%，主要原因是：</w:t>
      </w:r>
      <w:r>
        <w:rPr>
          <w:rFonts w:hint="eastAsia" w:ascii="Times New Roman" w:hAnsi="Times New Roman" w:eastAsia="仿宋_GB2312" w:cs="Times New Roman"/>
          <w:color w:val="auto"/>
          <w:kern w:val="2"/>
          <w:sz w:val="32"/>
          <w:szCs w:val="32"/>
          <w:highlight w:val="none"/>
          <w:lang w:val="zh-CN" w:eastAsia="zh-CN" w:bidi="ar-SA"/>
        </w:rPr>
        <w:t>在职人员增加，人员正常晋升，支出增加。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5.社会保障和就业支出（类）行政事业单位养老支出（款）事业单位离退休（项）:支出决算数为161.29万元，比上年决算减少67.2</w:t>
      </w:r>
      <w:r>
        <w:rPr>
          <w:rFonts w:hint="eastAsia"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en-US" w:eastAsia="zh-CN" w:bidi="ar-SA"/>
        </w:rPr>
        <w:t>万元，下降29.42%，主要原因是：</w:t>
      </w:r>
      <w:r>
        <w:rPr>
          <w:rFonts w:hint="eastAsia" w:ascii="Times New Roman" w:hAnsi="Times New Roman" w:eastAsia="仿宋_GB2312" w:cs="Times New Roman"/>
          <w:color w:val="auto"/>
          <w:kern w:val="2"/>
          <w:sz w:val="32"/>
          <w:szCs w:val="32"/>
          <w:highlight w:val="none"/>
          <w:lang w:val="zh-CN" w:eastAsia="zh-CN" w:bidi="ar-SA"/>
        </w:rPr>
        <w:t>根据自治区财政厅</w:t>
      </w:r>
      <w:r>
        <w:rPr>
          <w:rFonts w:hint="eastAsia" w:ascii="Times New Roman" w:hAnsi="Times New Roman" w:eastAsia="仿宋_GB2312" w:cs="Times New Roman"/>
          <w:color w:val="auto"/>
          <w:kern w:val="2"/>
          <w:sz w:val="32"/>
          <w:szCs w:val="32"/>
          <w:highlight w:val="none"/>
          <w:lang w:val="en-US" w:eastAsia="zh-CN" w:bidi="ar-SA"/>
        </w:rPr>
        <w:t>要求，2023年退回年初预算安排的离退休人员单位医保缴费资金，经费减少</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6.社会保障和就业支出（类）行政事业单位养老支出（款）机关事业单位基本养老保险缴费支出（项）:支出决算数为79.81万元，比上年决算增加9.3</w:t>
      </w:r>
      <w:r>
        <w:rPr>
          <w:rFonts w:hint="eastAsia" w:eastAsia="仿宋_GB2312" w:cs="Times New Roman"/>
          <w:color w:val="auto"/>
          <w:kern w:val="2"/>
          <w:sz w:val="32"/>
          <w:szCs w:val="32"/>
          <w:highlight w:val="none"/>
          <w:lang w:val="en-US" w:eastAsia="zh-CN" w:bidi="ar-SA"/>
        </w:rPr>
        <w:t>7</w:t>
      </w:r>
      <w:r>
        <w:rPr>
          <w:rFonts w:hint="eastAsia" w:ascii="Times New Roman" w:hAnsi="Times New Roman" w:eastAsia="仿宋_GB2312" w:cs="Times New Roman"/>
          <w:color w:val="auto"/>
          <w:kern w:val="2"/>
          <w:sz w:val="32"/>
          <w:szCs w:val="32"/>
          <w:highlight w:val="none"/>
          <w:lang w:val="en-US" w:eastAsia="zh-CN" w:bidi="ar-SA"/>
        </w:rPr>
        <w:t>万元，增长13.3</w:t>
      </w:r>
      <w:r>
        <w:rPr>
          <w:rFonts w:hint="eastAsia" w:eastAsia="仿宋_GB2312" w:cs="Times New Roman"/>
          <w:color w:val="auto"/>
          <w:kern w:val="2"/>
          <w:sz w:val="32"/>
          <w:szCs w:val="32"/>
          <w:highlight w:val="none"/>
          <w:lang w:val="en-US" w:eastAsia="zh-CN" w:bidi="ar-SA"/>
        </w:rPr>
        <w:t>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Times New Roman" w:hAnsi="Times New Roman" w:eastAsia="仿宋_GB2312" w:cs="Times New Roman"/>
          <w:color w:val="auto"/>
          <w:kern w:val="2"/>
          <w:sz w:val="32"/>
          <w:szCs w:val="32"/>
          <w:highlight w:val="none"/>
          <w:lang w:val="zh-CN" w:eastAsia="zh-CN" w:bidi="ar-SA"/>
        </w:rPr>
        <w:t>在职人员增加，人员正常晋升，支出增加。</w:t>
      </w: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7.社会保障和就业支出（类）行政事业单位养老支出（款）机关事业单位职业年金缴费支出（项）:支出决算数为0.00万元，比上年决算减少21.73万元，下降100%，主要原因是：2023年退休人员较上年减少，</w:t>
      </w:r>
      <w:r>
        <w:rPr>
          <w:rFonts w:hint="eastAsia" w:ascii="Times New Roman" w:hAnsi="Times New Roman" w:eastAsia="仿宋_GB2312" w:cs="Times New Roman"/>
          <w:color w:val="auto"/>
          <w:kern w:val="2"/>
          <w:sz w:val="32"/>
          <w:szCs w:val="32"/>
          <w:highlight w:val="none"/>
          <w:lang w:val="zh-CN" w:eastAsia="zh-CN" w:bidi="ar-SA"/>
        </w:rPr>
        <w:t>支出</w:t>
      </w:r>
      <w:r>
        <w:rPr>
          <w:rFonts w:hint="eastAsia" w:ascii="Times New Roman" w:hAnsi="Times New Roman" w:eastAsia="仿宋_GB2312" w:cs="Times New Roman"/>
          <w:color w:val="auto"/>
          <w:kern w:val="2"/>
          <w:sz w:val="32"/>
          <w:szCs w:val="32"/>
          <w:highlight w:val="none"/>
          <w:lang w:val="en-US" w:eastAsia="zh-CN" w:bidi="ar-SA"/>
        </w:rPr>
        <w:t>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8.社会保障和就业支出（类）特困人员救助供养（款）城市特困人员救助供养支出（项）:支出决算数为0.00万元，比上年决算减少44.00万元，下降100%，主要原因是：2023</w:t>
      </w:r>
    </w:p>
    <w:p>
      <w:pPr>
        <w:keepNext w:val="0"/>
        <w:keepLines w:val="0"/>
        <w:pageBreakBefore w:val="0"/>
        <w:widowControl w:val="0"/>
        <w:kinsoku/>
        <w:wordWrap/>
        <w:overflowPunct/>
        <w:topLinePunct w:val="0"/>
        <w:autoSpaceDE/>
        <w:autoSpaceDN/>
        <w:bidi w:val="0"/>
        <w:adjustRightInd/>
        <w:snapToGrid/>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zh-CN" w:eastAsia="zh-CN" w:bidi="ar-SA"/>
        </w:rPr>
        <w:t>年未安排</w:t>
      </w:r>
      <w:r>
        <w:rPr>
          <w:rFonts w:hint="eastAsia" w:ascii="Times New Roman" w:hAnsi="Times New Roman" w:eastAsia="仿宋_GB2312" w:cs="Times New Roman"/>
          <w:color w:val="auto"/>
          <w:kern w:val="2"/>
          <w:sz w:val="32"/>
          <w:szCs w:val="32"/>
          <w:highlight w:val="none"/>
          <w:lang w:val="en-US" w:eastAsia="zh-CN" w:bidi="ar-SA"/>
        </w:rPr>
        <w:t>2022年</w:t>
      </w:r>
      <w:r>
        <w:rPr>
          <w:rFonts w:hint="eastAsia" w:ascii="Times New Roman" w:hAnsi="Times New Roman" w:eastAsia="仿宋_GB2312" w:cs="Times New Roman"/>
          <w:color w:val="auto"/>
          <w:kern w:val="2"/>
          <w:sz w:val="32"/>
          <w:szCs w:val="32"/>
          <w:highlight w:val="none"/>
          <w:lang w:val="zh-CN" w:eastAsia="zh-CN" w:bidi="ar-SA"/>
        </w:rPr>
        <w:t>提前下达中央困难群众救助补助资金，支出减少。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eastAsia="仿宋_GB2312" w:cs="Times New Roman"/>
          <w:color w:val="auto"/>
          <w:sz w:val="32"/>
          <w:szCs w:val="32"/>
          <w:highlight w:val="none"/>
          <w:lang w:val="zh-CN" w:eastAsia="zh-CN"/>
        </w:rPr>
        <w:t>2023</w:t>
      </w:r>
      <w:r>
        <w:rPr>
          <w:rFonts w:hint="eastAsia" w:ascii="仿宋_GB2312" w:eastAsia="仿宋_GB2312"/>
          <w:color w:val="auto"/>
          <w:spacing w:val="0"/>
          <w:sz w:val="32"/>
          <w:szCs w:val="32"/>
          <w:highlight w:val="none"/>
          <w:lang w:eastAsia="zh-CN"/>
        </w:rPr>
        <w:t>年度</w:t>
      </w:r>
      <w:r>
        <w:rPr>
          <w:rFonts w:hint="eastAsia" w:ascii="仿宋_GB2312" w:eastAsia="仿宋_GB2312"/>
          <w:color w:val="auto"/>
          <w:sz w:val="32"/>
          <w:szCs w:val="32"/>
          <w:highlight w:val="none"/>
        </w:rPr>
        <w:t>一般公共预算财政拨款基本支出</w:t>
      </w:r>
      <w:r>
        <w:rPr>
          <w:rFonts w:hint="eastAsia" w:eastAsia="仿宋_GB2312" w:cs="Times New Roman"/>
          <w:color w:val="auto"/>
          <w:sz w:val="32"/>
          <w:szCs w:val="32"/>
          <w:highlight w:val="none"/>
          <w:lang w:val="zh-CN" w:eastAsia="zh-CN"/>
        </w:rPr>
        <w:t>1,136.56</w:t>
      </w:r>
      <w:r>
        <w:rPr>
          <w:rFonts w:hint="eastAsia" w:ascii="仿宋_GB2312" w:eastAsia="仿宋_GB2312"/>
          <w:color w:val="auto"/>
          <w:sz w:val="32"/>
          <w:szCs w:val="32"/>
          <w:highlight w:val="none"/>
        </w:rPr>
        <w:t>万元，其中：</w:t>
      </w:r>
      <w:r>
        <w:rPr>
          <w:rFonts w:hint="eastAsia" w:ascii="仿宋_GB2312" w:eastAsia="仿宋_GB2312"/>
          <w:b/>
          <w:bCs/>
          <w:color w:val="auto"/>
          <w:sz w:val="32"/>
          <w:szCs w:val="32"/>
          <w:highlight w:val="none"/>
        </w:rPr>
        <w:t>人员经费</w:t>
      </w:r>
      <w:r>
        <w:rPr>
          <w:rFonts w:hint="eastAsia" w:eastAsia="仿宋_GB2312" w:cs="Times New Roman"/>
          <w:b/>
          <w:bCs/>
          <w:color w:val="auto"/>
          <w:sz w:val="32"/>
          <w:szCs w:val="32"/>
          <w:highlight w:val="none"/>
          <w:lang w:val="zh-CN" w:eastAsia="zh-CN"/>
        </w:rPr>
        <w:t>1,040.32</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基本工资、津贴补贴、奖金、绩效工资、机关事业单位基本养老保险缴费、职工基本医疗保险缴费、公务员医疗补助缴费、其他社会保障缴费、住房公积金、退休费、抚恤金、其他对个人和家庭的补助。</w:t>
      </w:r>
    </w:p>
    <w:p>
      <w:pPr>
        <w:keepNext w:val="0"/>
        <w:keepLines w:val="0"/>
        <w:pageBreakBefore w:val="0"/>
        <w:widowControl w:val="0"/>
        <w:kinsoku/>
        <w:wordWrap/>
        <w:overflowPunct/>
        <w:topLinePunct w:val="0"/>
        <w:bidi w:val="0"/>
        <w:adjustRightInd/>
        <w:snapToGrid/>
        <w:spacing w:line="240" w:lineRule="auto"/>
        <w:ind w:firstLine="642"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b/>
          <w:bCs/>
          <w:color w:val="auto"/>
          <w:sz w:val="32"/>
          <w:szCs w:val="32"/>
          <w:highlight w:val="none"/>
        </w:rPr>
        <w:t>公用经费</w:t>
      </w:r>
      <w:r>
        <w:rPr>
          <w:rFonts w:hint="eastAsia" w:eastAsia="仿宋_GB2312" w:cs="Times New Roman"/>
          <w:b/>
          <w:bCs/>
          <w:color w:val="auto"/>
          <w:sz w:val="32"/>
          <w:szCs w:val="32"/>
          <w:highlight w:val="none"/>
          <w:lang w:val="zh-CN" w:eastAsia="zh-CN"/>
        </w:rPr>
        <w:t>96.25</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办公费、水费、电费、邮电费、取暖费、差旅费、培训费、公务接待费、工会经费、福利费、公务用车运行维护费、其他商品和服务支出。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lang w:val="zh-CN" w:eastAsia="zh-CN"/>
        </w:rPr>
      </w:pPr>
      <w:r>
        <w:rPr>
          <w:rFonts w:hint="eastAsia" w:eastAsia="仿宋_GB2312" w:cs="Times New Roman"/>
          <w:b/>
          <w:bCs/>
          <w:color w:val="auto"/>
          <w:sz w:val="32"/>
          <w:szCs w:val="32"/>
          <w:highlight w:val="none"/>
          <w:lang w:val="zh-CN" w:eastAsia="zh-CN"/>
        </w:rPr>
        <w:t>2023</w:t>
      </w:r>
      <w:r>
        <w:rPr>
          <w:rFonts w:hint="eastAsia" w:ascii="仿宋_GB2312" w:eastAsia="仿宋_GB2312"/>
          <w:b/>
          <w:bCs/>
          <w:color w:val="auto"/>
          <w:sz w:val="32"/>
          <w:szCs w:val="32"/>
          <w:highlight w:val="none"/>
          <w:lang w:val="zh-CN" w:eastAsia="zh-CN"/>
        </w:rPr>
        <w:t>年度</w:t>
      </w:r>
      <w:r>
        <w:rPr>
          <w:rFonts w:hint="eastAsia" w:ascii="仿宋_GB2312" w:eastAsia="仿宋_GB2312"/>
          <w:b/>
          <w:bCs/>
          <w:color w:val="auto"/>
          <w:sz w:val="32"/>
          <w:szCs w:val="32"/>
          <w:highlight w:val="none"/>
          <w:lang w:val="en-US" w:eastAsia="zh-CN"/>
        </w:rPr>
        <w:t>财政拨款</w:t>
      </w:r>
      <w:r>
        <w:rPr>
          <w:rFonts w:hint="eastAsia" w:ascii="仿宋_GB2312" w:eastAsia="仿宋_GB2312"/>
          <w:b/>
          <w:bCs/>
          <w:color w:val="auto"/>
          <w:sz w:val="32"/>
          <w:szCs w:val="32"/>
          <w:highlight w:val="none"/>
          <w:lang w:val="zh-CN" w:eastAsia="zh-CN"/>
        </w:rPr>
        <w:t>“三公”经费支出</w:t>
      </w:r>
      <w:r>
        <w:rPr>
          <w:rFonts w:hint="eastAsia" w:eastAsia="仿宋_GB2312" w:cs="Times New Roman"/>
          <w:b/>
          <w:bCs/>
          <w:color w:val="auto"/>
          <w:sz w:val="32"/>
          <w:szCs w:val="32"/>
          <w:highlight w:val="none"/>
          <w:lang w:val="zh-CN" w:eastAsia="zh-CN"/>
        </w:rPr>
        <w:t>5.11</w:t>
      </w:r>
      <w:r>
        <w:rPr>
          <w:rFonts w:hint="eastAsia" w:ascii="仿宋_GB2312" w:eastAsia="仿宋_GB2312"/>
          <w:b/>
          <w:bCs/>
          <w:color w:val="auto"/>
          <w:sz w:val="32"/>
          <w:szCs w:val="32"/>
          <w:highlight w:val="none"/>
          <w:lang w:val="zh-CN" w:eastAsia="zh-CN"/>
        </w:rPr>
        <w:t>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w:t>
      </w:r>
      <w:r>
        <w:rPr>
          <w:rFonts w:hint="eastAsia" w:eastAsia="仿宋_GB2312" w:cs="Times New Roman"/>
          <w:color w:val="auto"/>
          <w:sz w:val="32"/>
          <w:szCs w:val="32"/>
          <w:highlight w:val="none"/>
          <w:lang w:val="zh-CN" w:eastAsia="zh-CN"/>
        </w:rPr>
        <w:t>1.24</w:t>
      </w:r>
      <w:r>
        <w:rPr>
          <w:rFonts w:hint="eastAsia" w:ascii="仿宋_GB2312" w:eastAsia="仿宋_GB2312"/>
          <w:color w:val="auto"/>
          <w:sz w:val="32"/>
          <w:szCs w:val="32"/>
          <w:highlight w:val="none"/>
          <w:lang w:val="zh-CN" w:eastAsia="zh-CN"/>
        </w:rPr>
        <w:t>万元，增长</w:t>
      </w:r>
      <w:r>
        <w:rPr>
          <w:rFonts w:hint="eastAsia" w:eastAsia="仿宋_GB2312" w:cs="Times New Roman"/>
          <w:color w:val="auto"/>
          <w:sz w:val="32"/>
          <w:szCs w:val="32"/>
          <w:highlight w:val="none"/>
          <w:lang w:val="zh-CN" w:eastAsia="zh-CN"/>
        </w:rPr>
        <w:t>32.</w:t>
      </w:r>
      <w:r>
        <w:rPr>
          <w:rFonts w:hint="eastAsia" w:eastAsia="仿宋_GB2312" w:cs="Times New Roman"/>
          <w:color w:val="auto"/>
          <w:sz w:val="32"/>
          <w:szCs w:val="32"/>
          <w:highlight w:val="none"/>
          <w:lang w:val="en-US" w:eastAsia="zh-CN"/>
        </w:rPr>
        <w:t>04</w:t>
      </w:r>
      <w:r>
        <w:rPr>
          <w:rFonts w:hint="eastAsia" w:eastAsia="仿宋_GB2312" w:cs="Times New Roman"/>
          <w:color w:val="auto"/>
          <w:sz w:val="32"/>
          <w:szCs w:val="32"/>
          <w:highlight w:val="none"/>
          <w:lang w:val="zh-CN" w:eastAsia="zh-CN"/>
        </w:rPr>
        <w:t>%</w:t>
      </w:r>
      <w:r>
        <w:rPr>
          <w:rFonts w:hint="eastAsia" w:ascii="仿宋_GB2312" w:eastAsia="仿宋_GB2312"/>
          <w:color w:val="auto"/>
          <w:sz w:val="32"/>
          <w:szCs w:val="32"/>
          <w:highlight w:val="none"/>
          <w:lang w:val="zh-CN" w:eastAsia="zh-CN"/>
        </w:rPr>
        <w:t>，主要原因是：</w:t>
      </w:r>
      <w:r>
        <w:rPr>
          <w:rFonts w:hint="eastAsia" w:eastAsia="仿宋_GB2312" w:cs="Times New Roman"/>
          <w:color w:val="auto"/>
          <w:sz w:val="32"/>
          <w:szCs w:val="32"/>
          <w:highlight w:val="none"/>
          <w:lang w:val="en-US" w:eastAsia="zh-CN"/>
        </w:rPr>
        <w:t>2023</w:t>
      </w:r>
      <w:r>
        <w:rPr>
          <w:rFonts w:hint="eastAsia" w:ascii="仿宋_GB2312" w:eastAsia="仿宋_GB2312"/>
          <w:color w:val="auto"/>
          <w:sz w:val="32"/>
          <w:szCs w:val="32"/>
          <w:highlight w:val="none"/>
          <w:lang w:val="en-US" w:eastAsia="zh-CN"/>
        </w:rPr>
        <w:t>年恢复常态化管理，正常开展各项业务工作，经费支出较上年增加。</w:t>
      </w:r>
      <w:r>
        <w:rPr>
          <w:rFonts w:hint="eastAsia" w:ascii="仿宋_GB2312" w:eastAsia="仿宋_GB2312"/>
          <w:color w:val="auto"/>
          <w:sz w:val="32"/>
          <w:szCs w:val="32"/>
          <w:highlight w:val="none"/>
          <w:lang w:val="zh-CN" w:eastAsia="zh-CN"/>
        </w:rPr>
        <w:t>其中：因公出国（境）费支出</w:t>
      </w:r>
      <w:r>
        <w:rPr>
          <w:rFonts w:hint="eastAsia"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w:t>
      </w:r>
      <w:r>
        <w:rPr>
          <w:rFonts w:hint="eastAsia" w:eastAsia="仿宋_GB2312" w:cs="Times New Roman"/>
          <w:color w:val="auto"/>
          <w:sz w:val="32"/>
          <w:szCs w:val="32"/>
          <w:highlight w:val="none"/>
          <w:lang w:val="zh-CN" w:eastAsia="zh-CN"/>
        </w:rPr>
        <w:t>元</w:t>
      </w:r>
      <w:r>
        <w:rPr>
          <w:rFonts w:hint="eastAsia" w:ascii="仿宋_GB2312" w:eastAsia="仿宋_GB2312"/>
          <w:color w:val="auto"/>
          <w:sz w:val="32"/>
          <w:szCs w:val="32"/>
          <w:highlight w:val="none"/>
          <w:lang w:val="zh-CN" w:eastAsia="zh-CN"/>
        </w:rPr>
        <w:t>，占</w:t>
      </w:r>
      <w:r>
        <w:rPr>
          <w:rFonts w:hint="eastAsia"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，比上年增加</w:t>
      </w:r>
      <w:r>
        <w:rPr>
          <w:rFonts w:hint="eastAsia"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万元，增长</w:t>
      </w:r>
      <w:r>
        <w:rPr>
          <w:rFonts w:hint="eastAsia"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rPr>
        <w:t>因公出国（境）</w:t>
      </w:r>
      <w:r>
        <w:rPr>
          <w:rFonts w:hint="eastAsia" w:ascii="仿宋_GB2312" w:eastAsia="仿宋_GB2312"/>
          <w:color w:val="auto"/>
          <w:sz w:val="32"/>
          <w:szCs w:val="32"/>
          <w:highlight w:val="none"/>
          <w:lang w:eastAsia="zh-CN"/>
        </w:rPr>
        <w:t>费支出</w:t>
      </w:r>
      <w:r>
        <w:rPr>
          <w:rFonts w:hint="eastAsia" w:ascii="仿宋_GB2312" w:eastAsia="仿宋_GB2312"/>
          <w:color w:val="auto"/>
          <w:sz w:val="32"/>
          <w:szCs w:val="32"/>
          <w:highlight w:val="none"/>
          <w:lang w:val="zh-CN" w:eastAsia="zh-CN"/>
        </w:rPr>
        <w:t>；公务用车购置及运行维护费支出</w:t>
      </w:r>
      <w:r>
        <w:rPr>
          <w:rFonts w:hint="eastAsia" w:eastAsia="仿宋_GB2312" w:cs="Times New Roman"/>
          <w:color w:val="auto"/>
          <w:sz w:val="32"/>
          <w:szCs w:val="32"/>
          <w:highlight w:val="none"/>
          <w:lang w:val="zh-CN" w:eastAsia="zh-CN"/>
        </w:rPr>
        <w:t>5.00</w:t>
      </w:r>
      <w:r>
        <w:rPr>
          <w:rFonts w:hint="eastAsia" w:ascii="仿宋_GB2312" w:eastAsia="仿宋_GB2312"/>
          <w:color w:val="auto"/>
          <w:sz w:val="32"/>
          <w:szCs w:val="32"/>
          <w:highlight w:val="none"/>
          <w:lang w:val="zh-CN" w:eastAsia="zh-CN"/>
        </w:rPr>
        <w:t>万元，占</w:t>
      </w:r>
      <w:r>
        <w:rPr>
          <w:rFonts w:hint="eastAsia" w:eastAsia="仿宋_GB2312" w:cs="Times New Roman"/>
          <w:color w:val="auto"/>
          <w:sz w:val="32"/>
          <w:szCs w:val="32"/>
          <w:highlight w:val="none"/>
          <w:lang w:val="zh-CN" w:eastAsia="zh-CN"/>
        </w:rPr>
        <w:t>97.8</w:t>
      </w:r>
      <w:r>
        <w:rPr>
          <w:rFonts w:hint="eastAsia" w:eastAsia="仿宋_GB2312" w:cs="Times New Roman"/>
          <w:color w:val="auto"/>
          <w:sz w:val="32"/>
          <w:szCs w:val="32"/>
          <w:highlight w:val="none"/>
          <w:lang w:val="en-US" w:eastAsia="zh-CN"/>
        </w:rPr>
        <w:t>5</w:t>
      </w:r>
      <w:r>
        <w:rPr>
          <w:rFonts w:hint="eastAsia" w:eastAsia="仿宋_GB2312" w:cs="Times New Roman"/>
          <w:color w:val="auto"/>
          <w:sz w:val="32"/>
          <w:szCs w:val="32"/>
          <w:highlight w:val="none"/>
          <w:lang w:val="zh-CN" w:eastAsia="zh-CN"/>
        </w:rPr>
        <w:t>%</w:t>
      </w:r>
      <w:r>
        <w:rPr>
          <w:rFonts w:hint="eastAsia" w:ascii="仿宋_GB2312" w:eastAsia="仿宋_GB2312"/>
          <w:color w:val="auto"/>
          <w:sz w:val="32"/>
          <w:szCs w:val="32"/>
          <w:highlight w:val="none"/>
          <w:lang w:val="zh-CN" w:eastAsia="zh-CN"/>
        </w:rPr>
        <w:t>，比上年增加</w:t>
      </w:r>
      <w:r>
        <w:rPr>
          <w:rFonts w:hint="eastAsia" w:eastAsia="仿宋_GB2312" w:cs="Times New Roman"/>
          <w:color w:val="auto"/>
          <w:sz w:val="32"/>
          <w:szCs w:val="32"/>
          <w:highlight w:val="none"/>
          <w:lang w:val="zh-CN" w:eastAsia="zh-CN"/>
        </w:rPr>
        <w:t>1.13</w:t>
      </w:r>
      <w:r>
        <w:rPr>
          <w:rFonts w:hint="eastAsia" w:ascii="仿宋_GB2312" w:eastAsia="仿宋_GB2312"/>
          <w:color w:val="auto"/>
          <w:sz w:val="32"/>
          <w:szCs w:val="32"/>
          <w:highlight w:val="none"/>
          <w:lang w:val="zh-CN" w:eastAsia="zh-CN"/>
        </w:rPr>
        <w:t>万元，增长</w:t>
      </w:r>
      <w:r>
        <w:rPr>
          <w:rFonts w:hint="eastAsia" w:eastAsia="仿宋_GB2312" w:cs="Times New Roman"/>
          <w:color w:val="auto"/>
          <w:sz w:val="32"/>
          <w:szCs w:val="32"/>
          <w:highlight w:val="none"/>
          <w:lang w:val="zh-CN" w:eastAsia="zh-CN"/>
        </w:rPr>
        <w:t>29.2</w:t>
      </w:r>
      <w:r>
        <w:rPr>
          <w:rFonts w:hint="eastAsia" w:eastAsia="仿宋_GB2312" w:cs="Times New Roman"/>
          <w:color w:val="auto"/>
          <w:sz w:val="32"/>
          <w:szCs w:val="32"/>
          <w:highlight w:val="none"/>
          <w:lang w:val="en-US" w:eastAsia="zh-CN"/>
        </w:rPr>
        <w:t>0</w:t>
      </w:r>
      <w:r>
        <w:rPr>
          <w:rFonts w:hint="eastAsia" w:eastAsia="仿宋_GB2312" w:cs="Times New Roman"/>
          <w:color w:val="auto"/>
          <w:sz w:val="32"/>
          <w:szCs w:val="32"/>
          <w:highlight w:val="none"/>
          <w:lang w:val="zh-CN" w:eastAsia="zh-CN"/>
        </w:rPr>
        <w:t>%</w:t>
      </w:r>
      <w:r>
        <w:rPr>
          <w:rFonts w:hint="eastAsia" w:ascii="仿宋_GB2312" w:eastAsia="仿宋_GB2312"/>
          <w:color w:val="auto"/>
          <w:sz w:val="32"/>
          <w:szCs w:val="32"/>
          <w:highlight w:val="none"/>
          <w:lang w:val="zh-CN" w:eastAsia="zh-CN"/>
        </w:rPr>
        <w:t>，主要原因是：</w:t>
      </w:r>
      <w:r>
        <w:rPr>
          <w:rFonts w:hint="eastAsia" w:eastAsia="仿宋_GB2312" w:cs="Times New Roman"/>
          <w:color w:val="auto"/>
          <w:sz w:val="32"/>
          <w:szCs w:val="32"/>
          <w:highlight w:val="none"/>
          <w:lang w:val="en-US" w:eastAsia="zh-CN"/>
        </w:rPr>
        <w:t>2023</w:t>
      </w:r>
      <w:r>
        <w:rPr>
          <w:rFonts w:hint="eastAsia" w:ascii="仿宋_GB2312" w:eastAsia="仿宋_GB2312"/>
          <w:color w:val="auto"/>
          <w:sz w:val="32"/>
          <w:szCs w:val="32"/>
          <w:highlight w:val="none"/>
          <w:lang w:val="en-US" w:eastAsia="zh-CN"/>
        </w:rPr>
        <w:t>年恢复常态化管理，正常开展各项业务工作，经费支出较上年增加</w:t>
      </w:r>
      <w:r>
        <w:rPr>
          <w:rFonts w:hint="eastAsia" w:ascii="仿宋_GB2312" w:eastAsia="仿宋_GB2312"/>
          <w:color w:val="auto"/>
          <w:sz w:val="32"/>
          <w:szCs w:val="32"/>
          <w:highlight w:val="none"/>
          <w:lang w:val="zh-CN" w:eastAsia="zh-CN"/>
        </w:rPr>
        <w:t>；公务接待费支出</w:t>
      </w:r>
      <w:r>
        <w:rPr>
          <w:rFonts w:hint="eastAsia" w:eastAsia="仿宋_GB2312" w:cs="Times New Roman"/>
          <w:color w:val="auto"/>
          <w:sz w:val="32"/>
          <w:szCs w:val="32"/>
          <w:highlight w:val="none"/>
          <w:lang w:val="zh-CN" w:eastAsia="zh-CN"/>
        </w:rPr>
        <w:t>0.11</w:t>
      </w:r>
      <w:r>
        <w:rPr>
          <w:rFonts w:hint="eastAsia" w:ascii="仿宋_GB2312" w:eastAsia="仿宋_GB2312"/>
          <w:color w:val="auto"/>
          <w:sz w:val="32"/>
          <w:szCs w:val="32"/>
          <w:highlight w:val="none"/>
          <w:lang w:val="zh-CN" w:eastAsia="zh-CN"/>
        </w:rPr>
        <w:t>万元，占</w:t>
      </w:r>
      <w:r>
        <w:rPr>
          <w:rFonts w:hint="eastAsia" w:eastAsia="仿宋_GB2312" w:cs="Times New Roman"/>
          <w:color w:val="auto"/>
          <w:sz w:val="32"/>
          <w:szCs w:val="32"/>
          <w:highlight w:val="none"/>
          <w:lang w:val="zh-CN" w:eastAsia="zh-CN"/>
        </w:rPr>
        <w:t>2.1</w:t>
      </w:r>
      <w:r>
        <w:rPr>
          <w:rFonts w:hint="eastAsia" w:eastAsia="仿宋_GB2312" w:cs="Times New Roman"/>
          <w:color w:val="auto"/>
          <w:sz w:val="32"/>
          <w:szCs w:val="32"/>
          <w:highlight w:val="none"/>
          <w:lang w:val="en-US" w:eastAsia="zh-CN"/>
        </w:rPr>
        <w:t>5</w:t>
      </w:r>
      <w:r>
        <w:rPr>
          <w:rFonts w:hint="eastAsia" w:eastAsia="仿宋_GB2312" w:cs="Times New Roman"/>
          <w:color w:val="auto"/>
          <w:sz w:val="32"/>
          <w:szCs w:val="32"/>
          <w:highlight w:val="none"/>
          <w:lang w:val="zh-CN" w:eastAsia="zh-CN"/>
        </w:rPr>
        <w:t>%</w:t>
      </w:r>
      <w:r>
        <w:rPr>
          <w:rFonts w:hint="eastAsia" w:ascii="仿宋_GB2312" w:eastAsia="仿宋_GB2312"/>
          <w:color w:val="auto"/>
          <w:sz w:val="32"/>
          <w:szCs w:val="32"/>
          <w:highlight w:val="none"/>
          <w:lang w:val="zh-CN" w:eastAsia="zh-CN"/>
        </w:rPr>
        <w:t>，比上年增加</w:t>
      </w:r>
      <w:r>
        <w:rPr>
          <w:rFonts w:hint="eastAsia" w:eastAsia="仿宋_GB2312" w:cs="Times New Roman"/>
          <w:color w:val="auto"/>
          <w:sz w:val="32"/>
          <w:szCs w:val="32"/>
          <w:highlight w:val="none"/>
          <w:lang w:val="zh-CN" w:eastAsia="zh-CN"/>
        </w:rPr>
        <w:t>0.11</w:t>
      </w:r>
      <w:r>
        <w:rPr>
          <w:rFonts w:hint="eastAsia" w:ascii="仿宋_GB2312" w:eastAsia="仿宋_GB2312"/>
          <w:color w:val="auto"/>
          <w:sz w:val="32"/>
          <w:szCs w:val="32"/>
          <w:highlight w:val="none"/>
          <w:lang w:val="zh-CN" w:eastAsia="zh-CN"/>
        </w:rPr>
        <w:t>万元，增长</w:t>
      </w:r>
      <w:r>
        <w:rPr>
          <w:rFonts w:hint="eastAsia" w:ascii="仿宋_GB2312" w:eastAsia="仿宋_GB2312"/>
          <w:color w:val="auto"/>
          <w:sz w:val="32"/>
          <w:szCs w:val="32"/>
          <w:highlight w:val="none"/>
          <w:lang w:val="en-US" w:eastAsia="zh-CN"/>
        </w:rPr>
        <w:t>10</w:t>
      </w:r>
      <w:r>
        <w:rPr>
          <w:rFonts w:hint="eastAsia"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hint="eastAsia" w:eastAsia="仿宋_GB2312" w:cs="Times New Roman"/>
          <w:color w:val="auto"/>
          <w:sz w:val="32"/>
          <w:szCs w:val="32"/>
          <w:highlight w:val="none"/>
          <w:lang w:val="en-US" w:eastAsia="zh-CN"/>
        </w:rPr>
        <w:t>2023</w:t>
      </w:r>
      <w:r>
        <w:rPr>
          <w:rFonts w:hint="eastAsia" w:ascii="仿宋_GB2312" w:eastAsia="仿宋_GB2312"/>
          <w:color w:val="auto"/>
          <w:sz w:val="32"/>
          <w:szCs w:val="32"/>
          <w:highlight w:val="none"/>
          <w:lang w:val="en-US" w:eastAsia="zh-CN"/>
        </w:rPr>
        <w:t>年恢复常态化管理，正常开展各项业务工作，经费支出较上年增加。</w:t>
      </w:r>
    </w:p>
    <w:p>
      <w:pPr>
        <w:keepNext w:val="0"/>
        <w:keepLines w:val="0"/>
        <w:pageBreakBefore w:val="0"/>
        <w:widowControl w:val="0"/>
        <w:kinsoku/>
        <w:wordWrap/>
        <w:overflowPunct/>
        <w:topLinePunct w:val="0"/>
        <w:bidi w:val="0"/>
        <w:adjustRightInd/>
        <w:snapToGrid/>
        <w:spacing w:line="240" w:lineRule="auto"/>
        <w:ind w:firstLine="642" w:firstLineChars="200"/>
        <w:jc w:val="left"/>
        <w:textAlignment w:val="auto"/>
        <w:rPr>
          <w:rFonts w:hint="eastAsia" w:ascii="仿宋_GB2312" w:eastAsia="仿宋_GB2312"/>
          <w:b/>
          <w:bCs/>
          <w:color w:val="auto"/>
          <w:sz w:val="32"/>
          <w:szCs w:val="32"/>
          <w:highlight w:val="none"/>
          <w:lang w:val="zh-CN" w:eastAsia="zh-CN"/>
        </w:rPr>
      </w:pPr>
      <w:r>
        <w:rPr>
          <w:rFonts w:hint="eastAsia" w:ascii="仿宋_GB2312" w:eastAsia="仿宋_GB2312"/>
          <w:b/>
          <w:bCs/>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因公出国（境）费支出</w:t>
      </w:r>
      <w:r>
        <w:rPr>
          <w:rFonts w:hint="eastAsia" w:eastAsia="仿宋_GB2312" w:cs="Times New Roman"/>
          <w:color w:val="auto"/>
          <w:sz w:val="32"/>
          <w:szCs w:val="32"/>
          <w:highlight w:val="none"/>
          <w:lang w:val="en-US" w:eastAsia="zh-CN"/>
        </w:rPr>
        <w:t>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开支内容包括</w:t>
      </w:r>
      <w:r>
        <w:rPr>
          <w:rFonts w:hint="eastAsia" w:ascii="仿宋_GB2312" w:eastAsia="仿宋_GB2312"/>
          <w:color w:val="auto"/>
          <w:sz w:val="32"/>
          <w:szCs w:val="32"/>
          <w:highlight w:val="none"/>
          <w:lang w:eastAsia="zh-CN"/>
        </w:rPr>
        <w:t>我单位无</w:t>
      </w:r>
      <w:r>
        <w:rPr>
          <w:rFonts w:hint="eastAsia" w:ascii="仿宋_GB2312" w:eastAsia="仿宋_GB2312"/>
          <w:color w:val="auto"/>
          <w:sz w:val="32"/>
          <w:szCs w:val="32"/>
          <w:highlight w:val="none"/>
        </w:rPr>
        <w:t>因公出国（境）费支出。单位全年安排的因公出国（境）团组</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个，因公出国（境）</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w:t>
      </w:r>
      <w:r>
        <w:rPr>
          <w:rFonts w:hint="eastAsia" w:eastAsia="仿宋_GB2312" w:cs="Times New Roman"/>
          <w:color w:val="auto"/>
          <w:sz w:val="32"/>
          <w:szCs w:val="32"/>
          <w:highlight w:val="none"/>
          <w:lang w:val="zh-CN" w:eastAsia="zh-CN"/>
        </w:rPr>
        <w:t>5.00</w:t>
      </w:r>
      <w:r>
        <w:rPr>
          <w:rFonts w:hint="eastAsia" w:ascii="仿宋_GB2312" w:eastAsia="仿宋_GB2312"/>
          <w:color w:val="auto"/>
          <w:sz w:val="32"/>
          <w:szCs w:val="32"/>
          <w:highlight w:val="none"/>
          <w:lang w:val="zh-CN" w:eastAsia="zh-CN"/>
        </w:rPr>
        <w:t>万元，其中：公务用车购置费</w:t>
      </w:r>
      <w:r>
        <w:rPr>
          <w:rFonts w:hint="eastAsia"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万元，公务用车运行维护费</w:t>
      </w:r>
      <w:r>
        <w:rPr>
          <w:rFonts w:hint="eastAsia" w:eastAsia="仿宋_GB2312" w:cs="Times New Roman"/>
          <w:color w:val="auto"/>
          <w:sz w:val="32"/>
          <w:szCs w:val="32"/>
          <w:highlight w:val="none"/>
          <w:lang w:val="zh-CN" w:eastAsia="zh-CN"/>
        </w:rPr>
        <w:t>5.00</w:t>
      </w:r>
      <w:r>
        <w:rPr>
          <w:rFonts w:hint="eastAsia" w:ascii="仿宋_GB2312" w:eastAsia="仿宋_GB2312"/>
          <w:color w:val="auto"/>
          <w:sz w:val="32"/>
          <w:szCs w:val="32"/>
          <w:highlight w:val="none"/>
          <w:lang w:val="zh-CN" w:eastAsia="zh-CN"/>
        </w:rPr>
        <w:t>万元。公务用车运行维护费开支内容包括</w:t>
      </w:r>
      <w:r>
        <w:rPr>
          <w:rFonts w:hint="eastAsia" w:ascii="仿宋_GB2312" w:eastAsia="仿宋_GB2312"/>
          <w:color w:val="auto"/>
          <w:sz w:val="32"/>
          <w:szCs w:val="32"/>
          <w:highlight w:val="none"/>
          <w:lang w:val="en-US" w:eastAsia="zh-CN"/>
        </w:rPr>
        <w:t>燃料费、汽车维修（护）费、停车过路费、车辆审验费、车辆保险费</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val="zh-CN" w:eastAsia="zh-CN"/>
        </w:rPr>
        <w:t>公务用车购置数</w:t>
      </w:r>
      <w:r>
        <w:rPr>
          <w:rFonts w:hint="eastAsia" w:eastAsia="仿宋_GB2312" w:cs="Times New Roman"/>
          <w:color w:val="auto"/>
          <w:sz w:val="32"/>
          <w:szCs w:val="32"/>
          <w:highlight w:val="none"/>
          <w:lang w:val="zh-CN" w:eastAsia="zh-CN"/>
        </w:rPr>
        <w:t>0</w:t>
      </w:r>
      <w:r>
        <w:rPr>
          <w:rFonts w:hint="eastAsia" w:ascii="仿宋_GB2312" w:eastAsia="仿宋_GB2312"/>
          <w:color w:val="auto"/>
          <w:sz w:val="32"/>
          <w:szCs w:val="32"/>
          <w:highlight w:val="none"/>
          <w:lang w:val="zh-CN" w:eastAsia="zh-CN"/>
        </w:rPr>
        <w:t>辆，公务用车保有量</w:t>
      </w:r>
      <w:r>
        <w:rPr>
          <w:rFonts w:hint="eastAsia" w:eastAsia="仿宋_GB2312" w:cs="Times New Roman"/>
          <w:color w:val="auto"/>
          <w:sz w:val="32"/>
          <w:szCs w:val="32"/>
          <w:highlight w:val="none"/>
          <w:lang w:val="zh-CN" w:eastAsia="zh-CN"/>
        </w:rPr>
        <w:t>2</w:t>
      </w:r>
      <w:r>
        <w:rPr>
          <w:rFonts w:hint="eastAsia" w:ascii="仿宋_GB2312" w:eastAsia="仿宋_GB2312"/>
          <w:color w:val="auto"/>
          <w:sz w:val="32"/>
          <w:szCs w:val="32"/>
          <w:highlight w:val="none"/>
          <w:lang w:val="zh-CN" w:eastAsia="zh-CN"/>
        </w:rPr>
        <w:t>辆。国有资产占用情况</w:t>
      </w:r>
      <w:r>
        <w:rPr>
          <w:rFonts w:hint="eastAsia" w:ascii="仿宋_GB2312" w:eastAsia="仿宋_GB2312"/>
          <w:color w:val="auto"/>
          <w:sz w:val="32"/>
          <w:szCs w:val="32"/>
          <w:highlight w:val="none"/>
          <w:lang w:val="en-US" w:eastAsia="zh-CN"/>
        </w:rPr>
        <w:t>中固定资产车辆</w:t>
      </w:r>
      <w:r>
        <w:rPr>
          <w:rFonts w:hint="eastAsia" w:eastAsia="仿宋_GB2312" w:cs="Times New Roman"/>
          <w:color w:val="auto"/>
          <w:sz w:val="32"/>
          <w:szCs w:val="32"/>
          <w:highlight w:val="none"/>
          <w:lang w:val="zh-CN" w:eastAsia="zh-CN"/>
        </w:rPr>
        <w:t>3</w:t>
      </w:r>
      <w:r>
        <w:rPr>
          <w:rFonts w:hint="eastAsia" w:ascii="仿宋_GB2312" w:eastAsia="仿宋_GB2312"/>
          <w:color w:val="auto"/>
          <w:sz w:val="32"/>
          <w:szCs w:val="32"/>
          <w:highlight w:val="none"/>
          <w:lang w:val="zh-CN" w:eastAsia="zh-CN"/>
        </w:rPr>
        <w:t>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原因是：待报废车辆一辆。</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w:t>
      </w:r>
      <w:r>
        <w:rPr>
          <w:rFonts w:hint="eastAsia" w:eastAsia="仿宋_GB2312" w:cs="Times New Roman"/>
          <w:color w:val="auto"/>
          <w:sz w:val="32"/>
          <w:szCs w:val="32"/>
          <w:highlight w:val="none"/>
          <w:lang w:val="zh-CN" w:eastAsia="zh-CN"/>
        </w:rPr>
        <w:t>0.11</w:t>
      </w:r>
      <w:r>
        <w:rPr>
          <w:rFonts w:hint="eastAsia" w:ascii="仿宋_GB2312" w:eastAsia="仿宋_GB2312"/>
          <w:color w:val="auto"/>
          <w:sz w:val="32"/>
          <w:szCs w:val="32"/>
          <w:highlight w:val="none"/>
          <w:lang w:val="zh-CN" w:eastAsia="zh-CN"/>
        </w:rPr>
        <w:t>万元，开支内容包括接待上级部门产生的餐食</w:t>
      </w:r>
      <w:r>
        <w:rPr>
          <w:rFonts w:hint="eastAsia" w:ascii="仿宋_GB2312" w:eastAsia="仿宋_GB2312"/>
          <w:color w:val="auto"/>
          <w:sz w:val="32"/>
          <w:szCs w:val="32"/>
          <w:highlight w:val="none"/>
          <w:lang w:val="en-US" w:eastAsia="zh-CN"/>
        </w:rPr>
        <w:t>费</w:t>
      </w:r>
      <w:r>
        <w:rPr>
          <w:rFonts w:hint="eastAsia" w:ascii="仿宋_GB2312" w:eastAsia="仿宋_GB2312"/>
          <w:color w:val="auto"/>
          <w:sz w:val="32"/>
          <w:szCs w:val="32"/>
          <w:highlight w:val="none"/>
          <w:lang w:val="zh-CN" w:eastAsia="zh-CN"/>
        </w:rPr>
        <w:t>。单位全年安排的国内公务接待</w:t>
      </w:r>
      <w:r>
        <w:rPr>
          <w:rFonts w:hint="eastAsia" w:eastAsia="仿宋_GB2312" w:cs="Times New Roman"/>
          <w:color w:val="auto"/>
          <w:sz w:val="32"/>
          <w:szCs w:val="32"/>
          <w:highlight w:val="none"/>
          <w:lang w:val="zh-CN" w:eastAsia="zh-CN"/>
        </w:rPr>
        <w:t>2</w:t>
      </w:r>
      <w:r>
        <w:rPr>
          <w:rFonts w:hint="eastAsia" w:ascii="仿宋_GB2312" w:eastAsia="仿宋_GB2312"/>
          <w:color w:val="auto"/>
          <w:sz w:val="32"/>
          <w:szCs w:val="32"/>
          <w:highlight w:val="none"/>
          <w:lang w:val="zh-CN" w:eastAsia="zh-CN"/>
        </w:rPr>
        <w:t>批次，</w:t>
      </w:r>
      <w:r>
        <w:rPr>
          <w:rFonts w:hint="eastAsia" w:eastAsia="仿宋_GB2312" w:cs="Times New Roman"/>
          <w:color w:val="auto"/>
          <w:sz w:val="32"/>
          <w:szCs w:val="32"/>
          <w:highlight w:val="none"/>
          <w:lang w:val="zh-CN" w:eastAsia="zh-CN"/>
        </w:rPr>
        <w:t>10</w:t>
      </w:r>
      <w:r>
        <w:rPr>
          <w:rFonts w:hint="eastAsia" w:ascii="仿宋_GB2312" w:eastAsia="仿宋_GB2312"/>
          <w:color w:val="auto"/>
          <w:sz w:val="32"/>
          <w:szCs w:val="32"/>
          <w:highlight w:val="none"/>
          <w:lang w:val="zh-CN" w:eastAsia="zh-CN"/>
        </w:rPr>
        <w:t>人次。</w:t>
      </w:r>
    </w:p>
    <w:p>
      <w:pPr>
        <w:keepNext w:val="0"/>
        <w:keepLines w:val="0"/>
        <w:pageBreakBefore w:val="0"/>
        <w:widowControl w:val="0"/>
        <w:kinsoku/>
        <w:wordWrap/>
        <w:overflowPunct/>
        <w:topLinePunct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与</w:t>
      </w:r>
      <w:r>
        <w:rPr>
          <w:rFonts w:hint="eastAsia" w:ascii="仿宋_GB2312" w:eastAsia="仿宋_GB2312"/>
          <w:b/>
          <w:bCs/>
          <w:color w:val="auto"/>
          <w:sz w:val="32"/>
          <w:szCs w:val="32"/>
          <w:highlight w:val="none"/>
          <w:lang w:val="en-US" w:eastAsia="zh-CN"/>
        </w:rPr>
        <w:t>全年</w:t>
      </w:r>
      <w:r>
        <w:rPr>
          <w:rFonts w:hint="eastAsia" w:ascii="仿宋_GB2312" w:eastAsia="仿宋_GB2312"/>
          <w:b/>
          <w:bCs/>
          <w:color w:val="auto"/>
          <w:sz w:val="32"/>
          <w:szCs w:val="32"/>
          <w:highlight w:val="none"/>
          <w:lang w:val="zh-CN" w:eastAsia="zh-CN"/>
        </w:rPr>
        <w:t>预算相比</w:t>
      </w:r>
      <w:r>
        <w:rPr>
          <w:rFonts w:hint="eastAsia" w:ascii="仿宋_GB2312" w:eastAsia="仿宋_GB2312"/>
          <w:b/>
          <w:bCs/>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eastAsia="仿宋_GB2312" w:cs="Times New Roman"/>
          <w:color w:val="auto"/>
          <w:sz w:val="32"/>
          <w:szCs w:val="32"/>
          <w:highlight w:val="none"/>
          <w:lang w:val="zh-CN" w:eastAsia="zh-CN"/>
        </w:rPr>
        <w:t>5.11</w:t>
      </w:r>
      <w:r>
        <w:rPr>
          <w:rFonts w:hint="eastAsia" w:ascii="仿宋_GB2312" w:eastAsia="仿宋_GB2312"/>
          <w:color w:val="auto"/>
          <w:sz w:val="32"/>
          <w:szCs w:val="32"/>
          <w:highlight w:val="none"/>
          <w:lang w:val="zh-CN" w:eastAsia="zh-CN"/>
        </w:rPr>
        <w:t>万元，决算数</w:t>
      </w:r>
      <w:r>
        <w:rPr>
          <w:rFonts w:hint="eastAsia" w:eastAsia="仿宋_GB2312" w:cs="Times New Roman"/>
          <w:color w:val="auto"/>
          <w:sz w:val="32"/>
          <w:szCs w:val="32"/>
          <w:highlight w:val="none"/>
          <w:lang w:val="zh-CN" w:eastAsia="zh-CN"/>
        </w:rPr>
        <w:t>5.11</w:t>
      </w:r>
      <w:r>
        <w:rPr>
          <w:rFonts w:hint="eastAsia" w:ascii="仿宋_GB2312" w:eastAsia="仿宋_GB2312"/>
          <w:color w:val="auto"/>
          <w:sz w:val="32"/>
          <w:szCs w:val="32"/>
          <w:highlight w:val="none"/>
          <w:lang w:val="zh-CN" w:eastAsia="zh-CN"/>
        </w:rPr>
        <w:t>万元，预决算差异率</w:t>
      </w:r>
      <w:r>
        <w:rPr>
          <w:rFonts w:hint="eastAsia"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，主要原因是：厉行节约，严格按照预算安排执行。其中：因公出国（境）费</w:t>
      </w:r>
      <w:r>
        <w:rPr>
          <w:rFonts w:hint="eastAsia" w:ascii="仿宋_GB2312" w:eastAsia="仿宋_GB2312"/>
          <w:color w:val="auto"/>
          <w:sz w:val="32"/>
          <w:szCs w:val="32"/>
          <w:highlight w:val="none"/>
          <w:lang w:val="en-US" w:eastAsia="zh-CN"/>
        </w:rPr>
        <w:t>全年预算数</w:t>
      </w:r>
      <w:r>
        <w:rPr>
          <w:rFonts w:hint="eastAsia"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万元，决算数</w:t>
      </w:r>
      <w:r>
        <w:rPr>
          <w:rFonts w:hint="eastAsia"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万元，预决算差异</w:t>
      </w:r>
      <w:r>
        <w:rPr>
          <w:rFonts w:hint="eastAsia" w:eastAsia="仿宋_GB2312" w:cs="Times New Roman"/>
          <w:color w:val="auto"/>
          <w:sz w:val="32"/>
          <w:szCs w:val="32"/>
          <w:highlight w:val="none"/>
          <w:lang w:val="zh-CN" w:eastAsia="zh-CN"/>
        </w:rPr>
        <w:t>率0.00%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w:t>
      </w:r>
      <w:r>
        <w:rPr>
          <w:rFonts w:hint="eastAsia" w:ascii="仿宋_GB2312" w:eastAsia="仿宋_GB2312"/>
          <w:color w:val="auto"/>
          <w:sz w:val="32"/>
          <w:szCs w:val="32"/>
          <w:highlight w:val="none"/>
        </w:rPr>
        <w:t>因公出国（境）</w:t>
      </w:r>
      <w:r>
        <w:rPr>
          <w:rFonts w:hint="eastAsia" w:ascii="仿宋_GB2312" w:eastAsia="仿宋_GB2312"/>
          <w:color w:val="auto"/>
          <w:sz w:val="32"/>
          <w:szCs w:val="32"/>
          <w:highlight w:val="none"/>
          <w:lang w:eastAsia="zh-CN"/>
        </w:rPr>
        <w:t>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万元，决算</w:t>
      </w:r>
      <w:r>
        <w:rPr>
          <w:rFonts w:hint="eastAsia" w:eastAsia="仿宋_GB2312" w:cs="Times New Roman"/>
          <w:color w:val="auto"/>
          <w:sz w:val="32"/>
          <w:szCs w:val="32"/>
          <w:highlight w:val="none"/>
          <w:lang w:val="zh-CN" w:eastAsia="zh-CN"/>
        </w:rPr>
        <w:t>数0.00</w:t>
      </w:r>
      <w:r>
        <w:rPr>
          <w:rFonts w:hint="eastAsia" w:ascii="仿宋_GB2312" w:eastAsia="仿宋_GB2312"/>
          <w:color w:val="auto"/>
          <w:sz w:val="32"/>
          <w:szCs w:val="32"/>
          <w:highlight w:val="none"/>
          <w:lang w:val="zh-CN" w:eastAsia="zh-CN"/>
        </w:rPr>
        <w:t>万元，预决算差异率</w:t>
      </w:r>
      <w:r>
        <w:rPr>
          <w:rFonts w:hint="eastAsia"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我单位无</w:t>
      </w:r>
      <w:r>
        <w:rPr>
          <w:rFonts w:hint="eastAsia" w:ascii="仿宋_GB2312" w:hAnsi="宋体" w:eastAsia="仿宋_GB2312" w:cs="宋体"/>
          <w:color w:val="auto"/>
          <w:kern w:val="0"/>
          <w:sz w:val="32"/>
          <w:szCs w:val="32"/>
          <w:highlight w:val="none"/>
        </w:rPr>
        <w:t>公务用车购置</w:t>
      </w:r>
      <w:r>
        <w:rPr>
          <w:rFonts w:hint="eastAsia" w:ascii="仿宋_GB2312" w:eastAsia="仿宋_GB2312"/>
          <w:color w:val="auto"/>
          <w:sz w:val="32"/>
          <w:szCs w:val="32"/>
          <w:highlight w:val="none"/>
        </w:rPr>
        <w:t>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eastAsia="仿宋_GB2312" w:cs="Times New Roman"/>
          <w:color w:val="auto"/>
          <w:sz w:val="32"/>
          <w:szCs w:val="32"/>
          <w:highlight w:val="none"/>
          <w:lang w:val="zh-CN" w:eastAsia="zh-CN"/>
        </w:rPr>
        <w:t>5.00</w:t>
      </w:r>
      <w:r>
        <w:rPr>
          <w:rFonts w:hint="eastAsia" w:ascii="仿宋_GB2312" w:eastAsia="仿宋_GB2312"/>
          <w:color w:val="auto"/>
          <w:sz w:val="32"/>
          <w:szCs w:val="32"/>
          <w:highlight w:val="none"/>
          <w:lang w:val="zh-CN" w:eastAsia="zh-CN"/>
        </w:rPr>
        <w:t>万元，决算数</w:t>
      </w:r>
      <w:r>
        <w:rPr>
          <w:rFonts w:hint="eastAsia" w:eastAsia="仿宋_GB2312" w:cs="Times New Roman"/>
          <w:color w:val="auto"/>
          <w:sz w:val="32"/>
          <w:szCs w:val="32"/>
          <w:highlight w:val="none"/>
          <w:lang w:val="zh-CN" w:eastAsia="zh-CN"/>
        </w:rPr>
        <w:t>5.00</w:t>
      </w:r>
      <w:r>
        <w:rPr>
          <w:rFonts w:hint="eastAsia" w:ascii="仿宋_GB2312" w:eastAsia="仿宋_GB2312"/>
          <w:color w:val="auto"/>
          <w:sz w:val="32"/>
          <w:szCs w:val="32"/>
          <w:highlight w:val="none"/>
          <w:lang w:val="zh-CN" w:eastAsia="zh-CN"/>
        </w:rPr>
        <w:t>万元，预决算差异率</w:t>
      </w:r>
      <w:r>
        <w:rPr>
          <w:rFonts w:hint="eastAsia"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，主要原因是：厉行节约，严格按照预算安排执行；公务接待费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eastAsia="仿宋_GB2312" w:cs="Times New Roman"/>
          <w:color w:val="auto"/>
          <w:sz w:val="32"/>
          <w:szCs w:val="32"/>
          <w:highlight w:val="none"/>
          <w:lang w:val="zh-CN" w:eastAsia="zh-CN"/>
        </w:rPr>
        <w:t>0.11</w:t>
      </w:r>
      <w:r>
        <w:rPr>
          <w:rFonts w:hint="eastAsia" w:ascii="仿宋_GB2312" w:eastAsia="仿宋_GB2312"/>
          <w:color w:val="auto"/>
          <w:sz w:val="32"/>
          <w:szCs w:val="32"/>
          <w:highlight w:val="none"/>
          <w:lang w:val="zh-CN" w:eastAsia="zh-CN"/>
        </w:rPr>
        <w:t>万元，决算数</w:t>
      </w:r>
      <w:r>
        <w:rPr>
          <w:rFonts w:hint="eastAsia" w:eastAsia="仿宋_GB2312" w:cs="Times New Roman"/>
          <w:color w:val="auto"/>
          <w:sz w:val="32"/>
          <w:szCs w:val="32"/>
          <w:highlight w:val="none"/>
          <w:lang w:val="zh-CN" w:eastAsia="zh-CN"/>
        </w:rPr>
        <w:t>0.11</w:t>
      </w:r>
      <w:r>
        <w:rPr>
          <w:rFonts w:hint="eastAsia" w:ascii="仿宋_GB2312" w:eastAsia="仿宋_GB2312"/>
          <w:color w:val="auto"/>
          <w:sz w:val="32"/>
          <w:szCs w:val="32"/>
          <w:highlight w:val="none"/>
          <w:lang w:val="zh-CN" w:eastAsia="zh-CN"/>
        </w:rPr>
        <w:t>万元，预决算差异率</w:t>
      </w:r>
      <w:r>
        <w:rPr>
          <w:rFonts w:hint="eastAsia" w:eastAsia="仿宋_GB2312" w:cs="Times New Roman"/>
          <w:color w:val="auto"/>
          <w:sz w:val="32"/>
          <w:szCs w:val="32"/>
          <w:highlight w:val="none"/>
          <w:lang w:val="zh-CN" w:eastAsia="zh-CN"/>
        </w:rPr>
        <w:t>0.00%</w:t>
      </w:r>
      <w:r>
        <w:rPr>
          <w:rFonts w:hint="eastAsia" w:ascii="仿宋_GB2312" w:eastAsia="仿宋_GB2312"/>
          <w:color w:val="auto"/>
          <w:sz w:val="32"/>
          <w:szCs w:val="32"/>
          <w:highlight w:val="none"/>
          <w:lang w:val="zh-CN" w:eastAsia="zh-CN"/>
        </w:rPr>
        <w:t>，主要原因是：厉行节约，严格按照预算安排执行。</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eastAsia="仿宋_GB2312" w:cs="Times New Roman"/>
          <w:b/>
          <w:bCs/>
          <w:color w:val="auto"/>
          <w:sz w:val="32"/>
          <w:szCs w:val="32"/>
          <w:highlight w:val="none"/>
          <w:lang w:val="zh-CN" w:eastAsia="zh-CN"/>
        </w:rPr>
        <w:t>2023</w:t>
      </w:r>
      <w:r>
        <w:rPr>
          <w:rFonts w:hint="eastAsia" w:ascii="Times New Roman" w:hAnsi="Times New Roman" w:eastAsia="仿宋_GB2312" w:cs="Times New Roman"/>
          <w:b/>
          <w:bCs/>
          <w:color w:val="auto"/>
          <w:sz w:val="32"/>
          <w:szCs w:val="32"/>
          <w:highlight w:val="none"/>
          <w:lang w:val="zh-CN" w:eastAsia="zh-CN"/>
        </w:rPr>
        <w:t>年度</w:t>
      </w:r>
      <w:r>
        <w:rPr>
          <w:rFonts w:hint="eastAsia" w:ascii="Times New Roman" w:hAnsi="Times New Roman" w:eastAsia="仿宋_GB2312" w:cs="Times New Roman"/>
          <w:b/>
          <w:bCs/>
          <w:color w:val="auto"/>
          <w:sz w:val="32"/>
          <w:szCs w:val="32"/>
          <w:highlight w:val="none"/>
          <w:lang w:val="zh-CN"/>
        </w:rPr>
        <w:t>政府性基金预算</w:t>
      </w:r>
      <w:r>
        <w:rPr>
          <w:rFonts w:hint="eastAsia" w:ascii="Times New Roman" w:hAnsi="Times New Roman" w:eastAsia="仿宋_GB2312" w:cs="Times New Roman"/>
          <w:b/>
          <w:bCs/>
          <w:color w:val="auto"/>
          <w:sz w:val="32"/>
          <w:szCs w:val="32"/>
          <w:highlight w:val="none"/>
          <w:lang w:val="en-US" w:eastAsia="zh-CN"/>
        </w:rPr>
        <w:t>财政拨款</w:t>
      </w:r>
      <w:r>
        <w:rPr>
          <w:rFonts w:hint="eastAsia" w:ascii="Times New Roman" w:hAnsi="Times New Roman" w:eastAsia="仿宋_GB2312" w:cs="Times New Roman"/>
          <w:b/>
          <w:bCs/>
          <w:color w:val="auto"/>
          <w:sz w:val="32"/>
          <w:szCs w:val="32"/>
          <w:highlight w:val="none"/>
          <w:lang w:val="zh-CN"/>
        </w:rPr>
        <w:t>收入</w:t>
      </w:r>
      <w:r>
        <w:rPr>
          <w:rFonts w:hint="eastAsia" w:ascii="Times New Roman" w:hAnsi="Times New Roman" w:eastAsia="仿宋_GB2312" w:cs="Times New Roman"/>
          <w:b/>
          <w:bCs/>
          <w:color w:val="auto"/>
          <w:sz w:val="32"/>
          <w:szCs w:val="32"/>
          <w:highlight w:val="none"/>
          <w:lang w:val="en-US" w:eastAsia="zh-CN"/>
        </w:rPr>
        <w:t>总计</w:t>
      </w:r>
      <w:r>
        <w:rPr>
          <w:rFonts w:hint="eastAsia" w:eastAsia="仿宋_GB2312" w:cs="Times New Roman"/>
          <w:b/>
          <w:bCs/>
          <w:color w:val="auto"/>
          <w:sz w:val="32"/>
          <w:szCs w:val="32"/>
          <w:highlight w:val="none"/>
          <w:lang w:val="en-US" w:eastAsia="zh-CN"/>
        </w:rPr>
        <w:t>354.50</w:t>
      </w:r>
      <w:r>
        <w:rPr>
          <w:rFonts w:hint="eastAsia" w:ascii="Times New Roman" w:hAnsi="Times New Roman" w:eastAsia="仿宋_GB2312" w:cs="Times New Roman"/>
          <w:b/>
          <w:bCs/>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en-US" w:eastAsia="zh-CN"/>
        </w:rPr>
        <w:t>其中：年初结转和结余</w:t>
      </w:r>
      <w:r>
        <w:rPr>
          <w:rFonts w:hint="eastAsia" w:eastAsia="仿宋_GB2312" w:cs="Times New Roman"/>
          <w:color w:val="auto"/>
          <w:sz w:val="32"/>
          <w:szCs w:val="32"/>
          <w:highlight w:val="none"/>
          <w:lang w:val="en-US" w:eastAsia="zh-CN"/>
        </w:rPr>
        <w:t>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本年收入</w:t>
      </w:r>
      <w:r>
        <w:rPr>
          <w:rFonts w:hint="eastAsia" w:eastAsia="仿宋_GB2312" w:cs="Times New Roman"/>
          <w:color w:val="auto"/>
          <w:sz w:val="32"/>
          <w:szCs w:val="32"/>
          <w:highlight w:val="none"/>
          <w:lang w:val="en-US" w:eastAsia="zh-CN"/>
        </w:rPr>
        <w:t>354.50</w:t>
      </w:r>
      <w:r>
        <w:rPr>
          <w:rFonts w:hint="eastAsia" w:ascii="Times New Roman" w:hAnsi="Times New Roman" w:eastAsia="仿宋_GB2312" w:cs="Times New Roman"/>
          <w:color w:val="auto"/>
          <w:sz w:val="32"/>
          <w:szCs w:val="32"/>
          <w:highlight w:val="none"/>
          <w:lang w:val="zh-CN" w:eastAsia="zh-CN"/>
        </w:rPr>
        <w:t>万</w:t>
      </w:r>
      <w:r>
        <w:rPr>
          <w:rFonts w:hint="eastAsia" w:ascii="Times New Roman" w:hAnsi="Times New Roman" w:eastAsia="仿宋_GB2312" w:cs="Times New Roman"/>
          <w:color w:val="auto"/>
          <w:sz w:val="32"/>
          <w:szCs w:val="32"/>
          <w:highlight w:val="none"/>
          <w:lang w:val="zh-CN"/>
        </w:rPr>
        <w:t>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b/>
          <w:bCs/>
          <w:color w:val="auto"/>
          <w:sz w:val="32"/>
          <w:szCs w:val="32"/>
          <w:highlight w:val="none"/>
          <w:lang w:val="zh-CN"/>
        </w:rPr>
        <w:t>政府性基金预算财政拨款支出</w:t>
      </w:r>
      <w:r>
        <w:rPr>
          <w:rFonts w:hint="eastAsia" w:ascii="Times New Roman" w:hAnsi="Times New Roman" w:eastAsia="仿宋_GB2312" w:cs="Times New Roman"/>
          <w:b/>
          <w:bCs/>
          <w:color w:val="auto"/>
          <w:sz w:val="32"/>
          <w:szCs w:val="32"/>
          <w:highlight w:val="none"/>
          <w:lang w:val="en-US" w:eastAsia="zh-CN"/>
        </w:rPr>
        <w:t>总计</w:t>
      </w:r>
      <w:r>
        <w:rPr>
          <w:rFonts w:hint="eastAsia" w:eastAsia="仿宋_GB2312" w:cs="Times New Roman"/>
          <w:b/>
          <w:bCs/>
          <w:color w:val="auto"/>
          <w:sz w:val="32"/>
          <w:szCs w:val="32"/>
          <w:highlight w:val="none"/>
          <w:lang w:val="en-US" w:eastAsia="zh-CN"/>
        </w:rPr>
        <w:t>354.50</w:t>
      </w:r>
      <w:r>
        <w:rPr>
          <w:rFonts w:hint="eastAsia" w:ascii="Times New Roman" w:hAnsi="Times New Roman" w:eastAsia="仿宋_GB2312" w:cs="Times New Roman"/>
          <w:b/>
          <w:bCs/>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en-US" w:eastAsia="zh-CN"/>
        </w:rPr>
        <w:t>其中：年末结转和结余</w:t>
      </w:r>
      <w:r>
        <w:rPr>
          <w:rFonts w:hint="eastAsia" w:eastAsia="仿宋_GB2312" w:cs="Times New Roman"/>
          <w:color w:val="auto"/>
          <w:sz w:val="32"/>
          <w:szCs w:val="32"/>
          <w:highlight w:val="none"/>
          <w:lang w:val="en-US" w:eastAsia="zh-CN"/>
        </w:rPr>
        <w:t>0.00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本年支出</w:t>
      </w:r>
      <w:r>
        <w:rPr>
          <w:rFonts w:hint="eastAsia" w:eastAsia="仿宋_GB2312" w:cs="Times New Roman"/>
          <w:color w:val="auto"/>
          <w:sz w:val="32"/>
          <w:szCs w:val="32"/>
          <w:highlight w:val="none"/>
          <w:lang w:val="en-US" w:eastAsia="zh-CN"/>
        </w:rPr>
        <w:t>354.50</w:t>
      </w:r>
      <w:r>
        <w:rPr>
          <w:rFonts w:hint="eastAsia" w:ascii="Times New Roman" w:hAnsi="Times New Roman" w:eastAsia="仿宋_GB2312" w:cs="Times New Roman"/>
          <w:color w:val="auto"/>
          <w:sz w:val="32"/>
          <w:szCs w:val="32"/>
          <w:highlight w:val="none"/>
          <w:lang w:val="zh-CN"/>
        </w:rPr>
        <w:t>万元</w:t>
      </w:r>
      <w:r>
        <w:rPr>
          <w:rFonts w:hint="eastAsia" w:ascii="Times New Roman" w:hAnsi="Times New Roman" w:eastAsia="仿宋_GB2312" w:cs="Times New Roman"/>
          <w:color w:val="auto"/>
          <w:sz w:val="32"/>
          <w:szCs w:val="32"/>
          <w:highlight w:val="none"/>
          <w:lang w:val="zh-CN" w:eastAsia="zh-CN"/>
        </w:rPr>
        <w:t>。</w:t>
      </w:r>
    </w:p>
    <w:p>
      <w:pPr>
        <w:ind w:firstLine="642" w:firstLineChars="200"/>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b/>
          <w:bCs/>
          <w:color w:val="auto"/>
          <w:sz w:val="32"/>
          <w:szCs w:val="32"/>
          <w:highlight w:val="none"/>
          <w:lang w:val="zh-CN"/>
        </w:rPr>
        <w:t>政府性基金预算财政拨款</w:t>
      </w:r>
      <w:r>
        <w:rPr>
          <w:rFonts w:hint="eastAsia" w:ascii="Times New Roman" w:hAnsi="Times New Roman" w:eastAsia="仿宋_GB2312" w:cs="Times New Roman"/>
          <w:b/>
          <w:bCs/>
          <w:color w:val="auto"/>
          <w:sz w:val="32"/>
          <w:szCs w:val="32"/>
          <w:highlight w:val="none"/>
          <w:lang w:val="en-US" w:eastAsia="zh-CN"/>
        </w:rPr>
        <w:t>收入支出</w:t>
      </w:r>
      <w:r>
        <w:rPr>
          <w:rFonts w:hint="eastAsia" w:ascii="Times New Roman" w:hAnsi="Times New Roman" w:eastAsia="仿宋_GB2312" w:cs="Times New Roman"/>
          <w:b/>
          <w:bCs/>
          <w:color w:val="auto"/>
          <w:sz w:val="32"/>
          <w:szCs w:val="32"/>
          <w:highlight w:val="none"/>
          <w:lang w:val="zh-CN"/>
        </w:rPr>
        <w:t>与上年相比，</w:t>
      </w:r>
      <w:r>
        <w:rPr>
          <w:rFonts w:hint="eastAsia" w:ascii="Times New Roman" w:hAnsi="Times New Roman" w:eastAsia="仿宋_GB2312" w:cs="Times New Roman"/>
          <w:color w:val="auto"/>
          <w:sz w:val="32"/>
          <w:szCs w:val="32"/>
          <w:highlight w:val="none"/>
          <w:lang w:val="zh-CN"/>
        </w:rPr>
        <w:t>减少</w:t>
      </w:r>
      <w:r>
        <w:rPr>
          <w:rFonts w:hint="eastAsia" w:eastAsia="仿宋_GB2312" w:cs="Times New Roman"/>
          <w:color w:val="auto"/>
          <w:sz w:val="32"/>
          <w:szCs w:val="32"/>
          <w:highlight w:val="none"/>
          <w:lang w:val="zh-CN" w:eastAsia="zh-CN"/>
        </w:rPr>
        <w:t>77.97</w:t>
      </w:r>
      <w:r>
        <w:rPr>
          <w:rFonts w:hint="eastAsia" w:ascii="Times New Roman" w:hAnsi="Times New Roman" w:eastAsia="仿宋_GB2312" w:cs="Times New Roman"/>
          <w:color w:val="auto"/>
          <w:sz w:val="32"/>
          <w:szCs w:val="32"/>
          <w:highlight w:val="none"/>
          <w:lang w:val="zh-CN"/>
        </w:rPr>
        <w:t>万元，下降</w:t>
      </w:r>
      <w:r>
        <w:rPr>
          <w:rFonts w:hint="eastAsia" w:eastAsia="仿宋_GB2312" w:cs="Times New Roman"/>
          <w:color w:val="auto"/>
          <w:sz w:val="32"/>
          <w:szCs w:val="32"/>
          <w:highlight w:val="none"/>
          <w:lang w:val="zh-CN" w:eastAsia="zh-CN"/>
        </w:rPr>
        <w:t>18.03%</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主要原因是</w:t>
      </w:r>
      <w:r>
        <w:rPr>
          <w:rFonts w:hint="eastAsia" w:ascii="Times New Roman" w:hAnsi="Times New Roman" w:eastAsia="仿宋_GB2312" w:cs="Times New Roman"/>
          <w:color w:val="auto"/>
          <w:sz w:val="32"/>
          <w:szCs w:val="32"/>
          <w:highlight w:val="none"/>
          <w:lang w:val="zh-CN"/>
        </w:rPr>
        <w:t>：</w:t>
      </w:r>
      <w:r>
        <w:rPr>
          <w:rFonts w:hint="eastAsia" w:eastAsia="仿宋_GB2312" w:cs="Times New Roman"/>
          <w:color w:val="auto"/>
          <w:sz w:val="32"/>
          <w:szCs w:val="32"/>
          <w:highlight w:val="none"/>
          <w:lang w:val="en-US" w:eastAsia="zh-CN"/>
        </w:rPr>
        <w:t>2023年安排彩票公益金项目较上年减少。</w:t>
      </w:r>
      <w:r>
        <w:rPr>
          <w:rFonts w:hint="eastAsia" w:ascii="Times New Roman" w:hAnsi="Times New Roman" w:eastAsia="仿宋_GB2312" w:cs="Times New Roman"/>
          <w:b/>
          <w:bCs/>
          <w:color w:val="auto"/>
          <w:sz w:val="32"/>
          <w:szCs w:val="32"/>
          <w:highlight w:val="none"/>
          <w:lang w:val="zh-CN"/>
        </w:rPr>
        <w:t>与</w:t>
      </w:r>
      <w:r>
        <w:rPr>
          <w:rFonts w:hint="eastAsia" w:ascii="Times New Roman" w:hAnsi="Times New Roman" w:eastAsia="仿宋_GB2312" w:cs="Times New Roman"/>
          <w:b/>
          <w:bCs/>
          <w:color w:val="auto"/>
          <w:sz w:val="32"/>
          <w:szCs w:val="32"/>
          <w:highlight w:val="none"/>
          <w:lang w:val="zh-CN" w:eastAsia="zh-CN"/>
        </w:rPr>
        <w:t>年初预算</w:t>
      </w:r>
      <w:r>
        <w:rPr>
          <w:rFonts w:hint="eastAsia" w:ascii="Times New Roman" w:hAnsi="Times New Roman" w:eastAsia="仿宋_GB2312" w:cs="Times New Roman"/>
          <w:b/>
          <w:bCs/>
          <w:color w:val="auto"/>
          <w:sz w:val="32"/>
          <w:szCs w:val="32"/>
          <w:highlight w:val="none"/>
          <w:lang w:val="zh-CN"/>
        </w:rPr>
        <w:t>相比</w:t>
      </w:r>
      <w:r>
        <w:rPr>
          <w:rFonts w:hint="eastAsia" w:ascii="Times New Roman" w:hAnsi="Times New Roman" w:eastAsia="仿宋_GB2312" w:cs="Times New Roman"/>
          <w:b/>
          <w:bCs/>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年初预算数</w:t>
      </w:r>
      <w:r>
        <w:rPr>
          <w:rFonts w:hint="eastAsia" w:ascii="Times New Roman" w:hAnsi="Times New Roman" w:eastAsia="仿宋_GB2312" w:cs="Times New Roman"/>
          <w:color w:val="auto"/>
          <w:sz w:val="32"/>
          <w:szCs w:val="32"/>
          <w:highlight w:val="none"/>
          <w:lang w:val="en-US" w:eastAsia="zh-CN"/>
        </w:rPr>
        <w:t>354.50</w:t>
      </w:r>
      <w:r>
        <w:rPr>
          <w:rFonts w:hint="eastAsia" w:ascii="Times New Roman" w:hAnsi="Times New Roman" w:eastAsia="仿宋_GB2312" w:cs="Times New Roman"/>
          <w:color w:val="auto"/>
          <w:sz w:val="32"/>
          <w:szCs w:val="32"/>
          <w:highlight w:val="none"/>
          <w:lang w:val="zh-CN"/>
        </w:rPr>
        <w:t>万元，决算数</w:t>
      </w:r>
      <w:r>
        <w:rPr>
          <w:rFonts w:hint="eastAsia" w:ascii="Times New Roman" w:hAnsi="Times New Roman" w:eastAsia="仿宋_GB2312" w:cs="Times New Roman"/>
          <w:color w:val="auto"/>
          <w:sz w:val="30"/>
          <w:szCs w:val="30"/>
          <w:highlight w:val="none"/>
          <w:lang w:val="en-US" w:eastAsia="zh-CN"/>
        </w:rPr>
        <w:t>354.50</w:t>
      </w:r>
      <w:r>
        <w:rPr>
          <w:rFonts w:hint="eastAsia" w:ascii="Times New Roman" w:hAnsi="Times New Roman" w:eastAsia="仿宋_GB2312" w:cs="Times New Roman"/>
          <w:color w:val="auto"/>
          <w:sz w:val="32"/>
          <w:szCs w:val="32"/>
          <w:highlight w:val="none"/>
          <w:lang w:val="zh-CN"/>
        </w:rPr>
        <w:t>万元，预决算差异率</w:t>
      </w:r>
      <w:r>
        <w:rPr>
          <w:rFonts w:hint="eastAsia" w:ascii="Times New Roman" w:hAnsi="Times New Roman" w:eastAsia="仿宋_GB2312" w:cs="Times New Roman"/>
          <w:color w:val="auto"/>
          <w:sz w:val="32"/>
          <w:szCs w:val="32"/>
          <w:highlight w:val="none"/>
          <w:lang w:val="zh-CN" w:eastAsia="zh-CN"/>
        </w:rPr>
        <w:t>0.00%，主要原因是：</w:t>
      </w:r>
      <w:r>
        <w:rPr>
          <w:rFonts w:hint="eastAsia" w:ascii="仿宋_GB2312" w:eastAsia="仿宋_GB2312"/>
          <w:color w:val="auto"/>
          <w:sz w:val="32"/>
          <w:szCs w:val="32"/>
          <w:highlight w:val="none"/>
          <w:lang w:eastAsia="zh-CN"/>
        </w:rPr>
        <w:t>严格按照预算安排执行</w:t>
      </w:r>
      <w:r>
        <w:rPr>
          <w:rFonts w:hint="eastAsia" w:ascii="Times New Roman" w:hAnsi="Times New Roman" w:eastAsia="仿宋_GB2312" w:cs="Times New Roman"/>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Times New Roman" w:hAnsi="Times New Roman" w:eastAsia="仿宋_GB2312" w:cs="Times New Roman"/>
          <w:b/>
          <w:bCs/>
          <w:color w:val="auto"/>
          <w:sz w:val="32"/>
          <w:szCs w:val="32"/>
          <w:highlight w:val="none"/>
          <w:lang w:val="en-US" w:eastAsia="zh-CN"/>
        </w:rPr>
      </w:pPr>
      <w:r>
        <w:rPr>
          <w:rFonts w:hint="eastAsia" w:ascii="Times New Roman" w:hAnsi="Times New Roman" w:eastAsia="仿宋_GB2312" w:cs="Times New Roman"/>
          <w:b/>
          <w:bCs/>
          <w:color w:val="auto"/>
          <w:sz w:val="32"/>
          <w:szCs w:val="32"/>
          <w:highlight w:val="none"/>
          <w:lang w:val="zh-CN"/>
        </w:rPr>
        <w:t>政府性基金预算财政拨款支出</w:t>
      </w:r>
      <w:r>
        <w:rPr>
          <w:rFonts w:hint="eastAsia" w:ascii="Times New Roman" w:hAnsi="Times New Roman" w:eastAsia="仿宋_GB2312" w:cs="Times New Roman"/>
          <w:b/>
          <w:bCs/>
          <w:color w:val="auto"/>
          <w:sz w:val="32"/>
          <w:szCs w:val="32"/>
          <w:highlight w:val="none"/>
          <w:lang w:val="zh-CN" w:eastAsia="zh-CN"/>
        </w:rPr>
        <w:t>354.50</w:t>
      </w:r>
      <w:r>
        <w:rPr>
          <w:rFonts w:hint="eastAsia" w:ascii="Times New Roman" w:hAnsi="Times New Roman" w:eastAsia="仿宋_GB2312" w:cs="Times New Roman"/>
          <w:b/>
          <w:bCs/>
          <w:color w:val="auto"/>
          <w:sz w:val="32"/>
          <w:szCs w:val="32"/>
          <w:highlight w:val="none"/>
          <w:lang w:val="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rPr>
        <w:t>1.其他支出（类）彩票公益金安排的支出（款）用于社会福利的彩票公益金支出（项）:支出决算数为354.50</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，比上年决算</w:t>
      </w:r>
      <w:r>
        <w:rPr>
          <w:rFonts w:hint="eastAsia" w:ascii="Times New Roman" w:hAnsi="Times New Roman" w:eastAsia="仿宋_GB2312" w:cs="Times New Roman"/>
          <w:color w:val="auto"/>
          <w:sz w:val="32"/>
          <w:szCs w:val="32"/>
          <w:highlight w:val="none"/>
          <w:lang w:val="en-US" w:eastAsia="zh-CN"/>
        </w:rPr>
        <w:t>减少</w:t>
      </w:r>
      <w:r>
        <w:rPr>
          <w:rFonts w:hint="eastAsia" w:ascii="Times New Roman" w:hAnsi="Times New Roman" w:eastAsia="仿宋_GB2312" w:cs="Times New Roman"/>
          <w:color w:val="auto"/>
          <w:sz w:val="32"/>
          <w:szCs w:val="32"/>
          <w:highlight w:val="none"/>
          <w:lang w:val="zh-CN"/>
        </w:rPr>
        <w:t>77.97</w:t>
      </w:r>
      <w:r>
        <w:rPr>
          <w:rFonts w:hint="eastAsia"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en-US" w:eastAsia="zh-CN"/>
        </w:rPr>
        <w:t>下降</w:t>
      </w:r>
      <w:r>
        <w:rPr>
          <w:rFonts w:hint="eastAsia" w:ascii="Times New Roman" w:hAnsi="Times New Roman" w:eastAsia="仿宋_GB2312" w:cs="Times New Roman"/>
          <w:color w:val="auto"/>
          <w:sz w:val="32"/>
          <w:szCs w:val="32"/>
          <w:highlight w:val="none"/>
          <w:lang w:val="zh-CN"/>
        </w:rPr>
        <w:t>18.03%，主要原因是：</w:t>
      </w:r>
      <w:r>
        <w:rPr>
          <w:rFonts w:hint="eastAsia" w:eastAsia="仿宋_GB2312" w:cs="Times New Roman"/>
          <w:color w:val="auto"/>
          <w:sz w:val="32"/>
          <w:szCs w:val="32"/>
          <w:highlight w:val="none"/>
          <w:lang w:val="en-US" w:eastAsia="zh-CN"/>
        </w:rPr>
        <w:t>2023年安排彩票公益金项目较上年减少。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新疆静宁医院</w:t>
      </w:r>
      <w:r>
        <w:rPr>
          <w:rFonts w:hint="eastAsia" w:ascii="Times New Roman" w:hAnsi="Times New Roman" w:eastAsia="仿宋_GB2312" w:cs="Times New Roman"/>
          <w:color w:val="auto"/>
          <w:sz w:val="32"/>
          <w:szCs w:val="32"/>
          <w:highlight w:val="none"/>
          <w:lang w:val="zh-CN" w:eastAsia="zh-CN"/>
        </w:rPr>
        <w:t>（事业单位）公用经费支出96.25万元，比上年减少4.23万元，下降4.21%，主要原因是：</w:t>
      </w:r>
      <w:r>
        <w:rPr>
          <w:rFonts w:hint="eastAsia" w:ascii="仿宋_GB2312" w:hAnsi="宋体" w:eastAsia="仿宋_GB2312" w:cs="宋体"/>
          <w:color w:val="auto"/>
          <w:kern w:val="0"/>
          <w:sz w:val="32"/>
          <w:szCs w:val="32"/>
          <w:highlight w:val="none"/>
          <w:lang w:eastAsia="zh-CN"/>
        </w:rPr>
        <w:t>按照</w:t>
      </w:r>
      <w:r>
        <w:rPr>
          <w:rFonts w:hint="eastAsia" w:ascii="Times New Roman" w:hAnsi="Times New Roman" w:eastAsia="仿宋_GB2312" w:cs="Times New Roman"/>
          <w:color w:val="auto"/>
          <w:sz w:val="32"/>
          <w:szCs w:val="32"/>
          <w:highlight w:val="none"/>
          <w:lang w:val="en-US" w:eastAsia="zh-CN"/>
        </w:rPr>
        <w:t>2023</w:t>
      </w:r>
      <w:r>
        <w:rPr>
          <w:rFonts w:hint="eastAsia" w:ascii="仿宋_GB2312" w:hAnsi="宋体" w:eastAsia="仿宋_GB2312" w:cs="宋体"/>
          <w:color w:val="auto"/>
          <w:kern w:val="0"/>
          <w:sz w:val="32"/>
          <w:szCs w:val="32"/>
          <w:highlight w:val="none"/>
          <w:lang w:val="en-US" w:eastAsia="zh-CN"/>
        </w:rPr>
        <w:t>年预算编制要求,将在职</w:t>
      </w:r>
      <w:r>
        <w:rPr>
          <w:rFonts w:hint="eastAsia" w:ascii="Times New Roman" w:hAnsi="Times New Roman" w:eastAsia="仿宋_GB2312" w:cs="Times New Roman"/>
          <w:color w:val="auto"/>
          <w:sz w:val="32"/>
          <w:szCs w:val="32"/>
          <w:highlight w:val="none"/>
          <w:lang w:val="zh-CN" w:eastAsia="zh-CN"/>
        </w:rPr>
        <w:t>职工取暖费</w:t>
      </w:r>
      <w:r>
        <w:rPr>
          <w:rFonts w:hint="eastAsia" w:eastAsia="仿宋_GB2312" w:cs="Times New Roman"/>
          <w:color w:val="auto"/>
          <w:sz w:val="32"/>
          <w:szCs w:val="32"/>
          <w:highlight w:val="none"/>
          <w:lang w:val="zh-CN" w:eastAsia="zh-CN"/>
        </w:rPr>
        <w:t>列入津贴补贴科目。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44.06万元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其中：政府采购货物支出36.74万元、政府采购工程支出0.00万元、政府采购服务支出7.32万元。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授予中小企业合同金额37.54万元，占政府采购支出总额的85.20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，其中：授予小微企业合同金额32.60万元，占政府采购支出总额的7</w:t>
      </w:r>
      <w:r>
        <w:rPr>
          <w:rFonts w:hint="eastAsia" w:eastAsia="仿宋_GB2312" w:cs="Times New Roman"/>
          <w:color w:val="auto"/>
          <w:sz w:val="32"/>
          <w:szCs w:val="32"/>
          <w:highlight w:val="none"/>
          <w:lang w:val="en-US" w:eastAsia="zh-CN"/>
        </w:rPr>
        <w:t>3.99</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8,064.02</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屋73496.51平方米，价值5,539.37万元。车辆3辆，价值104.63万元，其中：副部（省）级及以上领导用车0辆、主要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用车0辆、机要通信用车0辆、应急保障用车0辆、执法执勤用车0辆、特种专业技术用车1辆、离退休干部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用车0辆、其他用车2辆，其他用车主要是：</w:t>
      </w:r>
      <w:r>
        <w:rPr>
          <w:rFonts w:hint="eastAsia" w:ascii="Times New Roman" w:hAnsi="Times New Roman" w:eastAsia="仿宋_GB2312" w:cs="Times New Roman"/>
          <w:color w:val="auto"/>
          <w:sz w:val="32"/>
          <w:szCs w:val="32"/>
          <w:highlight w:val="none"/>
          <w:lang w:val="en-US" w:eastAsia="zh-CN"/>
        </w:rPr>
        <w:t>一般公务用车1辆，业务用车1辆</w:t>
      </w:r>
      <w:r>
        <w:rPr>
          <w:rFonts w:hint="eastAsia" w:ascii="Times New Roman" w:hAnsi="Times New Roman" w:eastAsia="仿宋_GB2312" w:cs="Times New Roman"/>
          <w:color w:val="auto"/>
          <w:sz w:val="32"/>
          <w:szCs w:val="32"/>
          <w:highlight w:val="none"/>
          <w:lang w:val="zh-CN" w:eastAsia="zh-CN"/>
        </w:rPr>
        <w:t>；单价100万元（含）以上设备（不含车辆）2</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Times New Roman" w:hAnsi="Times New Roman" w:eastAsia="仿宋_GB2312" w:cs="Times New Roman"/>
          <w:color w:val="auto"/>
          <w:sz w:val="32"/>
          <w:szCs w:val="32"/>
          <w:highlight w:val="none"/>
          <w:lang w:val="zh-CN" w:eastAsia="zh-CN"/>
        </w:rPr>
        <w:t>根据预算绩效管理要求，我单位2023年整体绩效自评表0个，全年预算总额0.00万元，实际执行0.00万元。我单位整体支出绩效自评表由主管部门编报并公开</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zh-CN" w:eastAsia="zh-CN"/>
        </w:rPr>
        <w:t>预算绩效评价项目</w:t>
      </w:r>
      <w:r>
        <w:rPr>
          <w:rFonts w:hint="eastAsia"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val="zh-CN" w:eastAsia="zh-CN"/>
        </w:rPr>
        <w:t>个，</w:t>
      </w:r>
      <w:r>
        <w:rPr>
          <w:rFonts w:hint="eastAsia" w:ascii="Times New Roman" w:hAnsi="Times New Roman" w:eastAsia="仿宋_GB2312" w:cs="Times New Roman"/>
          <w:color w:val="auto"/>
          <w:sz w:val="32"/>
          <w:szCs w:val="32"/>
          <w:highlight w:val="none"/>
          <w:lang w:val="en-US" w:eastAsia="zh-CN"/>
        </w:rPr>
        <w:t>全年预算数</w:t>
      </w:r>
      <w:r>
        <w:rPr>
          <w:rFonts w:hint="eastAsia" w:eastAsia="仿宋_GB2312" w:cs="Times New Roman"/>
          <w:color w:val="auto"/>
          <w:sz w:val="32"/>
          <w:szCs w:val="32"/>
          <w:highlight w:val="none"/>
          <w:lang w:val="en-US" w:eastAsia="zh-CN"/>
        </w:rPr>
        <w:t>1147.29</w:t>
      </w:r>
      <w:r>
        <w:rPr>
          <w:rFonts w:hint="eastAsia" w:ascii="Times New Roman" w:hAnsi="Times New Roman" w:eastAsia="仿宋_GB2312" w:cs="Times New Roman"/>
          <w:color w:val="auto"/>
          <w:sz w:val="32"/>
          <w:szCs w:val="32"/>
          <w:highlight w:val="none"/>
          <w:lang w:val="zh-CN" w:eastAsia="zh-CN"/>
        </w:rPr>
        <w:t>万元，</w:t>
      </w:r>
      <w:r>
        <w:rPr>
          <w:rFonts w:hint="eastAsia" w:ascii="Times New Roman" w:hAnsi="Times New Roman" w:eastAsia="仿宋_GB2312" w:cs="Times New Roman"/>
          <w:color w:val="auto"/>
          <w:sz w:val="32"/>
          <w:szCs w:val="32"/>
          <w:highlight w:val="none"/>
          <w:lang w:val="en-US" w:eastAsia="zh-CN"/>
        </w:rPr>
        <w:t>全年执行数</w:t>
      </w:r>
      <w:r>
        <w:rPr>
          <w:rFonts w:hint="eastAsia" w:eastAsia="仿宋_GB2312" w:cs="Times New Roman"/>
          <w:color w:val="auto"/>
          <w:sz w:val="32"/>
          <w:szCs w:val="32"/>
          <w:highlight w:val="none"/>
          <w:lang w:val="en-US" w:eastAsia="zh-CN"/>
        </w:rPr>
        <w:t>1147.29</w:t>
      </w:r>
      <w:r>
        <w:rPr>
          <w:rFonts w:hint="eastAsia" w:ascii="Times New Roman" w:hAnsi="Times New Roman" w:eastAsia="仿宋_GB2312" w:cs="Times New Roman"/>
          <w:color w:val="auto"/>
          <w:sz w:val="32"/>
          <w:szCs w:val="32"/>
          <w:highlight w:val="none"/>
          <w:lang w:val="zh-CN" w:eastAsia="zh-CN"/>
        </w:rPr>
        <w:t>万元。</w:t>
      </w:r>
      <w:r>
        <w:rPr>
          <w:rFonts w:hint="eastAsia" w:ascii="仿宋_GB2312" w:eastAsia="仿宋_GB2312"/>
          <w:color w:val="auto"/>
          <w:sz w:val="32"/>
          <w:szCs w:val="32"/>
          <w:highlight w:val="none"/>
          <w:lang w:eastAsia="zh-CN"/>
        </w:rPr>
        <w:t>预算绩效管理取得的成效：一是抓好制度贯彻落实，解决推进过程中存在的困难和问题，确保资金使用依法依规、安全有效。二是全面提升了预算资金管理能力和水平，充分发挥财政资金使用效益，为确保我院高质量发展提供有力保障。发现的问题及原因：一是年度绩效总体目标无量化内容。在预算项目申报时，未在年度总体目标中描述量化工作；二是绩效分项指标设置不科学。在预算项目绩效目标设置时，考虑不充分，一级、二级、三级指标之间关联度不高。下一步改进措施：一是履行绩效管理责任。牢固树立绩效意识，按照“谁花钱，谁问效”的原则，各司其职，各尽其责，协同推进各阶段绩效目标任务的实现，形成预算绩效目标管理的合力，切实提高财政资金的使用效益。二是科学设置绩效目标。在预算绩效目标编报工作中，要进一步提升预算资金支出管理水平，提高绩效目标设置的科学性、合理性。具体</w:t>
      </w:r>
      <w:r>
        <w:rPr>
          <w:rFonts w:hint="eastAsia" w:ascii="仿宋_GB2312" w:eastAsia="仿宋_GB2312"/>
          <w:color w:val="auto"/>
          <w:sz w:val="32"/>
          <w:szCs w:val="32"/>
          <w:highlight w:val="none"/>
        </w:rPr>
        <w:t>项目自评情况附绩效自评表。</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2"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 xml:space="preserve">第四部分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false" upright="fals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FgAAAGRycy9QSwECFAAUAAAACACHTuJAzql5uc8AAAAFAQAADwAAAAAAAAABACAA&#10;AAA4AAAAZHJzL2Rvd25yZXYueG1sUEsBAhQAFAAAAAgAh07iQBCr8CPHAQAAewMAAA4AAAAAAAAA&#10;AQAgAAAANA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false"/>
  <w:bordersDoNotSurroundFooter w:val="fals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BFDC2DC"/>
    <w:rsid w:val="0C1C4780"/>
    <w:rsid w:val="0C3613A3"/>
    <w:rsid w:val="0C5E519C"/>
    <w:rsid w:val="0C7227A7"/>
    <w:rsid w:val="0CA52EE8"/>
    <w:rsid w:val="0CBD6988"/>
    <w:rsid w:val="0CD208AC"/>
    <w:rsid w:val="0D4903E8"/>
    <w:rsid w:val="0D7A4A46"/>
    <w:rsid w:val="0E640559"/>
    <w:rsid w:val="0F1113DA"/>
    <w:rsid w:val="0F78534A"/>
    <w:rsid w:val="0F89358A"/>
    <w:rsid w:val="0F8C6D51"/>
    <w:rsid w:val="0FEDABF8"/>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C4A3AB8"/>
    <w:rsid w:val="1D22799A"/>
    <w:rsid w:val="1D5C1A72"/>
    <w:rsid w:val="1DAF458D"/>
    <w:rsid w:val="1DE7CF1A"/>
    <w:rsid w:val="1E086ACE"/>
    <w:rsid w:val="1E62130A"/>
    <w:rsid w:val="1E97358B"/>
    <w:rsid w:val="1E9FA96F"/>
    <w:rsid w:val="1EAA4A5F"/>
    <w:rsid w:val="1EDF348D"/>
    <w:rsid w:val="1EE869A7"/>
    <w:rsid w:val="1FA15E62"/>
    <w:rsid w:val="1FED69B6"/>
    <w:rsid w:val="1FFBF25C"/>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5FD4BF2"/>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EF69D4D"/>
    <w:rsid w:val="2F3F0A28"/>
    <w:rsid w:val="2FBF7029"/>
    <w:rsid w:val="2FD0187F"/>
    <w:rsid w:val="2FD27414"/>
    <w:rsid w:val="2FF92DCA"/>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DFE409"/>
    <w:rsid w:val="35E00D72"/>
    <w:rsid w:val="35F0A862"/>
    <w:rsid w:val="36965B9D"/>
    <w:rsid w:val="36C549FD"/>
    <w:rsid w:val="37A755DD"/>
    <w:rsid w:val="37C6D70D"/>
    <w:rsid w:val="37F94FA0"/>
    <w:rsid w:val="380D3381"/>
    <w:rsid w:val="38115B1F"/>
    <w:rsid w:val="385E3AC3"/>
    <w:rsid w:val="387D6B9E"/>
    <w:rsid w:val="38B75FF0"/>
    <w:rsid w:val="38D45016"/>
    <w:rsid w:val="38D90432"/>
    <w:rsid w:val="3914510A"/>
    <w:rsid w:val="3926770B"/>
    <w:rsid w:val="398D3668"/>
    <w:rsid w:val="39BFDC8C"/>
    <w:rsid w:val="39DA0497"/>
    <w:rsid w:val="39E59645"/>
    <w:rsid w:val="3A893816"/>
    <w:rsid w:val="3A893B6D"/>
    <w:rsid w:val="3AD1763A"/>
    <w:rsid w:val="3ADD0559"/>
    <w:rsid w:val="3B6716E3"/>
    <w:rsid w:val="3B6C6B2D"/>
    <w:rsid w:val="3B7B43E9"/>
    <w:rsid w:val="3BED1D91"/>
    <w:rsid w:val="3C242659"/>
    <w:rsid w:val="3C96719C"/>
    <w:rsid w:val="3CA72BE8"/>
    <w:rsid w:val="3CF37F8C"/>
    <w:rsid w:val="3D137554"/>
    <w:rsid w:val="3D5275AC"/>
    <w:rsid w:val="3D73E9C0"/>
    <w:rsid w:val="3DB7D40F"/>
    <w:rsid w:val="3DCC2473"/>
    <w:rsid w:val="3DEB0883"/>
    <w:rsid w:val="3DFBF8B8"/>
    <w:rsid w:val="3E2527BF"/>
    <w:rsid w:val="3E4F9520"/>
    <w:rsid w:val="3E731662"/>
    <w:rsid w:val="3E8168DD"/>
    <w:rsid w:val="3EA7725F"/>
    <w:rsid w:val="3EB03713"/>
    <w:rsid w:val="3EBF1A11"/>
    <w:rsid w:val="3EBFC55B"/>
    <w:rsid w:val="3EC52607"/>
    <w:rsid w:val="3ECB7F54"/>
    <w:rsid w:val="3EEC6CEF"/>
    <w:rsid w:val="3EFFD994"/>
    <w:rsid w:val="3F183429"/>
    <w:rsid w:val="3FB1445D"/>
    <w:rsid w:val="3FB77A1D"/>
    <w:rsid w:val="3FC84263"/>
    <w:rsid w:val="3FDC3674"/>
    <w:rsid w:val="3FDD6AD4"/>
    <w:rsid w:val="3FED7F8A"/>
    <w:rsid w:val="3FEF8CD3"/>
    <w:rsid w:val="3FF57D5A"/>
    <w:rsid w:val="3FF95D4A"/>
    <w:rsid w:val="3FFEB8E1"/>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5EE1EB5"/>
    <w:rsid w:val="46061BDC"/>
    <w:rsid w:val="461404F8"/>
    <w:rsid w:val="46413018"/>
    <w:rsid w:val="464B7E04"/>
    <w:rsid w:val="468041AA"/>
    <w:rsid w:val="468123C6"/>
    <w:rsid w:val="46901EEE"/>
    <w:rsid w:val="469C74D2"/>
    <w:rsid w:val="46E72861"/>
    <w:rsid w:val="47445515"/>
    <w:rsid w:val="474B4782"/>
    <w:rsid w:val="476B5E67"/>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4FEB9CB1"/>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7F32B8B"/>
    <w:rsid w:val="58175352"/>
    <w:rsid w:val="581F2200"/>
    <w:rsid w:val="583059FA"/>
    <w:rsid w:val="584A0929"/>
    <w:rsid w:val="58CD2491"/>
    <w:rsid w:val="591B41B2"/>
    <w:rsid w:val="59254A26"/>
    <w:rsid w:val="59326325"/>
    <w:rsid w:val="595C505B"/>
    <w:rsid w:val="595E55C3"/>
    <w:rsid w:val="596E7E20"/>
    <w:rsid w:val="5A60780B"/>
    <w:rsid w:val="5A6FA57A"/>
    <w:rsid w:val="5AB34579"/>
    <w:rsid w:val="5AFC6609"/>
    <w:rsid w:val="5B113480"/>
    <w:rsid w:val="5B7937F0"/>
    <w:rsid w:val="5BB1295B"/>
    <w:rsid w:val="5BD456CE"/>
    <w:rsid w:val="5BE76069"/>
    <w:rsid w:val="5BF38EF5"/>
    <w:rsid w:val="5C0D1F49"/>
    <w:rsid w:val="5C3F5F73"/>
    <w:rsid w:val="5CBB0CE2"/>
    <w:rsid w:val="5CC17177"/>
    <w:rsid w:val="5CF306BC"/>
    <w:rsid w:val="5D3F3D64"/>
    <w:rsid w:val="5D833043"/>
    <w:rsid w:val="5DD92690"/>
    <w:rsid w:val="5DDB1CFD"/>
    <w:rsid w:val="5DEE6A7B"/>
    <w:rsid w:val="5DEFBFD0"/>
    <w:rsid w:val="5E7E6D93"/>
    <w:rsid w:val="5ED44800"/>
    <w:rsid w:val="5EEAC0A9"/>
    <w:rsid w:val="5F350BDE"/>
    <w:rsid w:val="5F61632C"/>
    <w:rsid w:val="5FA17648"/>
    <w:rsid w:val="5FBF4DE8"/>
    <w:rsid w:val="5FDD3B14"/>
    <w:rsid w:val="5FE705CB"/>
    <w:rsid w:val="5FEFCD46"/>
    <w:rsid w:val="5FFEE150"/>
    <w:rsid w:val="5FFF11ED"/>
    <w:rsid w:val="5FFF4372"/>
    <w:rsid w:val="5FFF4ECD"/>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6DA0FB1"/>
    <w:rsid w:val="67134CEF"/>
    <w:rsid w:val="671F1ABD"/>
    <w:rsid w:val="67521A59"/>
    <w:rsid w:val="677EDD50"/>
    <w:rsid w:val="67C304AB"/>
    <w:rsid w:val="683F0658"/>
    <w:rsid w:val="689C6793"/>
    <w:rsid w:val="68DB0208"/>
    <w:rsid w:val="68FB170C"/>
    <w:rsid w:val="691B3D98"/>
    <w:rsid w:val="693748F0"/>
    <w:rsid w:val="69846A0E"/>
    <w:rsid w:val="69AD798C"/>
    <w:rsid w:val="69D005C0"/>
    <w:rsid w:val="69D80B96"/>
    <w:rsid w:val="6B68175F"/>
    <w:rsid w:val="6B751061"/>
    <w:rsid w:val="6BFD799F"/>
    <w:rsid w:val="6BFF20F3"/>
    <w:rsid w:val="6C4A2E5A"/>
    <w:rsid w:val="6C8138D0"/>
    <w:rsid w:val="6CBB12B6"/>
    <w:rsid w:val="6CEF0725"/>
    <w:rsid w:val="6CFFD1DA"/>
    <w:rsid w:val="6D4B2604"/>
    <w:rsid w:val="6D5F25EE"/>
    <w:rsid w:val="6D8030E4"/>
    <w:rsid w:val="6DD6A2E6"/>
    <w:rsid w:val="6DFA5B91"/>
    <w:rsid w:val="6E0E35C4"/>
    <w:rsid w:val="6E0F7A08"/>
    <w:rsid w:val="6E3947F5"/>
    <w:rsid w:val="6E3BC75A"/>
    <w:rsid w:val="6E7F81F4"/>
    <w:rsid w:val="6E9C74ED"/>
    <w:rsid w:val="6EF72976"/>
    <w:rsid w:val="6EFD5F2D"/>
    <w:rsid w:val="6F795A80"/>
    <w:rsid w:val="6F7C1D2E"/>
    <w:rsid w:val="6F8E0407"/>
    <w:rsid w:val="6FDD069F"/>
    <w:rsid w:val="6FF2F32F"/>
    <w:rsid w:val="6FF921F7"/>
    <w:rsid w:val="6FFF06F6"/>
    <w:rsid w:val="6FFF8158"/>
    <w:rsid w:val="6FFFBCD0"/>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DB6CCD"/>
    <w:rsid w:val="73DBA6C5"/>
    <w:rsid w:val="73EB4DC0"/>
    <w:rsid w:val="73FB6630"/>
    <w:rsid w:val="748D790E"/>
    <w:rsid w:val="749820CC"/>
    <w:rsid w:val="74CE04EC"/>
    <w:rsid w:val="74E76DCD"/>
    <w:rsid w:val="751D7C0A"/>
    <w:rsid w:val="75722D56"/>
    <w:rsid w:val="75BDC48A"/>
    <w:rsid w:val="75DB5477"/>
    <w:rsid w:val="75FC6AC3"/>
    <w:rsid w:val="7616619B"/>
    <w:rsid w:val="763F026E"/>
    <w:rsid w:val="76660D7C"/>
    <w:rsid w:val="766C5968"/>
    <w:rsid w:val="767656E8"/>
    <w:rsid w:val="76A5BEC5"/>
    <w:rsid w:val="76BE0C8F"/>
    <w:rsid w:val="76CD53B2"/>
    <w:rsid w:val="76D2033A"/>
    <w:rsid w:val="76DFB9F2"/>
    <w:rsid w:val="770719AC"/>
    <w:rsid w:val="775FCFD0"/>
    <w:rsid w:val="776526CC"/>
    <w:rsid w:val="77A262E1"/>
    <w:rsid w:val="77B13C33"/>
    <w:rsid w:val="77DF137C"/>
    <w:rsid w:val="77ED6F44"/>
    <w:rsid w:val="77F45548"/>
    <w:rsid w:val="77FB29C5"/>
    <w:rsid w:val="77FB7C35"/>
    <w:rsid w:val="784E7CA6"/>
    <w:rsid w:val="78574801"/>
    <w:rsid w:val="7873527F"/>
    <w:rsid w:val="78F326EB"/>
    <w:rsid w:val="790A6425"/>
    <w:rsid w:val="790E2D96"/>
    <w:rsid w:val="791B54B2"/>
    <w:rsid w:val="795A0A34"/>
    <w:rsid w:val="797339C3"/>
    <w:rsid w:val="79BBEF8D"/>
    <w:rsid w:val="79D57D57"/>
    <w:rsid w:val="79F00650"/>
    <w:rsid w:val="7A6242BF"/>
    <w:rsid w:val="7A794513"/>
    <w:rsid w:val="7ABFA68F"/>
    <w:rsid w:val="7ACB3936"/>
    <w:rsid w:val="7AE952D2"/>
    <w:rsid w:val="7AEF7FF0"/>
    <w:rsid w:val="7BE94DF9"/>
    <w:rsid w:val="7BF53C7E"/>
    <w:rsid w:val="7BFC38E8"/>
    <w:rsid w:val="7BFF0BA0"/>
    <w:rsid w:val="7BFFBB0D"/>
    <w:rsid w:val="7C976D69"/>
    <w:rsid w:val="7CD752DA"/>
    <w:rsid w:val="7CDE40AB"/>
    <w:rsid w:val="7CF057E2"/>
    <w:rsid w:val="7CFD4DA1"/>
    <w:rsid w:val="7CFE5DCB"/>
    <w:rsid w:val="7D1548B5"/>
    <w:rsid w:val="7D5F0584"/>
    <w:rsid w:val="7D751DF7"/>
    <w:rsid w:val="7D77AFED"/>
    <w:rsid w:val="7D7F85A3"/>
    <w:rsid w:val="7DB6261C"/>
    <w:rsid w:val="7DEF46EA"/>
    <w:rsid w:val="7DF84014"/>
    <w:rsid w:val="7E207949"/>
    <w:rsid w:val="7E5C0A47"/>
    <w:rsid w:val="7E670C75"/>
    <w:rsid w:val="7EE24272"/>
    <w:rsid w:val="7EE7BE92"/>
    <w:rsid w:val="7EEA6053"/>
    <w:rsid w:val="7F487C04"/>
    <w:rsid w:val="7F6F1423"/>
    <w:rsid w:val="7FB0FA40"/>
    <w:rsid w:val="7FB45F21"/>
    <w:rsid w:val="7FB95454"/>
    <w:rsid w:val="7FD73313"/>
    <w:rsid w:val="7FE57088"/>
    <w:rsid w:val="7FEE6338"/>
    <w:rsid w:val="7FEF7BC6"/>
    <w:rsid w:val="7FF24B0D"/>
    <w:rsid w:val="7FF37FA3"/>
    <w:rsid w:val="7FFBABB4"/>
    <w:rsid w:val="7FFE7FDD"/>
    <w:rsid w:val="7FFEEF65"/>
    <w:rsid w:val="87FDCD75"/>
    <w:rsid w:val="8F7BB57E"/>
    <w:rsid w:val="8F9C2565"/>
    <w:rsid w:val="95ECEBCD"/>
    <w:rsid w:val="9D6F9E6B"/>
    <w:rsid w:val="9E9D3D8C"/>
    <w:rsid w:val="9FBE9BE1"/>
    <w:rsid w:val="9FD7BDE8"/>
    <w:rsid w:val="A7BF4A37"/>
    <w:rsid w:val="AADD7BE2"/>
    <w:rsid w:val="ABB3F41F"/>
    <w:rsid w:val="ABFF30D1"/>
    <w:rsid w:val="AEC48193"/>
    <w:rsid w:val="AEE3A963"/>
    <w:rsid w:val="AF6BF677"/>
    <w:rsid w:val="AFD86E52"/>
    <w:rsid w:val="AFF30083"/>
    <w:rsid w:val="AFFE0430"/>
    <w:rsid w:val="B0CC3A4B"/>
    <w:rsid w:val="B3FDBBDF"/>
    <w:rsid w:val="B6FF5669"/>
    <w:rsid w:val="B73F4B76"/>
    <w:rsid w:val="B7EC7E37"/>
    <w:rsid w:val="B9CB2FB5"/>
    <w:rsid w:val="B9F3F70C"/>
    <w:rsid w:val="BAFC3927"/>
    <w:rsid w:val="BB54FD9B"/>
    <w:rsid w:val="BB668B43"/>
    <w:rsid w:val="BB7FE62B"/>
    <w:rsid w:val="BBBFEF51"/>
    <w:rsid w:val="BDD5B0EF"/>
    <w:rsid w:val="BDFD446D"/>
    <w:rsid w:val="BEE58CF8"/>
    <w:rsid w:val="BEFA408E"/>
    <w:rsid w:val="BF7D88E8"/>
    <w:rsid w:val="BFD74C4A"/>
    <w:rsid w:val="BFDD9A07"/>
    <w:rsid w:val="C2A9D1D8"/>
    <w:rsid w:val="CA7335F3"/>
    <w:rsid w:val="CD5BE4FE"/>
    <w:rsid w:val="CF4D0A7B"/>
    <w:rsid w:val="D0DDEF2F"/>
    <w:rsid w:val="D6DFE095"/>
    <w:rsid w:val="D6F785F2"/>
    <w:rsid w:val="DD4B24A1"/>
    <w:rsid w:val="DD6ED796"/>
    <w:rsid w:val="DDBFEC32"/>
    <w:rsid w:val="DDF9A0D7"/>
    <w:rsid w:val="DEEF9082"/>
    <w:rsid w:val="DEF7ECEE"/>
    <w:rsid w:val="DF6F976A"/>
    <w:rsid w:val="DF9F70B4"/>
    <w:rsid w:val="DFBBF9A6"/>
    <w:rsid w:val="DFBFB98B"/>
    <w:rsid w:val="DFCCF10B"/>
    <w:rsid w:val="DFDB0ECE"/>
    <w:rsid w:val="DFED7F22"/>
    <w:rsid w:val="DFF327DD"/>
    <w:rsid w:val="E4AF0788"/>
    <w:rsid w:val="E5FD8B7F"/>
    <w:rsid w:val="E76F8474"/>
    <w:rsid w:val="E7FF25E3"/>
    <w:rsid w:val="E9B31B09"/>
    <w:rsid w:val="E9D525E9"/>
    <w:rsid w:val="E9FE435A"/>
    <w:rsid w:val="EAEE6E04"/>
    <w:rsid w:val="EAF7F298"/>
    <w:rsid w:val="EB517D22"/>
    <w:rsid w:val="EB5773F0"/>
    <w:rsid w:val="EBF556AC"/>
    <w:rsid w:val="EBFEE3EF"/>
    <w:rsid w:val="ECFF4329"/>
    <w:rsid w:val="EEBE29C9"/>
    <w:rsid w:val="EEDB1565"/>
    <w:rsid w:val="EF850CE1"/>
    <w:rsid w:val="F2DBC316"/>
    <w:rsid w:val="F37DE70F"/>
    <w:rsid w:val="F47DBEF5"/>
    <w:rsid w:val="F57F6AF8"/>
    <w:rsid w:val="F5E7C018"/>
    <w:rsid w:val="F6FD1987"/>
    <w:rsid w:val="F7F27CD9"/>
    <w:rsid w:val="F97D7216"/>
    <w:rsid w:val="F9F7F850"/>
    <w:rsid w:val="FAFFC4A3"/>
    <w:rsid w:val="FB6FAD60"/>
    <w:rsid w:val="FB9701A5"/>
    <w:rsid w:val="FBCC3120"/>
    <w:rsid w:val="FBEFF737"/>
    <w:rsid w:val="FCBBF8EC"/>
    <w:rsid w:val="FDCB2BAA"/>
    <w:rsid w:val="FDE34FEC"/>
    <w:rsid w:val="FDFD01BA"/>
    <w:rsid w:val="FE24A3EB"/>
    <w:rsid w:val="FE27D33D"/>
    <w:rsid w:val="FE759F1B"/>
    <w:rsid w:val="FEB6A377"/>
    <w:rsid w:val="FEBF199F"/>
    <w:rsid w:val="FEDF0D3D"/>
    <w:rsid w:val="FEE8F466"/>
    <w:rsid w:val="FEEA5E00"/>
    <w:rsid w:val="FEFF0C0E"/>
    <w:rsid w:val="FEFF9BE7"/>
    <w:rsid w:val="FF1F0C9D"/>
    <w:rsid w:val="FF35C349"/>
    <w:rsid w:val="FF59E51C"/>
    <w:rsid w:val="FF5F5B59"/>
    <w:rsid w:val="FF6F669E"/>
    <w:rsid w:val="FF6FD5D3"/>
    <w:rsid w:val="FFB4CDC3"/>
    <w:rsid w:val="FFBE30ED"/>
    <w:rsid w:val="FFDBF681"/>
    <w:rsid w:val="FFDE5FE0"/>
    <w:rsid w:val="FFDFE714"/>
    <w:rsid w:val="FFEBF7FD"/>
    <w:rsid w:val="FFEF027B"/>
    <w:rsid w:val="FFEF3E4E"/>
    <w:rsid w:val="FFEF70B4"/>
    <w:rsid w:val="FFFBCF0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6483</Words>
  <Characters>20828</Characters>
  <Lines>0</Lines>
  <Paragraphs>0</Paragraphs>
  <TotalTime>57</TotalTime>
  <ScaleCrop>false</ScaleCrop>
  <LinksUpToDate>false</LinksUpToDate>
  <CharactersWithSpaces>20940</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2014-11-04T12:08:00Z</dcterms:created>
  <dc:creator>GXR</dc:creator>
  <cp:lastModifiedBy>user</cp:lastModifiedBy>
  <cp:lastPrinted>2024-08-24T00:19:00Z</cp:lastPrinted>
  <dcterms:modified xsi:type="dcterms:W3CDTF">2024-09-02T17:39:27Z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180DC85873EE1AB2FAE3C66668E8B898</vt:lpwstr>
  </property>
</Properties>
</file>