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新疆维吾尔自治区民政康复中心</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2023年度单位</w:t>
      </w:r>
      <w:r>
        <w:rPr>
          <w:rFonts w:hint="eastAsia" w:ascii="方正小标宋_GBK" w:hAnsi="宋体" w:eastAsia="方正小标宋_GBK"/>
          <w:color w:val="auto"/>
          <w:sz w:val="44"/>
          <w:szCs w:val="44"/>
          <w:highlight w:val="none"/>
        </w:rPr>
        <w:t>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第二部分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第四部分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ascii="仿宋_GB2312" w:eastAsia="仿宋_GB2312"/>
          <w:color w:val="auto"/>
          <w:sz w:val="32"/>
          <w:szCs w:val="32"/>
          <w:highlight w:val="none"/>
        </w:rPr>
        <w:t>开展医养康养结合的养老服务工作；承担民政保障性困难群体医疗服务、救助项目；指导保障性养老机构和社会组织规范运行，开展专业化养老服务</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新疆维吾尔自治区民政康复中心</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156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64</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92</w:t>
      </w:r>
      <w:r>
        <w:rPr>
          <w:rFonts w:hint="eastAsia" w:ascii="仿宋_GB2312" w:eastAsia="仿宋_GB2312"/>
          <w:color w:val="auto"/>
          <w:sz w:val="32"/>
          <w:szCs w:val="32"/>
          <w:highlight w:val="none"/>
        </w:rPr>
        <w:t>人。</w:t>
      </w:r>
    </w:p>
    <w:p>
      <w:pPr>
        <w:ind w:firstLine="640" w:firstLineChars="200"/>
        <w:rPr>
          <w:rFonts w:ascii="仿宋_GB2312" w:eastAsia="仿宋_GB2312"/>
          <w:color w:val="auto"/>
          <w:sz w:val="32"/>
          <w:szCs w:val="32"/>
          <w:highlight w:val="none"/>
        </w:rPr>
      </w:pP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7</w:t>
      </w:r>
      <w:r>
        <w:rPr>
          <w:rFonts w:hint="eastAsia" w:ascii="仿宋_GB2312" w:hAnsi="黑体" w:eastAsia="仿宋_GB2312" w:cs="宋体"/>
          <w:bCs/>
          <w:color w:val="auto"/>
          <w:kern w:val="0"/>
          <w:sz w:val="32"/>
          <w:szCs w:val="32"/>
          <w:highlight w:val="none"/>
        </w:rPr>
        <w:t>个</w:t>
      </w:r>
      <w:r>
        <w:rPr>
          <w:rFonts w:hint="eastAsia" w:ascii="仿宋_GB2312" w:hAnsi="黑体" w:eastAsia="仿宋_GB2312" w:cs="宋体"/>
          <w:bCs/>
          <w:color w:val="auto"/>
          <w:kern w:val="0"/>
          <w:sz w:val="32"/>
          <w:szCs w:val="32"/>
          <w:highlight w:val="none"/>
          <w:lang w:eastAsia="zh-CN"/>
        </w:rPr>
        <w:t>科</w:t>
      </w:r>
      <w:r>
        <w:rPr>
          <w:rFonts w:hint="eastAsia" w:ascii="仿宋_GB2312" w:hAnsi="黑体" w:eastAsia="仿宋_GB2312" w:cs="宋体"/>
          <w:bCs/>
          <w:color w:val="auto"/>
          <w:kern w:val="0"/>
          <w:sz w:val="32"/>
          <w:szCs w:val="32"/>
          <w:highlight w:val="none"/>
        </w:rPr>
        <w:t>室，分别是：质量建设部、职业能力部、智慧信息部、医养康复部、党政人事办、财务部、总务部</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 xml:space="preserve">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w:t>
      </w:r>
      <w:r>
        <w:rPr>
          <w:rFonts w:hint="eastAsia" w:ascii="仿宋_GB2312" w:eastAsia="仿宋_GB2312"/>
          <w:b/>
          <w:bCs/>
          <w:color w:val="auto"/>
          <w:spacing w:val="0"/>
          <w:sz w:val="32"/>
          <w:szCs w:val="32"/>
          <w:highlight w:val="none"/>
          <w:lang w:val="en-US" w:eastAsia="zh-CN"/>
        </w:rPr>
        <w:t>收入总计</w:t>
      </w:r>
      <w:r>
        <w:rPr>
          <w:rFonts w:hint="eastAsia" w:ascii="仿宋_GB2312" w:eastAsia="仿宋_GB2312"/>
          <w:b/>
          <w:bCs/>
          <w:color w:val="auto"/>
          <w:spacing w:val="0"/>
          <w:sz w:val="32"/>
          <w:szCs w:val="32"/>
          <w:highlight w:val="none"/>
          <w:lang w:eastAsia="zh-CN"/>
        </w:rPr>
        <w:t>7,467.34万元，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6,809.01万元，使用非财政拨款结余0.00万元，年初结转和结余658.33万元。</w:t>
      </w:r>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2023</w:t>
      </w:r>
      <w:r>
        <w:rPr>
          <w:rFonts w:hint="eastAsia" w:ascii="仿宋_GB2312" w:eastAsia="仿宋_GB2312"/>
          <w:b/>
          <w:bCs/>
          <w:color w:val="auto"/>
          <w:spacing w:val="0"/>
          <w:sz w:val="32"/>
          <w:szCs w:val="32"/>
          <w:highlight w:val="none"/>
          <w:lang w:eastAsia="zh-CN"/>
        </w:rPr>
        <w:t>年</w:t>
      </w:r>
      <w:r>
        <w:rPr>
          <w:rFonts w:hint="eastAsia" w:ascii="仿宋_GB2312" w:eastAsia="仿宋_GB2312"/>
          <w:b/>
          <w:bCs/>
          <w:color w:val="auto"/>
          <w:spacing w:val="0"/>
          <w:sz w:val="32"/>
          <w:szCs w:val="32"/>
          <w:highlight w:val="none"/>
          <w:lang w:val="en-US" w:eastAsia="zh-CN"/>
        </w:rPr>
        <w:t>度</w:t>
      </w:r>
      <w:r>
        <w:rPr>
          <w:rFonts w:hint="eastAsia" w:ascii="仿宋_GB2312" w:eastAsia="仿宋_GB2312"/>
          <w:b/>
          <w:bCs/>
          <w:color w:val="auto"/>
          <w:spacing w:val="0"/>
          <w:sz w:val="32"/>
          <w:szCs w:val="32"/>
          <w:highlight w:val="none"/>
          <w:lang w:eastAsia="zh-CN"/>
        </w:rPr>
        <w:t>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eastAsia="zh-CN"/>
        </w:rPr>
        <w:t>7,467.34万元，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7,385.70万元，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0.00万元，年末结转和结余81.64万元。</w:t>
      </w:r>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收入支出总体与上年相比</w:t>
      </w:r>
      <w:r>
        <w:rPr>
          <w:rFonts w:hint="eastAsia" w:ascii="仿宋_GB2312" w:eastAsia="仿宋_GB2312"/>
          <w:b/>
          <w:bCs/>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增加3,782.56万元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增长102.65%</w:t>
      </w:r>
      <w:r>
        <w:rPr>
          <w:rFonts w:hint="eastAsia" w:ascii="仿宋_GB2312" w:eastAsia="仿宋_GB2312"/>
          <w:color w:val="auto"/>
          <w:spacing w:val="0"/>
          <w:sz w:val="32"/>
          <w:szCs w:val="32"/>
          <w:highlight w:val="none"/>
          <w:lang w:eastAsia="zh-CN"/>
        </w:rPr>
        <w:t>，主要原因是：</w:t>
      </w:r>
      <w:bookmarkStart w:id="10" w:name="OLE_LINK10"/>
      <w:r>
        <w:rPr>
          <w:rFonts w:hint="eastAsia" w:ascii="仿宋_GB2312" w:eastAsia="仿宋_GB2312"/>
          <w:color w:val="auto"/>
          <w:sz w:val="32"/>
          <w:szCs w:val="32"/>
          <w:highlight w:val="none"/>
          <w:lang w:val="en-US" w:eastAsia="zh-CN"/>
        </w:rPr>
        <w:t>2022年民康养老提升改造项目资金增加</w:t>
      </w:r>
      <w:bookmarkEnd w:id="10"/>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1" w:name="_Toc12142"/>
      <w:bookmarkStart w:id="12"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1"/>
      <w:bookmarkEnd w:id="12"/>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rPr>
        <w:t>本年收入</w:t>
      </w:r>
      <w:r>
        <w:rPr>
          <w:rFonts w:hint="eastAsia" w:ascii="仿宋_GB2312" w:eastAsia="仿宋_GB2312"/>
          <w:b/>
          <w:bCs/>
          <w:color w:val="auto"/>
          <w:sz w:val="32"/>
          <w:szCs w:val="32"/>
          <w:highlight w:val="none"/>
          <w:lang w:eastAsia="zh-CN"/>
        </w:rPr>
        <w:t>6,809.01</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其中：财政拨款收入</w:t>
      </w:r>
      <w:r>
        <w:rPr>
          <w:rFonts w:hint="eastAsia" w:ascii="仿宋_GB2312" w:eastAsia="仿宋_GB2312"/>
          <w:color w:val="auto"/>
          <w:sz w:val="32"/>
          <w:szCs w:val="32"/>
          <w:highlight w:val="none"/>
          <w:lang w:val="zh-CN"/>
        </w:rPr>
        <w:t>6,808.66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0.35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3" w:name="_Toc27961"/>
      <w:bookmarkStart w:id="14" w:name="_Toc13201"/>
      <w:r>
        <w:rPr>
          <w:rFonts w:hint="eastAsia" w:ascii="黑体" w:hAnsi="黑体" w:eastAsia="黑体" w:cs="宋体"/>
          <w:bCs/>
          <w:color w:val="auto"/>
          <w:kern w:val="0"/>
          <w:sz w:val="32"/>
          <w:szCs w:val="32"/>
          <w:highlight w:val="none"/>
          <w:lang w:eastAsia="zh-CN"/>
        </w:rPr>
        <w:t>三、支出决算情况说明</w:t>
      </w:r>
      <w:bookmarkEnd w:id="13"/>
      <w:bookmarkEnd w:id="14"/>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b/>
          <w:bCs/>
          <w:color w:val="auto"/>
          <w:sz w:val="32"/>
          <w:szCs w:val="32"/>
          <w:highlight w:val="none"/>
          <w:lang w:val="zh-CN" w:eastAsia="zh-CN"/>
        </w:rPr>
        <w:t>本年支出7,385.70万元，</w:t>
      </w:r>
      <w:r>
        <w:rPr>
          <w:rFonts w:hint="eastAsia" w:ascii="Times New Roman" w:hAnsi="Times New Roman" w:eastAsia="仿宋_GB2312" w:cs="仿宋_GB2312"/>
          <w:color w:val="auto"/>
          <w:sz w:val="32"/>
          <w:szCs w:val="32"/>
          <w:highlight w:val="none"/>
          <w:lang w:val="zh-CN" w:eastAsia="zh-CN"/>
        </w:rPr>
        <w:t>其中：基本支出1,596.72万元，占21.62%；项目支出5,788.98万元，占78.38%；上缴上级支出0.00万元，占0.00%；经营支出0.00万元，占0.00%；对附属单位补助支出0.00万元，占0.00%。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5" w:name="_Toc26564"/>
      <w:bookmarkStart w:id="16" w:name="_Toc4393"/>
      <w:r>
        <w:rPr>
          <w:rFonts w:hint="eastAsia" w:ascii="黑体" w:hAnsi="黑体" w:eastAsia="黑体" w:cs="宋体"/>
          <w:bCs/>
          <w:color w:val="auto"/>
          <w:kern w:val="0"/>
          <w:sz w:val="32"/>
          <w:szCs w:val="32"/>
          <w:highlight w:val="none"/>
          <w:lang w:eastAsia="zh-CN"/>
        </w:rPr>
        <w:t>四、财政拨款收入支出决算总体情况说明</w:t>
      </w:r>
      <w:bookmarkEnd w:id="15"/>
      <w:bookmarkEnd w:id="16"/>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2023年度财政拨款收入</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7,465.68</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657.02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6,808.66</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7,465.68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80.26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7,385.42</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财政拨款收入支出总体与上年相比</w:t>
      </w:r>
      <w:r>
        <w:rPr>
          <w:rFonts w:hint="eastAsia" w:ascii="仿宋_GB2312" w:eastAsia="仿宋_GB2312"/>
          <w:b/>
          <w:bCs/>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增加3,782.28万元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增长102.68%，</w:t>
      </w:r>
      <w:r>
        <w:rPr>
          <w:rFonts w:hint="eastAsia" w:ascii="仿宋_GB2312" w:eastAsia="仿宋_GB2312"/>
          <w:color w:val="auto"/>
          <w:spacing w:val="0"/>
          <w:sz w:val="32"/>
          <w:szCs w:val="32"/>
          <w:highlight w:val="none"/>
          <w:lang w:eastAsia="zh-CN"/>
        </w:rPr>
        <w:t>主要原因是：</w:t>
      </w:r>
      <w:bookmarkStart w:id="17" w:name="OLE_LINK11"/>
      <w:r>
        <w:rPr>
          <w:rFonts w:hint="eastAsia" w:ascii="仿宋_GB2312" w:eastAsia="仿宋_GB2312"/>
          <w:color w:val="auto"/>
          <w:spacing w:val="0"/>
          <w:sz w:val="32"/>
          <w:szCs w:val="32"/>
          <w:highlight w:val="none"/>
          <w:lang w:val="en-US" w:eastAsia="zh-CN"/>
        </w:rPr>
        <w:t>2023年安排上年</w:t>
      </w:r>
      <w:r>
        <w:rPr>
          <w:rFonts w:hint="eastAsia" w:ascii="仿宋_GB2312" w:eastAsia="仿宋_GB2312"/>
          <w:color w:val="auto"/>
          <w:sz w:val="32"/>
          <w:szCs w:val="32"/>
          <w:highlight w:val="none"/>
          <w:lang w:val="en-US" w:eastAsia="zh-CN"/>
        </w:rPr>
        <w:t>民康养老服务改造提升项目</w:t>
      </w:r>
      <w:bookmarkEnd w:id="17"/>
      <w:r>
        <w:rPr>
          <w:rFonts w:hint="eastAsia" w:ascii="仿宋_GB2312" w:eastAsia="仿宋_GB2312"/>
          <w:color w:val="auto"/>
          <w:sz w:val="32"/>
          <w:szCs w:val="32"/>
          <w:highlight w:val="none"/>
          <w:lang w:val="en-US" w:eastAsia="zh-CN"/>
        </w:rPr>
        <w:t>和孤儿医疗康复明天计划项目资金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6,779.94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7,465.68</w:t>
      </w:r>
      <w:r>
        <w:rPr>
          <w:rFonts w:hint="eastAsia" w:ascii="仿宋_GB2312" w:eastAsia="仿宋_GB2312"/>
          <w:color w:val="auto"/>
          <w:spacing w:val="0"/>
          <w:sz w:val="32"/>
          <w:szCs w:val="32"/>
          <w:highlight w:val="none"/>
          <w:lang w:eastAsia="zh-CN"/>
        </w:rPr>
        <w:t>万元，预决算差异率10.11%，主要原因是：</w:t>
      </w:r>
      <w:r>
        <w:rPr>
          <w:rFonts w:hint="eastAsia" w:ascii="仿宋_GB2312" w:eastAsia="仿宋_GB2312"/>
          <w:color w:val="auto"/>
          <w:spacing w:val="0"/>
          <w:sz w:val="32"/>
          <w:szCs w:val="32"/>
          <w:highlight w:val="none"/>
          <w:lang w:val="en-US" w:eastAsia="zh-CN"/>
        </w:rPr>
        <w:t>2023年安排上年</w:t>
      </w:r>
      <w:r>
        <w:rPr>
          <w:rFonts w:hint="eastAsia" w:ascii="仿宋_GB2312" w:eastAsia="仿宋_GB2312"/>
          <w:color w:val="auto"/>
          <w:sz w:val="32"/>
          <w:szCs w:val="32"/>
          <w:highlight w:val="none"/>
          <w:lang w:val="en-US" w:eastAsia="zh-CN"/>
        </w:rPr>
        <w:t>民康养老服务改造提升项目资金</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20360"/>
      <w:bookmarkStart w:id="19"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8"/>
      <w:bookmarkEnd w:id="1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2023年度一般公共预算财政拨款支出5,080.37万元，</w:t>
      </w:r>
      <w:r>
        <w:rPr>
          <w:rFonts w:hint="eastAsia" w:ascii="仿宋_GB2312" w:eastAsia="仿宋_GB2312"/>
          <w:color w:val="auto"/>
          <w:spacing w:val="0"/>
          <w:sz w:val="32"/>
          <w:szCs w:val="32"/>
          <w:highlight w:val="none"/>
          <w:lang w:eastAsia="zh-CN"/>
        </w:rPr>
        <w:t>占本年支出合计的</w:t>
      </w:r>
      <w:r>
        <w:rPr>
          <w:rFonts w:hint="eastAsia" w:ascii="仿宋_GB2312" w:eastAsia="仿宋_GB2312"/>
          <w:color w:val="auto"/>
          <w:spacing w:val="0"/>
          <w:sz w:val="32"/>
          <w:szCs w:val="32"/>
          <w:highlight w:val="none"/>
          <w:lang w:val="zh-CN" w:eastAsia="zh-CN"/>
        </w:rPr>
        <w:t>68.79%</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增加2,148.61万元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增长73.29%，</w:t>
      </w:r>
      <w:r>
        <w:rPr>
          <w:rFonts w:hint="eastAsia" w:ascii="仿宋_GB2312" w:eastAsia="仿宋_GB2312"/>
          <w:color w:val="auto"/>
          <w:spacing w:val="0"/>
          <w:sz w:val="32"/>
          <w:szCs w:val="32"/>
          <w:highlight w:val="none"/>
          <w:lang w:eastAsia="zh-CN"/>
        </w:rPr>
        <w:t>主要原因是：</w:t>
      </w:r>
      <w:bookmarkStart w:id="20" w:name="OLE_LINK1"/>
      <w:r>
        <w:rPr>
          <w:rFonts w:hint="eastAsia" w:ascii="仿宋_GB2312" w:eastAsia="仿宋_GB2312"/>
          <w:color w:val="auto"/>
          <w:sz w:val="32"/>
          <w:szCs w:val="32"/>
          <w:highlight w:val="none"/>
          <w:lang w:val="en-US" w:eastAsia="zh-CN"/>
        </w:rPr>
        <w:t>2023年安排上年民康养老服务改造提升</w:t>
      </w:r>
      <w:r>
        <w:rPr>
          <w:rFonts w:hint="eastAsia" w:ascii="仿宋_GB2312" w:eastAsia="仿宋_GB2312"/>
          <w:color w:val="auto"/>
          <w:sz w:val="32"/>
          <w:szCs w:val="32"/>
          <w:highlight w:val="none"/>
        </w:rPr>
        <w:t>项目资金继续使用</w:t>
      </w:r>
      <w:bookmarkEnd w:id="20"/>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4,720.74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5,080.37</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7.62%</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z w:val="32"/>
          <w:szCs w:val="32"/>
          <w:highlight w:val="none"/>
          <w:lang w:val="en-US" w:eastAsia="zh-CN"/>
        </w:rPr>
        <w:t>2023年安排上年民康养老服务改造提升</w:t>
      </w:r>
      <w:r>
        <w:rPr>
          <w:rFonts w:hint="eastAsia" w:ascii="仿宋_GB2312" w:eastAsia="仿宋_GB2312"/>
          <w:color w:val="auto"/>
          <w:sz w:val="32"/>
          <w:szCs w:val="32"/>
          <w:highlight w:val="none"/>
        </w:rPr>
        <w:t>项目资金继续使用</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4,871.58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95.89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114.24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2.25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94.55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1.86</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1.社会保障和就业支出（类）社会福利（款）社会福利事业单位（项）:支出决算数为1,079.71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542.42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33.44%，主要原因是：</w:t>
      </w:r>
      <w:bookmarkStart w:id="21" w:name="OLE_LINK2"/>
      <w:r>
        <w:rPr>
          <w:rFonts w:hint="eastAsia" w:eastAsia="仿宋_GB2312" w:cs="Times New Roman"/>
          <w:color w:val="auto"/>
          <w:kern w:val="2"/>
          <w:sz w:val="32"/>
          <w:szCs w:val="32"/>
          <w:highlight w:val="none"/>
          <w:lang w:val="en-US" w:eastAsia="zh-CN" w:bidi="ar-SA"/>
        </w:rPr>
        <w:t>“明天计划”项目资金减少，支出较上年减少</w:t>
      </w:r>
      <w:r>
        <w:rPr>
          <w:rFonts w:hint="eastAsia" w:eastAsia="仿宋_GB2312" w:cs="Times New Roman"/>
          <w:color w:val="auto"/>
          <w:kern w:val="2"/>
          <w:sz w:val="32"/>
          <w:szCs w:val="32"/>
          <w:highlight w:val="none"/>
          <w:lang w:val="zh-CN" w:eastAsia="zh-CN" w:bidi="ar-SA"/>
        </w:rPr>
        <w:t>。</w:t>
      </w:r>
    </w:p>
    <w:bookmarkEnd w:id="21"/>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2.卫生健康支出（类）行政事业单位医疗（款）事业单位医疗（项）:支出决算数为59.09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11.29%，主要原因是：</w:t>
      </w:r>
      <w:bookmarkStart w:id="22" w:name="OLE_LINK3"/>
      <w:r>
        <w:rPr>
          <w:rFonts w:hint="eastAsia" w:ascii="Times New Roman" w:hAnsi="Times New Roman" w:eastAsia="仿宋_GB2312" w:cs="Times New Roman"/>
          <w:color w:val="auto"/>
          <w:kern w:val="2"/>
          <w:sz w:val="32"/>
          <w:szCs w:val="32"/>
          <w:highlight w:val="none"/>
          <w:lang w:val="en-US" w:eastAsia="zh-CN" w:bidi="ar-SA"/>
        </w:rPr>
        <w:t>在职人员</w:t>
      </w:r>
      <w:r>
        <w:rPr>
          <w:rFonts w:hint="eastAsia" w:eastAsia="仿宋_GB2312" w:cs="Times New Roman"/>
          <w:color w:val="auto"/>
          <w:kern w:val="2"/>
          <w:sz w:val="32"/>
          <w:szCs w:val="32"/>
          <w:highlight w:val="none"/>
          <w:lang w:val="en-US" w:eastAsia="zh-CN" w:bidi="ar-SA"/>
        </w:rPr>
        <w:t>正常晋升</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支出</w:t>
      </w:r>
      <w:r>
        <w:rPr>
          <w:rFonts w:hint="eastAsia" w:ascii="Times New Roman" w:hAnsi="Times New Roman"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zh-CN" w:eastAsia="zh-CN" w:bidi="ar-SA"/>
        </w:rPr>
        <w:t>。</w:t>
      </w:r>
      <w:bookmarkEnd w:id="22"/>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3.卫生健康支出（类）行政事业单位医疗（款）公务员医疗补助（项）:支出决算数为55.15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13.86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33.5</w:t>
      </w:r>
      <w:r>
        <w:rPr>
          <w:rFonts w:hint="eastAsia" w:eastAsia="仿宋_GB2312" w:cs="Times New Roman"/>
          <w:color w:val="auto"/>
          <w:kern w:val="2"/>
          <w:sz w:val="32"/>
          <w:szCs w:val="32"/>
          <w:highlight w:val="none"/>
          <w:lang w:val="en-US" w:eastAsia="zh-CN" w:bidi="ar-SA"/>
        </w:rPr>
        <w:t>7</w:t>
      </w:r>
      <w:r>
        <w:rPr>
          <w:rFonts w:hint="eastAsia" w:ascii="Times New Roman" w:hAnsi="Times New Roman" w:eastAsia="仿宋_GB2312" w:cs="Times New Roman"/>
          <w:color w:val="auto"/>
          <w:kern w:val="2"/>
          <w:sz w:val="32"/>
          <w:szCs w:val="32"/>
          <w:highlight w:val="none"/>
          <w:lang w:val="en-US" w:eastAsia="zh-CN" w:bidi="ar-SA"/>
        </w:rPr>
        <w:t>%，主要原因是：在职人员</w:t>
      </w:r>
      <w:r>
        <w:rPr>
          <w:rFonts w:hint="eastAsia" w:eastAsia="仿宋_GB2312" w:cs="Times New Roman"/>
          <w:color w:val="auto"/>
          <w:kern w:val="2"/>
          <w:sz w:val="32"/>
          <w:szCs w:val="32"/>
          <w:highlight w:val="none"/>
          <w:lang w:val="en-US" w:eastAsia="zh-CN" w:bidi="ar-SA"/>
        </w:rPr>
        <w:t>正常晋升</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支出</w:t>
      </w:r>
      <w:r>
        <w:rPr>
          <w:rFonts w:hint="eastAsia" w:ascii="Times New Roman" w:hAnsi="Times New Roman"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strike w:val="0"/>
          <w:dstrike w:val="0"/>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4.社会保障和就业支出（类）社会福利（款）其他社会福利支出（项）:支出决算数为2,760.00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2,760.00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strike w:val="0"/>
          <w:dstrike w:val="0"/>
          <w:color w:val="auto"/>
          <w:kern w:val="2"/>
          <w:sz w:val="32"/>
          <w:szCs w:val="32"/>
          <w:highlight w:val="none"/>
          <w:lang w:val="en-US" w:eastAsia="zh-CN" w:bidi="ar-SA"/>
        </w:rPr>
        <w:t>2023年安排</w:t>
      </w:r>
      <w:r>
        <w:rPr>
          <w:rFonts w:hint="eastAsia" w:ascii="Times New Roman" w:hAnsi="Times New Roman" w:eastAsia="仿宋_GB2312" w:cs="Times New Roman"/>
          <w:strike w:val="0"/>
          <w:dstrike w:val="0"/>
          <w:color w:val="auto"/>
          <w:kern w:val="2"/>
          <w:sz w:val="32"/>
          <w:szCs w:val="32"/>
          <w:highlight w:val="none"/>
          <w:lang w:val="en-US" w:eastAsia="zh-CN" w:bidi="ar-SA"/>
        </w:rPr>
        <w:t>关于下达2022年积极应对人口老龄化工程和托育建设（养老、托育服务体系方向）中央基建投资预算（拨款）的通知</w:t>
      </w:r>
      <w:r>
        <w:rPr>
          <w:rFonts w:hint="eastAsia" w:ascii="仿宋_GB2312" w:eastAsia="仿宋_GB2312"/>
          <w:strike w:val="0"/>
          <w:dstrike w:val="0"/>
          <w:color w:val="auto"/>
          <w:sz w:val="32"/>
          <w:szCs w:val="32"/>
          <w:highlight w:val="none"/>
          <w:lang w:val="en-US" w:eastAsia="zh-CN"/>
        </w:rPr>
        <w:t>项目</w:t>
      </w:r>
      <w:r>
        <w:rPr>
          <w:rFonts w:hint="eastAsia" w:eastAsia="仿宋_GB2312" w:cs="Times New Roman"/>
          <w:strike w:val="0"/>
          <w:dstrike w:val="0"/>
          <w:color w:val="auto"/>
          <w:kern w:val="2"/>
          <w:sz w:val="32"/>
          <w:szCs w:val="32"/>
          <w:highlight w:val="none"/>
          <w:lang w:val="en-US" w:eastAsia="zh-CN" w:bidi="ar-SA"/>
        </w:rPr>
        <w:t>资金使用完毕</w:t>
      </w:r>
      <w:r>
        <w:rPr>
          <w:rFonts w:hint="eastAsia" w:ascii="Times New Roman" w:hAnsi="Times New Roman" w:eastAsia="仿宋_GB2312" w:cs="Times New Roman"/>
          <w:strike w:val="0"/>
          <w:dstrike w:val="0"/>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strike w:val="0"/>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5.社会保障和就业支出（类）临时救助（款）临时救助支出（项）:支出决算数为700.00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94.00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11.84%，主要原因是：</w:t>
      </w:r>
      <w:r>
        <w:rPr>
          <w:rFonts w:hint="eastAsia" w:eastAsia="仿宋_GB2312" w:cs="Times New Roman"/>
          <w:strike w:val="0"/>
          <w:dstrike w:val="0"/>
          <w:color w:val="auto"/>
          <w:kern w:val="2"/>
          <w:sz w:val="32"/>
          <w:szCs w:val="32"/>
          <w:highlight w:val="none"/>
          <w:lang w:val="en-US" w:eastAsia="zh-CN" w:bidi="ar-SA"/>
        </w:rPr>
        <w:t>自治区困难群众救助补助</w:t>
      </w:r>
      <w:r>
        <w:rPr>
          <w:rFonts w:hint="eastAsia" w:ascii="Times New Roman" w:hAnsi="Times New Roman" w:eastAsia="仿宋_GB2312" w:cs="Times New Roman"/>
          <w:strike w:val="0"/>
          <w:color w:val="auto"/>
          <w:kern w:val="2"/>
          <w:sz w:val="32"/>
          <w:szCs w:val="32"/>
          <w:highlight w:val="none"/>
          <w:lang w:val="en-US" w:eastAsia="zh-CN" w:bidi="ar-SA"/>
        </w:rPr>
        <w:t>预算</w:t>
      </w:r>
      <w:r>
        <w:rPr>
          <w:rFonts w:hint="eastAsia" w:eastAsia="仿宋_GB2312" w:cs="Times New Roman"/>
          <w:strike w:val="0"/>
          <w:color w:val="auto"/>
          <w:kern w:val="2"/>
          <w:sz w:val="32"/>
          <w:szCs w:val="32"/>
          <w:highlight w:val="none"/>
          <w:lang w:val="en-US" w:eastAsia="zh-CN" w:bidi="ar-SA"/>
        </w:rPr>
        <w:t>安排</w:t>
      </w:r>
      <w:r>
        <w:rPr>
          <w:rFonts w:hint="eastAsia" w:ascii="Times New Roman" w:hAnsi="Times New Roman" w:eastAsia="仿宋_GB2312" w:cs="Times New Roman"/>
          <w:strike w:val="0"/>
          <w:color w:val="auto"/>
          <w:kern w:val="2"/>
          <w:sz w:val="32"/>
          <w:szCs w:val="32"/>
          <w:highlight w:val="none"/>
          <w:lang w:val="en-US" w:eastAsia="zh-CN" w:bidi="ar-SA"/>
        </w:rPr>
        <w:t>数较上年减少</w:t>
      </w:r>
      <w:r>
        <w:rPr>
          <w:rFonts w:hint="eastAsia" w:ascii="Times New Roman" w:hAnsi="Times New Roman" w:eastAsia="仿宋_GB2312" w:cs="Times New Roman"/>
          <w:strike w:val="0"/>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6.住房保障支出（类）住房改革支出（款）住房公积金（项）:支出决算数为94.55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20.69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28.02%，主要原因是：在职人员</w:t>
      </w:r>
      <w:r>
        <w:rPr>
          <w:rFonts w:hint="eastAsia" w:eastAsia="仿宋_GB2312" w:cs="Times New Roman"/>
          <w:color w:val="auto"/>
          <w:kern w:val="2"/>
          <w:sz w:val="32"/>
          <w:szCs w:val="32"/>
          <w:highlight w:val="none"/>
          <w:lang w:val="en-US" w:eastAsia="zh-CN" w:bidi="ar-SA"/>
        </w:rPr>
        <w:t>正常晋升</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支出</w:t>
      </w:r>
      <w:r>
        <w:rPr>
          <w:rFonts w:hint="eastAsia" w:ascii="Times New Roman" w:hAnsi="Times New Roman"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strike w:val="0"/>
          <w:dstrike w:val="0"/>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7.社会保障和就业支出（类）行政事业单位养老支出（款）事业单位离退休（项）:支出决算数为169.70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78.33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31.58%，主要原因是：</w:t>
      </w:r>
      <w:r>
        <w:rPr>
          <w:rFonts w:hint="eastAsia" w:eastAsia="仿宋_GB2312" w:cs="Times New Roman"/>
          <w:strike w:val="0"/>
          <w:dstrike w:val="0"/>
          <w:color w:val="auto"/>
          <w:kern w:val="2"/>
          <w:sz w:val="32"/>
          <w:szCs w:val="32"/>
          <w:highlight w:val="none"/>
          <w:lang w:val="en-US" w:eastAsia="zh-CN" w:bidi="ar-SA"/>
        </w:rPr>
        <w:t>2023年根据财政厅退回机关事业单位离退休人员基本医疗保险，支出减少</w:t>
      </w:r>
      <w:r>
        <w:rPr>
          <w:rFonts w:hint="eastAsia" w:eastAsia="仿宋_GB2312" w:cs="Times New Roman"/>
          <w:strike w:val="0"/>
          <w:dstrike w:val="0"/>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8.社会保障和就业支出（类）行政事业单位养老支出（款）机关事业单位职业年金缴费支出（项）:支出决算数为36.11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35.23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40</w:t>
      </w:r>
      <w:r>
        <w:rPr>
          <w:rFonts w:hint="eastAsia" w:eastAsia="仿宋_GB2312" w:cs="Times New Roman"/>
          <w:color w:val="auto"/>
          <w:kern w:val="2"/>
          <w:sz w:val="32"/>
          <w:szCs w:val="32"/>
          <w:highlight w:val="none"/>
          <w:lang w:val="en-US" w:eastAsia="zh-CN" w:bidi="ar-SA"/>
        </w:rPr>
        <w:t>03.41</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color w:val="auto"/>
          <w:sz w:val="32"/>
          <w:szCs w:val="32"/>
          <w:highlight w:val="none"/>
          <w:lang w:val="en-US" w:eastAsia="zh-CN"/>
        </w:rPr>
        <w:t>2022年</w:t>
      </w:r>
      <w:r>
        <w:rPr>
          <w:rFonts w:hint="eastAsia" w:ascii="仿宋_GB2312" w:eastAsia="仿宋_GB2312"/>
          <w:color w:val="auto"/>
          <w:sz w:val="32"/>
          <w:szCs w:val="32"/>
          <w:highlight w:val="none"/>
        </w:rPr>
        <w:t>职业年金</w:t>
      </w:r>
      <w:r>
        <w:rPr>
          <w:rFonts w:hint="eastAsia" w:ascii="仿宋_GB2312" w:eastAsia="仿宋_GB2312"/>
          <w:color w:val="auto"/>
          <w:sz w:val="32"/>
          <w:szCs w:val="32"/>
          <w:highlight w:val="none"/>
          <w:lang w:eastAsia="zh-CN"/>
        </w:rPr>
        <w:t>用错科目，款项</w:t>
      </w:r>
      <w:r>
        <w:rPr>
          <w:rFonts w:hint="eastAsia" w:ascii="仿宋_GB2312" w:eastAsia="仿宋_GB2312"/>
          <w:color w:val="auto"/>
          <w:sz w:val="32"/>
          <w:szCs w:val="32"/>
          <w:highlight w:val="none"/>
        </w:rPr>
        <w:t>从2081005</w:t>
      </w:r>
      <w:r>
        <w:rPr>
          <w:rFonts w:hint="eastAsia" w:ascii="仿宋_GB2312" w:eastAsia="仿宋_GB2312"/>
          <w:color w:val="auto"/>
          <w:sz w:val="32"/>
          <w:szCs w:val="32"/>
          <w:highlight w:val="none"/>
          <w:lang w:eastAsia="zh-CN"/>
        </w:rPr>
        <w:t>社会福利事业单位</w:t>
      </w:r>
      <w:r>
        <w:rPr>
          <w:rFonts w:hint="eastAsia" w:ascii="仿宋_GB2312" w:eastAsia="仿宋_GB2312"/>
          <w:color w:val="auto"/>
          <w:sz w:val="32"/>
          <w:szCs w:val="32"/>
          <w:highlight w:val="none"/>
        </w:rPr>
        <w:t>列支</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9.社会保障和就业支出（类）行政事业单位养老支出（款）机关事业单位基本养老保险缴费支出（项）:支出决算数为126.06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27.59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28.02%，主要原因是：</w:t>
      </w:r>
      <w:r>
        <w:rPr>
          <w:rFonts w:hint="eastAsia" w:eastAsia="仿宋_GB2312" w:cs="Times New Roman"/>
          <w:color w:val="auto"/>
          <w:kern w:val="2"/>
          <w:sz w:val="32"/>
          <w:szCs w:val="32"/>
          <w:highlight w:val="none"/>
          <w:lang w:val="en-US" w:eastAsia="zh-CN" w:bidi="ar-SA"/>
        </w:rPr>
        <w:t>在职人员正常晋升，支出增加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1,596.44</w:t>
      </w:r>
      <w:r>
        <w:rPr>
          <w:rFonts w:hint="eastAsia" w:ascii="仿宋_GB2312" w:eastAsia="仿宋_GB2312"/>
          <w:color w:val="auto"/>
          <w:sz w:val="32"/>
          <w:szCs w:val="32"/>
          <w:highlight w:val="none"/>
        </w:rPr>
        <w:t>万元，其中：</w:t>
      </w:r>
      <w:r>
        <w:rPr>
          <w:rFonts w:hint="eastAsia" w:ascii="仿宋_GB2312" w:eastAsia="仿宋_GB2312"/>
          <w:b/>
          <w:bCs/>
          <w:color w:val="auto"/>
          <w:sz w:val="32"/>
          <w:szCs w:val="32"/>
          <w:highlight w:val="none"/>
        </w:rPr>
        <w:t>人员经费</w:t>
      </w:r>
      <w:r>
        <w:rPr>
          <w:rFonts w:hint="eastAsia" w:ascii="仿宋_GB2312" w:eastAsia="仿宋_GB2312"/>
          <w:b/>
          <w:bCs/>
          <w:color w:val="auto"/>
          <w:sz w:val="32"/>
          <w:szCs w:val="32"/>
          <w:highlight w:val="none"/>
          <w:lang w:eastAsia="zh-CN"/>
        </w:rPr>
        <w:t>1,475.45</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退休费、医疗费补助、奖励金。</w:t>
      </w:r>
    </w:p>
    <w:p>
      <w:pPr>
        <w:keepNext w:val="0"/>
        <w:keepLines w:val="0"/>
        <w:pageBreakBefore w:val="0"/>
        <w:widowControl w:val="0"/>
        <w:kinsoku/>
        <w:wordWrap/>
        <w:overflowPunct/>
        <w:topLinePunct w:val="0"/>
        <w:bidi w:val="0"/>
        <w:adjustRightInd/>
        <w:snapToGrid/>
        <w:spacing w:line="240" w:lineRule="auto"/>
        <w:ind w:firstLine="642"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b/>
          <w:bCs/>
          <w:color w:val="auto"/>
          <w:sz w:val="32"/>
          <w:szCs w:val="32"/>
          <w:highlight w:val="none"/>
        </w:rPr>
        <w:t>公用经费</w:t>
      </w:r>
      <w:r>
        <w:rPr>
          <w:rFonts w:hint="eastAsia" w:ascii="仿宋_GB2312" w:eastAsia="仿宋_GB2312"/>
          <w:b/>
          <w:bCs/>
          <w:color w:val="auto"/>
          <w:sz w:val="32"/>
          <w:szCs w:val="32"/>
          <w:highlight w:val="none"/>
          <w:lang w:eastAsia="zh-CN"/>
        </w:rPr>
        <w:t>120.99</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办公费、水费、电费、邮电费、取暖费、差旅费、维修（护）费、专用材料费、工会经费、福利费、公务用车运行维护费、其他交通费用、税金及附加费用、办公设备购置</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2023年度</w:t>
      </w:r>
      <w:r>
        <w:rPr>
          <w:rFonts w:hint="eastAsia" w:ascii="仿宋_GB2312" w:eastAsia="仿宋_GB2312"/>
          <w:b/>
          <w:bCs/>
          <w:color w:val="auto"/>
          <w:sz w:val="32"/>
          <w:szCs w:val="32"/>
          <w:highlight w:val="none"/>
          <w:lang w:val="en-US" w:eastAsia="zh-CN"/>
        </w:rPr>
        <w:t>财政拨款</w:t>
      </w:r>
      <w:r>
        <w:rPr>
          <w:rFonts w:hint="eastAsia" w:ascii="仿宋_GB2312" w:eastAsia="仿宋_GB2312"/>
          <w:b/>
          <w:bCs/>
          <w:color w:val="auto"/>
          <w:sz w:val="32"/>
          <w:szCs w:val="32"/>
          <w:highlight w:val="none"/>
          <w:lang w:val="zh-CN" w:eastAsia="zh-CN"/>
        </w:rPr>
        <w:t>“三公”经费支出5.22万元，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增加5.22万元，增长</w:t>
      </w:r>
      <w:r>
        <w:rPr>
          <w:rFonts w:hint="eastAsia" w:ascii="仿宋_GB2312" w:eastAsia="仿宋_GB2312"/>
          <w:color w:val="auto"/>
          <w:sz w:val="32"/>
          <w:szCs w:val="32"/>
          <w:highlight w:val="none"/>
          <w:lang w:val="en-US" w:eastAsia="zh-CN"/>
        </w:rPr>
        <w:t>10</w:t>
      </w:r>
      <w:r>
        <w:rPr>
          <w:rFonts w:hint="eastAsia" w:ascii="仿宋_GB2312" w:eastAsia="仿宋_GB2312"/>
          <w:color w:val="auto"/>
          <w:sz w:val="32"/>
          <w:szCs w:val="32"/>
          <w:highlight w:val="none"/>
          <w:lang w:val="zh-CN" w:eastAsia="zh-CN"/>
        </w:rPr>
        <w:t>0.00%，主要原因是：</w:t>
      </w:r>
      <w:r>
        <w:rPr>
          <w:rFonts w:hint="eastAsia" w:ascii="仿宋_GB2312" w:eastAsia="仿宋_GB2312"/>
          <w:strike w:val="0"/>
          <w:dstrike w:val="0"/>
          <w:color w:val="auto"/>
          <w:sz w:val="32"/>
          <w:szCs w:val="32"/>
          <w:highlight w:val="none"/>
          <w:lang w:val="en-US" w:eastAsia="zh-CN"/>
        </w:rPr>
        <w:t>2023年根据车辆编制数，安排“三公”经费预算</w:t>
      </w:r>
      <w:r>
        <w:rPr>
          <w:rFonts w:hint="eastAsia" w:ascii="仿宋_GB2312" w:eastAsia="仿宋_GB2312"/>
          <w:color w:val="auto"/>
          <w:sz w:val="32"/>
          <w:szCs w:val="32"/>
          <w:highlight w:val="none"/>
          <w:lang w:val="zh-CN" w:eastAsia="zh-CN"/>
        </w:rPr>
        <w:t>。其中：因公出国</w:t>
      </w:r>
      <w:bookmarkStart w:id="23" w:name="OLE_LINK4"/>
      <w:r>
        <w:rPr>
          <w:rFonts w:hint="eastAsia" w:ascii="仿宋_GB2312" w:eastAsia="仿宋_GB2312"/>
          <w:color w:val="auto"/>
          <w:sz w:val="32"/>
          <w:szCs w:val="32"/>
          <w:highlight w:val="none"/>
          <w:lang w:val="zh-CN" w:eastAsia="zh-CN"/>
        </w:rPr>
        <w:t>（境）</w:t>
      </w:r>
      <w:bookmarkEnd w:id="23"/>
      <w:r>
        <w:rPr>
          <w:rFonts w:hint="eastAsia" w:ascii="仿宋_GB2312" w:eastAsia="仿宋_GB2312"/>
          <w:color w:val="auto"/>
          <w:sz w:val="32"/>
          <w:szCs w:val="32"/>
          <w:highlight w:val="none"/>
          <w:lang w:val="zh-CN" w:eastAsia="zh-CN"/>
        </w:rPr>
        <w:t>费支出0.00万元，占0.00%，比上年增加0.00万元，增长0.00%，主要原因是：</w:t>
      </w:r>
      <w:bookmarkStart w:id="24" w:name="OLE_LINK5"/>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因公</w:t>
      </w:r>
      <w:r>
        <w:rPr>
          <w:rFonts w:hint="eastAsia" w:ascii="仿宋_GB2312" w:eastAsia="仿宋_GB2312"/>
          <w:color w:val="auto"/>
          <w:sz w:val="32"/>
          <w:szCs w:val="32"/>
          <w:highlight w:val="none"/>
          <w:lang w:val="en-US" w:eastAsia="zh-CN"/>
        </w:rPr>
        <w:t>出国</w:t>
      </w:r>
      <w:r>
        <w:rPr>
          <w:rFonts w:hint="eastAsia" w:ascii="仿宋_GB2312" w:eastAsia="仿宋_GB2312"/>
          <w:color w:val="auto"/>
          <w:sz w:val="32"/>
          <w:szCs w:val="32"/>
          <w:highlight w:val="none"/>
          <w:lang w:val="zh-CN" w:eastAsia="zh-CN"/>
        </w:rPr>
        <w:t>（境）</w:t>
      </w:r>
      <w:r>
        <w:rPr>
          <w:rFonts w:hint="eastAsia" w:ascii="仿宋_GB2312" w:eastAsia="仿宋_GB2312"/>
          <w:color w:val="auto"/>
          <w:sz w:val="32"/>
          <w:szCs w:val="32"/>
          <w:highlight w:val="none"/>
          <w:lang w:val="en-US" w:eastAsia="zh-CN"/>
        </w:rPr>
        <w:t>费支出</w:t>
      </w:r>
      <w:bookmarkEnd w:id="24"/>
      <w:r>
        <w:rPr>
          <w:rFonts w:hint="eastAsia" w:ascii="仿宋_GB2312" w:eastAsia="仿宋_GB2312"/>
          <w:color w:val="auto"/>
          <w:sz w:val="32"/>
          <w:szCs w:val="32"/>
          <w:highlight w:val="none"/>
          <w:lang w:val="zh-CN" w:eastAsia="zh-CN"/>
        </w:rPr>
        <w:t>；公务用车购置及运行维护费支出5.22万元，占100.00%，比上年增加5.22万元，增长</w:t>
      </w:r>
      <w:r>
        <w:rPr>
          <w:rFonts w:hint="eastAsia" w:ascii="仿宋_GB2312" w:eastAsia="仿宋_GB2312"/>
          <w:color w:val="auto"/>
          <w:sz w:val="32"/>
          <w:szCs w:val="32"/>
          <w:highlight w:val="none"/>
          <w:lang w:val="en-US" w:eastAsia="zh-CN"/>
        </w:rPr>
        <w:t>10</w:t>
      </w:r>
      <w:r>
        <w:rPr>
          <w:rFonts w:hint="eastAsia" w:ascii="仿宋_GB2312" w:eastAsia="仿宋_GB2312"/>
          <w:color w:val="auto"/>
          <w:sz w:val="32"/>
          <w:szCs w:val="32"/>
          <w:highlight w:val="none"/>
          <w:lang w:val="zh-CN" w:eastAsia="zh-CN"/>
        </w:rPr>
        <w:t>0.00%，主要原因是：</w:t>
      </w:r>
      <w:r>
        <w:rPr>
          <w:rFonts w:hint="eastAsia" w:ascii="仿宋_GB2312" w:eastAsia="仿宋_GB2312"/>
          <w:strike w:val="0"/>
          <w:dstrike w:val="0"/>
          <w:color w:val="auto"/>
          <w:sz w:val="32"/>
          <w:szCs w:val="32"/>
          <w:highlight w:val="none"/>
          <w:lang w:val="en-US" w:eastAsia="zh-CN"/>
        </w:rPr>
        <w:t>2023年根据车辆编制数，安排“三公”经费预算</w:t>
      </w:r>
      <w:r>
        <w:rPr>
          <w:rFonts w:hint="eastAsia" w:ascii="仿宋_GB2312" w:eastAsia="仿宋_GB2312"/>
          <w:strike w:val="0"/>
          <w:dstrike w:val="0"/>
          <w:color w:val="auto"/>
          <w:sz w:val="32"/>
          <w:szCs w:val="32"/>
          <w:highlight w:val="none"/>
          <w:lang w:val="zh-CN" w:eastAsia="zh-CN"/>
        </w:rPr>
        <w:t>；</w:t>
      </w:r>
      <w:bookmarkStart w:id="25" w:name="OLE_LINK6"/>
      <w:r>
        <w:rPr>
          <w:rFonts w:hint="eastAsia" w:ascii="仿宋_GB2312" w:eastAsia="仿宋_GB2312"/>
          <w:color w:val="auto"/>
          <w:sz w:val="32"/>
          <w:szCs w:val="32"/>
          <w:highlight w:val="none"/>
          <w:lang w:val="zh-CN" w:eastAsia="zh-CN"/>
        </w:rPr>
        <w:t>公务接待费</w:t>
      </w:r>
      <w:bookmarkEnd w:id="25"/>
      <w:r>
        <w:rPr>
          <w:rFonts w:hint="eastAsia" w:ascii="仿宋_GB2312" w:eastAsia="仿宋_GB2312"/>
          <w:color w:val="auto"/>
          <w:sz w:val="32"/>
          <w:szCs w:val="32"/>
          <w:highlight w:val="none"/>
          <w:lang w:val="zh-CN" w:eastAsia="zh-CN"/>
        </w:rPr>
        <w:t>支出0.00万元，占0.00%，比上年增加0.00万元，增长0.00%，主要原因是：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公务接待费支出。</w:t>
      </w:r>
    </w:p>
    <w:p>
      <w:pPr>
        <w:keepNext w:val="0"/>
        <w:keepLines w:val="0"/>
        <w:pageBreakBefore w:val="0"/>
        <w:widowControl w:val="0"/>
        <w:kinsoku/>
        <w:wordWrap/>
        <w:overflowPunct/>
        <w:topLinePunct w:val="0"/>
        <w:bidi w:val="0"/>
        <w:adjustRightInd/>
        <w:snapToGrid/>
        <w:spacing w:line="240" w:lineRule="auto"/>
        <w:ind w:firstLine="642" w:firstLineChars="200"/>
        <w:jc w:val="left"/>
        <w:textAlignment w:val="auto"/>
        <w:rPr>
          <w:rFonts w:hint="eastAsia" w:ascii="仿宋_GB2312" w:eastAsia="仿宋_GB2312"/>
          <w:b/>
          <w:bCs/>
          <w:color w:val="auto"/>
          <w:sz w:val="32"/>
          <w:szCs w:val="32"/>
          <w:highlight w:val="none"/>
          <w:lang w:val="zh-CN" w:eastAsia="zh-CN"/>
        </w:rPr>
      </w:pPr>
      <w:r>
        <w:rPr>
          <w:rFonts w:hint="eastAsia" w:ascii="仿宋_GB2312" w:eastAsia="仿宋_GB2312"/>
          <w:b/>
          <w:bCs/>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5.22万元，其中：公务用车购置费0.00万元，公务用车运行维护费5.22万元。公务用车运行维护费开支内容包括公务用车燃料费、维修费、过桥过路费、保险费等支出。公务用车购置数0辆，公务用车保有量4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4辆，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原因是：公务用车保有量与固定资产车辆一致，</w:t>
      </w:r>
      <w:r>
        <w:rPr>
          <w:rFonts w:hint="eastAsia" w:ascii="仿宋_GB2312" w:eastAsia="仿宋_GB2312"/>
          <w:color w:val="auto"/>
          <w:sz w:val="32"/>
          <w:szCs w:val="32"/>
          <w:highlight w:val="none"/>
          <w:lang w:val="en-US" w:eastAsia="zh-CN"/>
        </w:rPr>
        <w:t>不存在差异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公务接待费支出。单位全年安排的国内公务接待0批次，0人次。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与</w:t>
      </w:r>
      <w:r>
        <w:rPr>
          <w:rFonts w:hint="eastAsia" w:ascii="仿宋_GB2312" w:eastAsia="仿宋_GB2312"/>
          <w:b/>
          <w:bCs/>
          <w:color w:val="auto"/>
          <w:sz w:val="32"/>
          <w:szCs w:val="32"/>
          <w:highlight w:val="none"/>
          <w:lang w:val="en-US" w:eastAsia="zh-CN"/>
        </w:rPr>
        <w:t>全年</w:t>
      </w:r>
      <w:r>
        <w:rPr>
          <w:rFonts w:hint="eastAsia" w:ascii="仿宋_GB2312" w:eastAsia="仿宋_GB2312"/>
          <w:b/>
          <w:bCs/>
          <w:color w:val="auto"/>
          <w:sz w:val="32"/>
          <w:szCs w:val="32"/>
          <w:highlight w:val="none"/>
          <w:lang w:val="zh-CN" w:eastAsia="zh-CN"/>
        </w:rPr>
        <w:t>预算相比</w:t>
      </w:r>
      <w:r>
        <w:rPr>
          <w:rFonts w:hint="eastAsia" w:ascii="仿宋_GB2312" w:eastAsia="仿宋_GB2312"/>
          <w:b/>
          <w:bCs/>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预算数5.22万元，决算数5.22万元，预决算差异率0.00%，主要原因是：</w:t>
      </w:r>
      <w:r>
        <w:rPr>
          <w:rFonts w:hint="eastAsia" w:ascii="仿宋_GB2312" w:eastAsia="仿宋_GB2312"/>
          <w:color w:val="auto"/>
          <w:sz w:val="32"/>
          <w:szCs w:val="32"/>
          <w:highlight w:val="none"/>
          <w:lang w:val="en-US" w:eastAsia="zh-CN"/>
        </w:rPr>
        <w:t>严格按照预算标准执行</w:t>
      </w:r>
      <w:r>
        <w:rPr>
          <w:rFonts w:hint="eastAsia" w:ascii="仿宋_GB2312" w:eastAsia="仿宋_GB2312"/>
          <w:color w:val="auto"/>
          <w:sz w:val="32"/>
          <w:szCs w:val="32"/>
          <w:highlight w:val="none"/>
          <w:lang w:val="zh-CN" w:eastAsia="zh-CN"/>
        </w:rPr>
        <w:t>。其中：</w:t>
      </w:r>
      <w:bookmarkStart w:id="26" w:name="OLE_LINK7"/>
      <w:r>
        <w:rPr>
          <w:rFonts w:hint="eastAsia" w:ascii="仿宋_GB2312" w:eastAsia="仿宋_GB2312"/>
          <w:color w:val="auto"/>
          <w:sz w:val="32"/>
          <w:szCs w:val="32"/>
          <w:highlight w:val="none"/>
          <w:lang w:val="zh-CN" w:eastAsia="zh-CN"/>
        </w:rPr>
        <w:t>因公出国（境）费</w:t>
      </w:r>
      <w:bookmarkEnd w:id="26"/>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2023年</w:t>
      </w:r>
      <w:r>
        <w:rPr>
          <w:rFonts w:hint="eastAsia" w:ascii="仿宋_GB2312" w:eastAsia="仿宋_GB2312"/>
          <w:color w:val="auto"/>
          <w:sz w:val="32"/>
          <w:szCs w:val="32"/>
          <w:highlight w:val="none"/>
        </w:rPr>
        <w:t>未安排</w:t>
      </w:r>
      <w:r>
        <w:rPr>
          <w:rFonts w:hint="eastAsia" w:ascii="仿宋_GB2312" w:eastAsia="仿宋_GB2312"/>
          <w:color w:val="auto"/>
          <w:sz w:val="32"/>
          <w:szCs w:val="32"/>
          <w:highlight w:val="none"/>
          <w:lang w:val="zh-CN" w:eastAsia="zh-CN"/>
        </w:rPr>
        <w:t>因公出国（境）费</w:t>
      </w:r>
      <w:r>
        <w:rPr>
          <w:rFonts w:hint="eastAsia" w:ascii="仿宋_GB2312" w:eastAsia="仿宋_GB2312"/>
          <w:color w:val="auto"/>
          <w:sz w:val="32"/>
          <w:szCs w:val="32"/>
          <w:highlight w:val="none"/>
          <w:lang w:eastAsia="zh-CN"/>
        </w:rPr>
        <w:t>，与上年一致</w:t>
      </w:r>
      <w:r>
        <w:rPr>
          <w:rFonts w:hint="eastAsia" w:ascii="仿宋_GB2312" w:eastAsia="仿宋_GB2312"/>
          <w:color w:val="auto"/>
          <w:sz w:val="32"/>
          <w:szCs w:val="32"/>
          <w:highlight w:val="none"/>
          <w:lang w:val="zh-CN" w:eastAsia="zh-CN"/>
        </w:rPr>
        <w:t>；</w:t>
      </w:r>
      <w:bookmarkStart w:id="27" w:name="OLE_LINK8"/>
      <w:r>
        <w:rPr>
          <w:rFonts w:hint="eastAsia" w:ascii="仿宋_GB2312" w:eastAsia="仿宋_GB2312"/>
          <w:color w:val="auto"/>
          <w:sz w:val="32"/>
          <w:szCs w:val="32"/>
          <w:highlight w:val="none"/>
          <w:lang w:val="zh-CN" w:eastAsia="zh-CN"/>
        </w:rPr>
        <w:t>公务用车购置费</w:t>
      </w:r>
      <w:bookmarkEnd w:id="27"/>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rPr>
        <w:t>未安排</w:t>
      </w:r>
      <w:r>
        <w:rPr>
          <w:rFonts w:hint="eastAsia" w:ascii="仿宋_GB2312" w:eastAsia="仿宋_GB2312"/>
          <w:color w:val="auto"/>
          <w:sz w:val="32"/>
          <w:szCs w:val="32"/>
          <w:highlight w:val="none"/>
          <w:lang w:val="zh-CN" w:eastAsia="zh-CN"/>
        </w:rPr>
        <w:t>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预算数5.22万元，决算数5.22万元，预决算差异率0.00%，主要原因是：</w:t>
      </w:r>
      <w:bookmarkStart w:id="28" w:name="OLE_LINK9"/>
      <w:r>
        <w:rPr>
          <w:rFonts w:hint="eastAsia" w:ascii="仿宋_GB2312" w:eastAsia="仿宋_GB2312"/>
          <w:color w:val="auto"/>
          <w:sz w:val="32"/>
          <w:szCs w:val="32"/>
          <w:highlight w:val="none"/>
          <w:lang w:val="en-US" w:eastAsia="zh-CN"/>
        </w:rPr>
        <w:t>严格按照预算标准执行</w:t>
      </w:r>
      <w:bookmarkEnd w:id="28"/>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严格按照预算标准执行</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9" w:name="_Toc5810"/>
      <w:bookmarkStart w:id="30"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29"/>
      <w:bookmarkEnd w:id="30"/>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b/>
          <w:bCs/>
          <w:color w:val="auto"/>
          <w:sz w:val="32"/>
          <w:szCs w:val="32"/>
          <w:highlight w:val="none"/>
          <w:lang w:val="zh-CN" w:eastAsia="zh-CN"/>
        </w:rPr>
        <w:t>2023年度</w:t>
      </w:r>
      <w:r>
        <w:rPr>
          <w:rFonts w:hint="eastAsia" w:ascii="Times New Roman" w:hAnsi="Times New Roman" w:eastAsia="仿宋_GB2312" w:cs="Times New Roman"/>
          <w:b/>
          <w:bCs/>
          <w:color w:val="auto"/>
          <w:sz w:val="32"/>
          <w:szCs w:val="32"/>
          <w:highlight w:val="none"/>
          <w:lang w:val="zh-CN"/>
        </w:rPr>
        <w:t>政府性基金预算</w:t>
      </w:r>
      <w:r>
        <w:rPr>
          <w:rFonts w:hint="eastAsia" w:ascii="Times New Roman" w:hAnsi="Times New Roman" w:eastAsia="仿宋_GB2312" w:cs="Times New Roman"/>
          <w:b/>
          <w:bCs/>
          <w:color w:val="auto"/>
          <w:sz w:val="32"/>
          <w:szCs w:val="32"/>
          <w:highlight w:val="none"/>
          <w:lang w:val="en-US" w:eastAsia="zh-CN"/>
        </w:rPr>
        <w:t>财政拨款</w:t>
      </w:r>
      <w:r>
        <w:rPr>
          <w:rFonts w:hint="eastAsia" w:ascii="Times New Roman" w:hAnsi="Times New Roman" w:eastAsia="仿宋_GB2312" w:cs="Times New Roman"/>
          <w:b/>
          <w:bCs/>
          <w:color w:val="auto"/>
          <w:sz w:val="32"/>
          <w:szCs w:val="32"/>
          <w:highlight w:val="none"/>
          <w:lang w:val="zh-CN"/>
        </w:rPr>
        <w:t>收入</w:t>
      </w:r>
      <w:r>
        <w:rPr>
          <w:rFonts w:hint="eastAsia" w:ascii="Times New Roman" w:hAnsi="Times New Roman" w:eastAsia="仿宋_GB2312" w:cs="Times New Roman"/>
          <w:b/>
          <w:bCs/>
          <w:color w:val="auto"/>
          <w:sz w:val="32"/>
          <w:szCs w:val="32"/>
          <w:highlight w:val="none"/>
          <w:lang w:val="en-US" w:eastAsia="zh-CN"/>
        </w:rPr>
        <w:t>总计2,305.04</w:t>
      </w:r>
      <w:r>
        <w:rPr>
          <w:rFonts w:hint="eastAsia" w:ascii="Times New Roman" w:hAnsi="Times New Roman" w:eastAsia="仿宋_GB2312" w:cs="Times New Roman"/>
          <w:b/>
          <w:bCs/>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en-US" w:eastAsia="zh-CN"/>
        </w:rPr>
        <w:t>其中：年初结转和结余245.84</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本年收入2,059.20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rPr>
        <w:t>政府性基金预算财政拨款支出</w:t>
      </w:r>
      <w:r>
        <w:rPr>
          <w:rFonts w:hint="eastAsia" w:ascii="Times New Roman" w:hAnsi="Times New Roman" w:eastAsia="仿宋_GB2312" w:cs="Times New Roman"/>
          <w:color w:val="auto"/>
          <w:sz w:val="32"/>
          <w:szCs w:val="32"/>
          <w:highlight w:val="none"/>
          <w:lang w:val="en-US" w:eastAsia="zh-CN"/>
        </w:rPr>
        <w:t>总计2,305.04</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en-US" w:eastAsia="zh-CN"/>
        </w:rPr>
        <w:t>其中：年末结转和结余0.00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本年支出2,305.04</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p>
    <w:p>
      <w:pPr>
        <w:ind w:firstLine="642" w:firstLineChars="200"/>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b/>
          <w:bCs/>
          <w:color w:val="auto"/>
          <w:sz w:val="32"/>
          <w:szCs w:val="32"/>
          <w:highlight w:val="none"/>
          <w:lang w:val="zh-CN"/>
        </w:rPr>
        <w:t>政府性基金预算财政拨款</w:t>
      </w:r>
      <w:r>
        <w:rPr>
          <w:rFonts w:hint="eastAsia" w:ascii="Times New Roman" w:hAnsi="Times New Roman" w:eastAsia="仿宋_GB2312" w:cs="Times New Roman"/>
          <w:b/>
          <w:bCs/>
          <w:color w:val="auto"/>
          <w:sz w:val="32"/>
          <w:szCs w:val="32"/>
          <w:highlight w:val="none"/>
          <w:lang w:val="en-US" w:eastAsia="zh-CN"/>
        </w:rPr>
        <w:t>收入支出</w:t>
      </w:r>
      <w:r>
        <w:rPr>
          <w:rFonts w:hint="eastAsia" w:ascii="Times New Roman" w:hAnsi="Times New Roman" w:eastAsia="仿宋_GB2312" w:cs="Times New Roman"/>
          <w:b/>
          <w:bCs/>
          <w:color w:val="auto"/>
          <w:sz w:val="32"/>
          <w:szCs w:val="32"/>
          <w:highlight w:val="none"/>
          <w:lang w:val="zh-CN"/>
        </w:rPr>
        <w:t>与上年相比，</w:t>
      </w:r>
      <w:r>
        <w:rPr>
          <w:rFonts w:hint="eastAsia" w:ascii="Times New Roman" w:hAnsi="Times New Roman" w:eastAsia="仿宋_GB2312" w:cs="Times New Roman"/>
          <w:color w:val="auto"/>
          <w:sz w:val="32"/>
          <w:szCs w:val="32"/>
          <w:highlight w:val="none"/>
          <w:lang w:val="zh-CN"/>
        </w:rPr>
        <w:t>增加1,964.58万元，增长577.03%，</w:t>
      </w:r>
      <w:r>
        <w:rPr>
          <w:rFonts w:hint="eastAsia" w:ascii="Times New Roman" w:hAnsi="Times New Roman" w:eastAsia="仿宋_GB2312" w:cs="Times New Roman"/>
          <w:color w:val="auto"/>
          <w:sz w:val="32"/>
          <w:szCs w:val="32"/>
          <w:highlight w:val="none"/>
          <w:lang w:val="zh-CN" w:eastAsia="zh-CN"/>
        </w:rPr>
        <w:t>主要原因是</w:t>
      </w:r>
      <w:r>
        <w:rPr>
          <w:rFonts w:hint="eastAsia" w:eastAsia="仿宋_GB2312" w:cs="Times New Roman"/>
          <w:color w:val="auto"/>
          <w:sz w:val="32"/>
          <w:szCs w:val="32"/>
          <w:highlight w:val="none"/>
          <w:lang w:val="en-US" w:eastAsia="zh-CN"/>
        </w:rPr>
        <w:t>2023年</w:t>
      </w:r>
      <w:r>
        <w:rPr>
          <w:rFonts w:hint="eastAsia" w:eastAsia="仿宋_GB2312" w:cs="Times New Roman"/>
          <w:color w:val="auto"/>
          <w:sz w:val="32"/>
          <w:szCs w:val="32"/>
          <w:highlight w:val="none"/>
          <w:lang w:val="zh-CN"/>
        </w:rPr>
        <w:t>用于社会福利的彩票公益金增加</w:t>
      </w:r>
      <w:r>
        <w:rPr>
          <w:rFonts w:hint="eastAsia" w:ascii="Times New Roman" w:hAnsi="Times New Roman" w:eastAsia="仿宋_GB2312" w:cs="Times New Roman"/>
          <w:color w:val="auto"/>
          <w:sz w:val="32"/>
          <w:szCs w:val="32"/>
          <w:highlight w:val="none"/>
          <w:lang w:val="zh-CN"/>
        </w:rPr>
        <w:t>。与</w:t>
      </w:r>
      <w:r>
        <w:rPr>
          <w:rFonts w:hint="eastAsia" w:ascii="Times New Roman" w:hAnsi="Times New Roman" w:eastAsia="仿宋_GB2312" w:cs="Times New Roman"/>
          <w:color w:val="auto"/>
          <w:sz w:val="32"/>
          <w:szCs w:val="32"/>
          <w:highlight w:val="none"/>
          <w:lang w:val="zh-CN" w:eastAsia="zh-CN"/>
        </w:rPr>
        <w:t>年初预算</w:t>
      </w:r>
      <w:r>
        <w:rPr>
          <w:rFonts w:hint="eastAsia" w:ascii="Times New Roman" w:hAnsi="Times New Roman" w:eastAsia="仿宋_GB2312" w:cs="Times New Roman"/>
          <w:color w:val="auto"/>
          <w:sz w:val="32"/>
          <w:szCs w:val="32"/>
          <w:highlight w:val="none"/>
          <w:lang w:val="zh-CN"/>
        </w:rPr>
        <w:t>相比</w:t>
      </w:r>
      <w:r>
        <w:rPr>
          <w:rFonts w:hint="eastAsia"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eastAsia="zh-CN"/>
        </w:rPr>
        <w:t>年初预算数</w:t>
      </w:r>
      <w:r>
        <w:rPr>
          <w:rFonts w:hint="eastAsia" w:ascii="Times New Roman" w:hAnsi="Times New Roman" w:eastAsia="仿宋_GB2312" w:cs="Times New Roman"/>
          <w:color w:val="auto"/>
          <w:sz w:val="32"/>
          <w:szCs w:val="32"/>
          <w:highlight w:val="none"/>
          <w:lang w:val="en-US" w:eastAsia="zh-CN"/>
        </w:rPr>
        <w:t>2,059.20</w:t>
      </w:r>
      <w:r>
        <w:rPr>
          <w:rFonts w:hint="eastAsia" w:ascii="Times New Roman" w:hAnsi="Times New Roman" w:eastAsia="仿宋_GB2312" w:cs="Times New Roman"/>
          <w:color w:val="auto"/>
          <w:sz w:val="32"/>
          <w:szCs w:val="32"/>
          <w:highlight w:val="none"/>
          <w:lang w:val="zh-CN"/>
        </w:rPr>
        <w:t>万元，决算数</w:t>
      </w:r>
      <w:r>
        <w:rPr>
          <w:rFonts w:hint="eastAsia" w:ascii="Times New Roman" w:hAnsi="Times New Roman" w:eastAsia="仿宋_GB2312" w:cs="Times New Roman"/>
          <w:color w:val="auto"/>
          <w:sz w:val="30"/>
          <w:szCs w:val="30"/>
          <w:highlight w:val="none"/>
          <w:lang w:val="en-US" w:eastAsia="zh-CN"/>
        </w:rPr>
        <w:t>2,305.04</w:t>
      </w:r>
      <w:r>
        <w:rPr>
          <w:rFonts w:hint="eastAsia" w:ascii="Times New Roman" w:hAnsi="Times New Roman" w:eastAsia="仿宋_GB2312" w:cs="Times New Roman"/>
          <w:color w:val="auto"/>
          <w:sz w:val="32"/>
          <w:szCs w:val="32"/>
          <w:highlight w:val="none"/>
          <w:lang w:val="zh-CN"/>
        </w:rPr>
        <w:t>万元，预决算差异率</w:t>
      </w:r>
      <w:r>
        <w:rPr>
          <w:rFonts w:hint="eastAsia" w:ascii="Times New Roman" w:hAnsi="Times New Roman" w:eastAsia="仿宋_GB2312" w:cs="Times New Roman"/>
          <w:color w:val="auto"/>
          <w:sz w:val="32"/>
          <w:szCs w:val="32"/>
          <w:highlight w:val="none"/>
          <w:lang w:val="zh-CN" w:eastAsia="zh-CN"/>
        </w:rPr>
        <w:t>11.94%，主要原因是：</w:t>
      </w:r>
      <w:r>
        <w:rPr>
          <w:rFonts w:hint="eastAsia" w:eastAsia="仿宋_GB2312" w:cs="Times New Roman"/>
          <w:color w:val="auto"/>
          <w:sz w:val="32"/>
          <w:szCs w:val="32"/>
          <w:highlight w:val="none"/>
          <w:lang w:val="en-US" w:eastAsia="zh-CN"/>
        </w:rPr>
        <w:t>2023</w:t>
      </w:r>
      <w:r>
        <w:rPr>
          <w:rFonts w:hint="eastAsia" w:eastAsia="仿宋_GB2312" w:cs="Times New Roman"/>
          <w:color w:val="auto"/>
          <w:sz w:val="32"/>
          <w:szCs w:val="32"/>
          <w:highlight w:val="none"/>
          <w:lang w:val="zh-CN" w:eastAsia="zh-CN"/>
        </w:rPr>
        <w:t>年</w:t>
      </w:r>
      <w:r>
        <w:rPr>
          <w:rFonts w:hint="eastAsia" w:eastAsia="仿宋_GB2312" w:cs="Times New Roman"/>
          <w:strike w:val="0"/>
          <w:dstrike w:val="0"/>
          <w:color w:val="auto"/>
          <w:sz w:val="32"/>
          <w:szCs w:val="32"/>
          <w:highlight w:val="none"/>
          <w:lang w:val="en-US" w:eastAsia="zh-CN"/>
        </w:rPr>
        <w:t>安排上年用于社会福利的彩票公益金支出完毕</w:t>
      </w:r>
      <w:r>
        <w:rPr>
          <w:rFonts w:hint="eastAsia" w:ascii="Times New Roman" w:hAnsi="Times New Roman" w:eastAsia="仿宋_GB2312" w:cs="Times New Roman"/>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rPr>
        <w:t>政府性基金预算财政拨款支出</w:t>
      </w:r>
      <w:r>
        <w:rPr>
          <w:rFonts w:hint="eastAsia" w:ascii="Times New Roman" w:hAnsi="Times New Roman" w:eastAsia="仿宋_GB2312" w:cs="Times New Roman"/>
          <w:color w:val="auto"/>
          <w:sz w:val="32"/>
          <w:szCs w:val="32"/>
          <w:highlight w:val="none"/>
          <w:lang w:val="zh-CN" w:eastAsia="zh-CN"/>
        </w:rPr>
        <w:t>2,305.04</w:t>
      </w:r>
      <w:r>
        <w:rPr>
          <w:rFonts w:hint="eastAsia" w:ascii="Times New Roman" w:hAnsi="Times New Roman" w:eastAsia="仿宋_GB2312" w:cs="Times New Roman"/>
          <w:color w:val="auto"/>
          <w:sz w:val="32"/>
          <w:szCs w:val="32"/>
          <w:highlight w:val="none"/>
          <w:lang w:val="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strike w:val="0"/>
          <w:color w:val="auto"/>
          <w:sz w:val="32"/>
          <w:szCs w:val="32"/>
          <w:highlight w:val="none"/>
          <w:lang w:val="zh-CN"/>
        </w:rPr>
      </w:pPr>
      <w:r>
        <w:rPr>
          <w:rFonts w:hint="eastAsia" w:ascii="Times New Roman" w:hAnsi="Times New Roman" w:eastAsia="仿宋_GB2312" w:cs="Times New Roman"/>
          <w:color w:val="auto"/>
          <w:sz w:val="32"/>
          <w:szCs w:val="32"/>
          <w:highlight w:val="none"/>
          <w:lang w:val="zh-CN"/>
        </w:rPr>
        <w:t>1.其他支出（类）彩票公益金安排的支出（款）用于社会福利的彩票公益金支出（项）:支出决算数为2,305.04</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，比上年决算</w:t>
      </w:r>
      <w:r>
        <w:rPr>
          <w:rFonts w:hint="eastAsia" w:ascii="Times New Roman" w:hAnsi="Times New Roman" w:eastAsia="仿宋_GB2312" w:cs="Times New Roman"/>
          <w:color w:val="auto"/>
          <w:sz w:val="32"/>
          <w:szCs w:val="32"/>
          <w:highlight w:val="none"/>
          <w:lang w:val="en-US" w:eastAsia="zh-CN"/>
        </w:rPr>
        <w:t>增加</w:t>
      </w:r>
      <w:r>
        <w:rPr>
          <w:rFonts w:hint="eastAsia" w:ascii="Times New Roman" w:hAnsi="Times New Roman" w:eastAsia="仿宋_GB2312" w:cs="Times New Roman"/>
          <w:color w:val="auto"/>
          <w:sz w:val="32"/>
          <w:szCs w:val="32"/>
          <w:highlight w:val="none"/>
          <w:lang w:val="zh-CN"/>
        </w:rPr>
        <w:t>2,210.43</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en-US" w:eastAsia="zh-CN"/>
        </w:rPr>
        <w:t>增长</w:t>
      </w:r>
      <w:r>
        <w:rPr>
          <w:rFonts w:hint="eastAsia" w:ascii="Times New Roman" w:hAnsi="Times New Roman" w:eastAsia="仿宋_GB2312" w:cs="Times New Roman"/>
          <w:color w:val="auto"/>
          <w:sz w:val="32"/>
          <w:szCs w:val="32"/>
          <w:highlight w:val="none"/>
          <w:lang w:val="zh-CN"/>
        </w:rPr>
        <w:t>2336.</w:t>
      </w:r>
      <w:r>
        <w:rPr>
          <w:rFonts w:hint="eastAsia" w:eastAsia="仿宋_GB2312" w:cs="Times New Roman"/>
          <w:color w:val="auto"/>
          <w:sz w:val="32"/>
          <w:szCs w:val="32"/>
          <w:highlight w:val="none"/>
          <w:lang w:val="en-US" w:eastAsia="zh-CN"/>
        </w:rPr>
        <w:t>36</w:t>
      </w:r>
      <w:r>
        <w:rPr>
          <w:rFonts w:hint="eastAsia" w:ascii="Times New Roman" w:hAnsi="Times New Roman" w:eastAsia="仿宋_GB2312" w:cs="Times New Roman"/>
          <w:color w:val="auto"/>
          <w:sz w:val="32"/>
          <w:szCs w:val="32"/>
          <w:highlight w:val="none"/>
          <w:lang w:val="zh-CN"/>
        </w:rPr>
        <w:t>%，主要原因是：</w:t>
      </w:r>
      <w:r>
        <w:rPr>
          <w:rFonts w:hint="eastAsia" w:eastAsia="仿宋_GB2312" w:cs="Times New Roman"/>
          <w:strike w:val="0"/>
          <w:dstrike w:val="0"/>
          <w:color w:val="auto"/>
          <w:sz w:val="32"/>
          <w:szCs w:val="32"/>
          <w:highlight w:val="none"/>
          <w:lang w:val="en-US" w:eastAsia="zh-CN"/>
        </w:rPr>
        <w:t>上年结转项目经费支出增加</w:t>
      </w:r>
      <w:r>
        <w:rPr>
          <w:rFonts w:hint="eastAsia" w:ascii="Times New Roman" w:hAnsi="Times New Roman" w:eastAsia="仿宋_GB2312" w:cs="Times New Roman"/>
          <w:strike w:val="0"/>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31" w:name="_Toc7314"/>
      <w:bookmarkStart w:id="32"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31"/>
      <w:bookmarkEnd w:id="32"/>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33" w:name="_Toc14519"/>
      <w:bookmarkStart w:id="34"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33"/>
      <w:bookmarkEnd w:id="34"/>
    </w:p>
    <w:p>
      <w:pPr>
        <w:ind w:firstLine="640" w:firstLineChars="200"/>
        <w:rPr>
          <w:rFonts w:hint="eastAsia" w:ascii="Times New Roman" w:hAnsi="Times New Roman" w:eastAsia="仿宋_GB2312" w:cs="Times New Roman"/>
          <w:color w:val="auto"/>
          <w:sz w:val="32"/>
          <w:szCs w:val="32"/>
          <w:highlight w:val="none"/>
          <w:lang w:val="zh-CN" w:eastAsia="zh-CN"/>
        </w:rPr>
      </w:pPr>
      <w:bookmarkStart w:id="35" w:name="_Toc227"/>
      <w:bookmarkStart w:id="36" w:name="_Toc26704"/>
      <w:r>
        <w:rPr>
          <w:rFonts w:hint="eastAsia" w:ascii="Times New Roman" w:hAnsi="Times New Roman" w:eastAsia="仿宋_GB2312" w:cs="Times New Roman"/>
          <w:color w:val="auto"/>
          <w:sz w:val="32"/>
          <w:szCs w:val="32"/>
          <w:highlight w:val="none"/>
          <w:lang w:val="zh-CN" w:eastAsia="zh-CN"/>
        </w:rPr>
        <w:t>2023</w:t>
      </w:r>
      <w:r>
        <w:rPr>
          <w:rFonts w:hint="eastAsia" w:ascii="Times New Roman" w:hAnsi="Times New Roman" w:eastAsia="仿宋_GB2312" w:cs="Times New Roman"/>
          <w:color w:val="auto"/>
          <w:sz w:val="32"/>
          <w:szCs w:val="32"/>
          <w:highlight w:val="none"/>
          <w:lang w:val="en-US" w:eastAsia="zh-CN"/>
        </w:rPr>
        <w:t>新疆维吾尔自治区民政康复中心</w:t>
      </w:r>
      <w:r>
        <w:rPr>
          <w:rFonts w:hint="eastAsia" w:ascii="Times New Roman" w:hAnsi="Times New Roman" w:eastAsia="仿宋_GB2312" w:cs="Times New Roman"/>
          <w:color w:val="auto"/>
          <w:sz w:val="32"/>
          <w:szCs w:val="32"/>
          <w:highlight w:val="none"/>
          <w:lang w:val="zh-CN" w:eastAsia="zh-CN"/>
        </w:rPr>
        <w:t>公用经费120.99万元，比上年增加2.23万元，增长1.88%，主要原因是：</w:t>
      </w:r>
      <w:r>
        <w:rPr>
          <w:rFonts w:hint="eastAsia" w:ascii="仿宋_GB2312" w:eastAsia="仿宋_GB2312"/>
          <w:color w:val="auto"/>
          <w:sz w:val="32"/>
          <w:szCs w:val="32"/>
          <w:highlight w:val="none"/>
          <w:lang w:eastAsia="zh-CN"/>
        </w:rPr>
        <w:t>退休人员增加，老干部活动经费增加</w:t>
      </w:r>
      <w:r>
        <w:rPr>
          <w:rFonts w:hint="eastAsia" w:ascii="Times New Roman" w:hAnsi="Times New Roman" w:eastAsia="仿宋_GB2312" w:cs="Times New Roman"/>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35"/>
      <w:bookmarkEnd w:id="36"/>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9.58万元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其中：政府采购货物支出6.27万元、政府采购工程支出0.00万元、政府采购服务支出3.31万元。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授予中小企业合同金额0.68万元，占政府采购支出总额的7.</w:t>
      </w:r>
      <w:r>
        <w:rPr>
          <w:rFonts w:hint="eastAsia" w:eastAsia="仿宋_GB2312" w:cs="Times New Roman"/>
          <w:color w:val="auto"/>
          <w:sz w:val="32"/>
          <w:szCs w:val="32"/>
          <w:highlight w:val="none"/>
          <w:lang w:val="en-US" w:eastAsia="zh-CN"/>
        </w:rPr>
        <w:t>10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，其中：授予小微企业合同金额0.68万元，占政府采购支出总额的7.</w:t>
      </w:r>
      <w:r>
        <w:rPr>
          <w:rFonts w:hint="eastAsia" w:eastAsia="仿宋_GB2312" w:cs="Times New Roman"/>
          <w:color w:val="auto"/>
          <w:sz w:val="32"/>
          <w:szCs w:val="32"/>
          <w:highlight w:val="none"/>
          <w:lang w:val="en-US" w:eastAsia="zh-CN"/>
        </w:rPr>
        <w:t>10</w:t>
      </w:r>
      <w:bookmarkStart w:id="59" w:name="_GoBack"/>
      <w:bookmarkEnd w:id="59"/>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37" w:name="_Toc8391"/>
      <w:bookmarkStart w:id="38" w:name="_Toc4591"/>
      <w:r>
        <w:rPr>
          <w:rFonts w:hint="eastAsia" w:ascii="Times New Roman" w:hAnsi="Times New Roman" w:eastAsia="黑体" w:cs="Times New Roman"/>
          <w:color w:val="auto"/>
          <w:sz w:val="32"/>
          <w:szCs w:val="30"/>
          <w:highlight w:val="none"/>
          <w:lang w:val="zh-CN" w:eastAsia="zh-CN"/>
        </w:rPr>
        <w:t>（三）国有资产占用情况说明</w:t>
      </w:r>
      <w:bookmarkEnd w:id="37"/>
      <w:bookmarkEnd w:id="3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9,419.28</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屋25579.57平方米，价值5,992.97万元。车辆4辆，价值92.87万元，其中：副部（省）级及以上领导用车0辆、主要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用车0辆、其他用车4辆，其他用车主要是：</w:t>
      </w:r>
      <w:r>
        <w:rPr>
          <w:rFonts w:hint="eastAsia" w:ascii="仿宋_GB2312" w:eastAsia="仿宋_GB2312"/>
          <w:color w:val="auto"/>
          <w:sz w:val="32"/>
          <w:szCs w:val="32"/>
          <w:highlight w:val="none"/>
          <w:lang w:eastAsia="zh-CN"/>
        </w:rPr>
        <w:t>一般公务用车</w:t>
      </w:r>
      <w:r>
        <w:rPr>
          <w:rFonts w:hint="eastAsia" w:ascii="Times New Roman" w:hAnsi="Times New Roman" w:eastAsia="仿宋_GB2312" w:cs="Times New Roman"/>
          <w:color w:val="auto"/>
          <w:sz w:val="32"/>
          <w:szCs w:val="32"/>
          <w:highlight w:val="none"/>
          <w:lang w:val="zh-CN" w:eastAsia="zh-CN"/>
        </w:rPr>
        <w:t>；单价100万元（含）以上设备（不含车辆）2</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39" w:name="_Toc11283"/>
      <w:bookmarkStart w:id="40"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39"/>
      <w:bookmarkEnd w:id="40"/>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w:t>
      </w:r>
      <w:r>
        <w:rPr>
          <w:rFonts w:hint="eastAsia" w:ascii="仿宋_GB2312" w:hAnsi="仿宋_GB2312" w:eastAsia="仿宋_GB2312" w:cs="仿宋_GB2312"/>
          <w:color w:val="auto"/>
          <w:kern w:val="0"/>
          <w:sz w:val="32"/>
          <w:szCs w:val="32"/>
          <w:highlight w:val="none"/>
        </w:rPr>
        <w:t>整体绩效自评表</w:t>
      </w:r>
      <w:r>
        <w:rPr>
          <w:rFonts w:hint="eastAsia" w:ascii="仿宋_GB2312" w:hAnsi="仿宋_GB2312" w:eastAsia="仿宋_GB2312" w:cs="仿宋_GB2312"/>
          <w:color w:val="auto"/>
          <w:kern w:val="0"/>
          <w:sz w:val="32"/>
          <w:szCs w:val="32"/>
          <w:highlight w:val="none"/>
          <w:lang w:val="en-US" w:eastAsia="zh-CN"/>
        </w:rPr>
        <w:t>0个，全年</w:t>
      </w:r>
      <w:r>
        <w:rPr>
          <w:rFonts w:hint="eastAsia" w:ascii="仿宋_GB2312" w:eastAsia="仿宋_GB2312"/>
          <w:color w:val="auto"/>
          <w:sz w:val="32"/>
          <w:szCs w:val="32"/>
          <w:highlight w:val="none"/>
          <w:lang w:val="en-US" w:eastAsia="zh-CN"/>
        </w:rPr>
        <w:t>预算总额0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我单位整体支出绩效自评表由主管部门编报并公开</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全年预算数120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全年执行数120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hint="eastAsia" w:ascii="仿宋_GB2312" w:eastAsia="仿宋_GB2312"/>
          <w:color w:val="auto"/>
          <w:sz w:val="32"/>
          <w:szCs w:val="32"/>
          <w:highlight w:val="none"/>
          <w:lang w:val="en-US" w:eastAsia="zh-CN"/>
        </w:rPr>
        <w:t>通过“明天计划”医疗救助项目，使全疆孤儿、困境病残儿童患儿完全恢复或部分恢复身体功能，增强生活自理能力，深受全疆各族群众的赞许，得到了各地民政部门及患者家属的认可</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发现的问题及原因：</w:t>
      </w:r>
      <w:r>
        <w:rPr>
          <w:rFonts w:ascii="仿宋_GB2312" w:eastAsia="仿宋_GB2312"/>
          <w:color w:val="auto"/>
          <w:sz w:val="32"/>
          <w:szCs w:val="32"/>
          <w:highlight w:val="none"/>
        </w:rPr>
        <w:t>预算执行进度缓慢</w:t>
      </w:r>
      <w:r>
        <w:rPr>
          <w:rFonts w:hint="eastAsia" w:ascii="仿宋_GB2312" w:eastAsia="仿宋_GB2312"/>
          <w:color w:val="auto"/>
          <w:sz w:val="32"/>
          <w:szCs w:val="32"/>
          <w:highlight w:val="none"/>
          <w:lang w:eastAsia="zh-CN"/>
        </w:rPr>
        <w:t>，原因是项目前期准备工作不充沛，导致开展延迟</w:t>
      </w:r>
      <w:r>
        <w:rPr>
          <w:rFonts w:hint="eastAsia" w:ascii="仿宋_GB2312" w:eastAsia="仿宋_GB2312"/>
          <w:color w:val="auto"/>
          <w:sz w:val="32"/>
          <w:szCs w:val="32"/>
          <w:highlight w:val="none"/>
        </w:rPr>
        <w:t>。下一步改进措施：</w:t>
      </w:r>
      <w:r>
        <w:rPr>
          <w:rFonts w:ascii="仿宋_GB2312" w:eastAsia="仿宋_GB2312"/>
          <w:color w:val="auto"/>
          <w:sz w:val="32"/>
          <w:szCs w:val="32"/>
          <w:highlight w:val="none"/>
        </w:rPr>
        <w:t>一是</w:t>
      </w:r>
      <w:r>
        <w:rPr>
          <w:rFonts w:hint="eastAsia" w:ascii="仿宋_GB2312" w:eastAsia="仿宋_GB2312"/>
          <w:color w:val="auto"/>
          <w:sz w:val="32"/>
          <w:szCs w:val="32"/>
          <w:highlight w:val="none"/>
          <w:lang w:eastAsia="zh-CN"/>
        </w:rPr>
        <w:t>按时做好项目开展准备工作，</w:t>
      </w:r>
      <w:r>
        <w:rPr>
          <w:rFonts w:ascii="仿宋_GB2312" w:eastAsia="仿宋_GB2312"/>
          <w:color w:val="auto"/>
          <w:sz w:val="32"/>
          <w:szCs w:val="32"/>
          <w:highlight w:val="none"/>
        </w:rPr>
        <w:t>加强预算执行管理，及时制定资金使用计划；二是加快项目实施进度，加大绩效监控力度，切实提高资金使用效益</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41" w:name="_Toc3250"/>
      <w:bookmarkStart w:id="42"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41"/>
      <w:bookmarkEnd w:id="42"/>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2"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 xml:space="preserve">第四部分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3" w:name="_Toc2183"/>
      <w:bookmarkStart w:id="44" w:name="_Toc6062"/>
      <w:r>
        <w:rPr>
          <w:rFonts w:hint="eastAsia" w:ascii="黑体" w:hAnsi="黑体" w:eastAsia="仿宋_GB2312" w:cs="宋体"/>
          <w:bCs/>
          <w:color w:val="auto"/>
          <w:kern w:val="0"/>
          <w:sz w:val="32"/>
          <w:szCs w:val="32"/>
          <w:highlight w:val="none"/>
        </w:rPr>
        <w:t>一、《收入支出决算总表》</w:t>
      </w:r>
      <w:bookmarkEnd w:id="43"/>
      <w:bookmarkEnd w:id="4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5" w:name="_Toc24532"/>
      <w:bookmarkStart w:id="46" w:name="_Toc30364"/>
      <w:r>
        <w:rPr>
          <w:rFonts w:hint="eastAsia" w:ascii="黑体" w:hAnsi="黑体" w:eastAsia="仿宋_GB2312" w:cs="宋体"/>
          <w:bCs/>
          <w:color w:val="auto"/>
          <w:kern w:val="0"/>
          <w:sz w:val="32"/>
          <w:szCs w:val="32"/>
          <w:highlight w:val="none"/>
        </w:rPr>
        <w:t>二、《收入决算表》</w:t>
      </w:r>
      <w:bookmarkEnd w:id="45"/>
      <w:bookmarkEnd w:id="46"/>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7" w:name="_Toc32434"/>
      <w:bookmarkStart w:id="48" w:name="_Toc21304"/>
      <w:r>
        <w:rPr>
          <w:rFonts w:hint="eastAsia" w:ascii="黑体" w:hAnsi="黑体" w:eastAsia="仿宋_GB2312" w:cs="宋体"/>
          <w:bCs/>
          <w:color w:val="auto"/>
          <w:kern w:val="0"/>
          <w:sz w:val="32"/>
          <w:szCs w:val="32"/>
          <w:highlight w:val="none"/>
        </w:rPr>
        <w:t>三、《支出决算表》</w:t>
      </w:r>
      <w:bookmarkEnd w:id="47"/>
      <w:bookmarkEnd w:id="4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9" w:name="_Toc14238"/>
      <w:bookmarkStart w:id="50" w:name="_Toc28786"/>
      <w:r>
        <w:rPr>
          <w:rFonts w:hint="eastAsia" w:ascii="黑体" w:hAnsi="黑体" w:eastAsia="仿宋_GB2312" w:cs="宋体"/>
          <w:bCs/>
          <w:color w:val="auto"/>
          <w:kern w:val="0"/>
          <w:sz w:val="32"/>
          <w:szCs w:val="32"/>
          <w:highlight w:val="none"/>
        </w:rPr>
        <w:t>四、《财政拨款收入支出决算总表》</w:t>
      </w:r>
      <w:bookmarkEnd w:id="49"/>
      <w:bookmarkEnd w:id="50"/>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51" w:name="_Toc14869"/>
      <w:bookmarkStart w:id="52" w:name="_Toc10347"/>
      <w:r>
        <w:rPr>
          <w:rFonts w:hint="eastAsia" w:ascii="黑体" w:hAnsi="黑体" w:eastAsia="仿宋_GB2312" w:cs="宋体"/>
          <w:bCs/>
          <w:color w:val="auto"/>
          <w:kern w:val="0"/>
          <w:sz w:val="32"/>
          <w:szCs w:val="32"/>
          <w:highlight w:val="none"/>
        </w:rPr>
        <w:t>五、《一般公共预算财政拨款支出决算表》</w:t>
      </w:r>
      <w:bookmarkEnd w:id="51"/>
      <w:bookmarkEnd w:id="52"/>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53" w:name="_Toc8884"/>
      <w:bookmarkStart w:id="54" w:name="_Toc5626"/>
      <w:r>
        <w:rPr>
          <w:rFonts w:hint="eastAsia" w:ascii="黑体" w:hAnsi="黑体" w:eastAsia="仿宋_GB2312" w:cs="宋体"/>
          <w:bCs/>
          <w:color w:val="auto"/>
          <w:kern w:val="0"/>
          <w:sz w:val="32"/>
          <w:szCs w:val="32"/>
          <w:highlight w:val="none"/>
        </w:rPr>
        <w:t>六、《一般公共预算财政拨款基本支出决算表》</w:t>
      </w:r>
      <w:bookmarkEnd w:id="53"/>
      <w:bookmarkEnd w:id="5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55" w:name="_Toc29106"/>
      <w:bookmarkStart w:id="56" w:name="_Toc32663"/>
      <w:r>
        <w:rPr>
          <w:rFonts w:hint="eastAsia" w:ascii="黑体" w:hAnsi="黑体" w:eastAsia="仿宋_GB2312" w:cs="宋体"/>
          <w:bCs/>
          <w:color w:val="auto"/>
          <w:kern w:val="0"/>
          <w:sz w:val="32"/>
          <w:szCs w:val="32"/>
          <w:highlight w:val="none"/>
        </w:rPr>
        <w:t>《财政拨款“三公”经费支出决算表》</w:t>
      </w:r>
      <w:bookmarkEnd w:id="55"/>
      <w:bookmarkEnd w:id="56"/>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57" w:name="_Toc5453"/>
      <w:bookmarkStart w:id="58" w:name="_Toc7643"/>
      <w:r>
        <w:rPr>
          <w:rFonts w:hint="eastAsia" w:ascii="黑体" w:hAnsi="黑体" w:eastAsia="仿宋_GB2312" w:cs="宋体"/>
          <w:bCs/>
          <w:color w:val="auto"/>
          <w:kern w:val="0"/>
          <w:sz w:val="32"/>
          <w:szCs w:val="32"/>
          <w:highlight w:val="none"/>
        </w:rPr>
        <w:t>八、《政府性基金预算财政拨款收入支出决算表》</w:t>
      </w:r>
      <w:bookmarkEnd w:id="57"/>
      <w:bookmarkEnd w:id="5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00000001" w:usb1="08000000" w:usb2="00000000" w:usb3="00000000" w:csb0="00040000" w:csb1="00000000"/>
  </w:font>
  <w:font w:name="仿宋_GB2312">
    <w:altName w:val="仿宋"/>
    <w:panose1 w:val="02010609030101010101"/>
    <w:charset w:val="86"/>
    <w:family w:val="swiss"/>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00"/>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false" upright="fals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BCr8CPHAQAAewMAAA4AAABkcnMv&#10;ZTJvRG9jLnhtbK1TTa7TMBDeI3EHy3uatAtURU2fgKeHkBAgPTiA69iNJdtjjd0m5QBwA1Zs2HOu&#10;noOx0/Q9YIfYOPPnz983M9ncjM6yo8JowLd8uag5U15CZ/y+5Z8+3j1bcxaT8J2w4FXLTyrym+3T&#10;J5shNGoFPdhOISMQH5shtLxPKTRVFWWvnIgLCMpTUgM6kcjFfdWhGAjd2WpV18+rAbALCFLFSNHb&#10;Kcm3BV9rJdN7raNKzLacuKVyYjl3+ay2G9HsUYTeyAsN8Q8snDCeHr1C3Yok2AHNX1DOSIQIOi0k&#10;uAq0NlIVDaRmWf+h5r4XQRUt1JwYrm2K/w9Wvjt+QGY6mh1nXjga0fnb1/P3n+cfX9gyt2cIsaGq&#10;+0B1aXwJY8sTHtScihTPwkeNLn9JEqMS6vXp2l81JiYpuFyv1uuaUpJys0NPVA/XA8b0WoFj2Wg5&#10;0gBLX8XxbUxT6VySX/NwZ6wtQ7T+twBh5kiV6U8cs5XG3XjRtIPuRJJod+mdHvAzZwPtQcs9LSpn&#10;9o2nNueVmQ2cjd1sCC/pIvWDs8l8lcjTwkYCOAQ0+56wJz+Ti+HFIRHjIiTTmThcWNKESysu25hX&#10;6LFfqh7+me0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FgAAAGRycy9QSwECFAAUAAAACACHTuJAzql5uc8AAAAFAQAADwAAAAAAAAABACAA&#10;AAA4AAAAZHJzL2Rvd25yZXYueG1sUEsBAhQAFAAAAAgAh07iQBCr8CPHAQAAewMAAA4AAAAAAAAA&#10;AQAgAAAANA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false"/>
  <w:bordersDoNotSurroundFooter w:val="false"/>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I5ZjY5YWU1ODJlNWU3ODVmY2NiNWY2ZDM1ZGFkMjE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015F4C"/>
    <w:rsid w:val="06792773"/>
    <w:rsid w:val="07093795"/>
    <w:rsid w:val="07804730"/>
    <w:rsid w:val="079052BE"/>
    <w:rsid w:val="07E989AB"/>
    <w:rsid w:val="08145C21"/>
    <w:rsid w:val="08422688"/>
    <w:rsid w:val="085854ED"/>
    <w:rsid w:val="0879188F"/>
    <w:rsid w:val="08A0354D"/>
    <w:rsid w:val="08CD4C49"/>
    <w:rsid w:val="09114954"/>
    <w:rsid w:val="095A5B83"/>
    <w:rsid w:val="096466E3"/>
    <w:rsid w:val="0968304D"/>
    <w:rsid w:val="0994152E"/>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31CB9"/>
    <w:rsid w:val="176747F9"/>
    <w:rsid w:val="17954A6E"/>
    <w:rsid w:val="180059E9"/>
    <w:rsid w:val="184510FD"/>
    <w:rsid w:val="190648B0"/>
    <w:rsid w:val="19071D6C"/>
    <w:rsid w:val="19D26CD4"/>
    <w:rsid w:val="19E60D19"/>
    <w:rsid w:val="1A3E3450"/>
    <w:rsid w:val="1AD807E5"/>
    <w:rsid w:val="1B39345B"/>
    <w:rsid w:val="1B7B5BD7"/>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0227A2"/>
    <w:rsid w:val="23326B7F"/>
    <w:rsid w:val="2380045B"/>
    <w:rsid w:val="23BC04D2"/>
    <w:rsid w:val="23EF1892"/>
    <w:rsid w:val="2483647E"/>
    <w:rsid w:val="24A32D55"/>
    <w:rsid w:val="25292727"/>
    <w:rsid w:val="252E5CA9"/>
    <w:rsid w:val="256F7692"/>
    <w:rsid w:val="25BA2154"/>
    <w:rsid w:val="25C8773F"/>
    <w:rsid w:val="25EE189A"/>
    <w:rsid w:val="264A7253"/>
    <w:rsid w:val="2688285C"/>
    <w:rsid w:val="26F0170C"/>
    <w:rsid w:val="27201D62"/>
    <w:rsid w:val="27286E73"/>
    <w:rsid w:val="277C8857"/>
    <w:rsid w:val="27A94588"/>
    <w:rsid w:val="27CF2642"/>
    <w:rsid w:val="27E0288F"/>
    <w:rsid w:val="27E777F5"/>
    <w:rsid w:val="27EA1D4C"/>
    <w:rsid w:val="27EA2E41"/>
    <w:rsid w:val="282459E2"/>
    <w:rsid w:val="283A7FE5"/>
    <w:rsid w:val="285F51FF"/>
    <w:rsid w:val="28CA642A"/>
    <w:rsid w:val="28DF2665"/>
    <w:rsid w:val="29072599"/>
    <w:rsid w:val="291029F3"/>
    <w:rsid w:val="29CB58F0"/>
    <w:rsid w:val="2A053397"/>
    <w:rsid w:val="2A145E96"/>
    <w:rsid w:val="2AF5378F"/>
    <w:rsid w:val="2BB94DBF"/>
    <w:rsid w:val="2C6F314E"/>
    <w:rsid w:val="2C8D20E1"/>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297A82"/>
    <w:rsid w:val="3389023A"/>
    <w:rsid w:val="33CB74FA"/>
    <w:rsid w:val="343642F2"/>
    <w:rsid w:val="343F3010"/>
    <w:rsid w:val="345D0A00"/>
    <w:rsid w:val="34713BFD"/>
    <w:rsid w:val="34C13589"/>
    <w:rsid w:val="353369E3"/>
    <w:rsid w:val="35E00D72"/>
    <w:rsid w:val="360268C9"/>
    <w:rsid w:val="36965B9D"/>
    <w:rsid w:val="36C549FD"/>
    <w:rsid w:val="37A755DD"/>
    <w:rsid w:val="37F94FA0"/>
    <w:rsid w:val="380D3381"/>
    <w:rsid w:val="38115B1F"/>
    <w:rsid w:val="385E3AC3"/>
    <w:rsid w:val="38715069"/>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DF5E3D"/>
    <w:rsid w:val="3EEC6CEF"/>
    <w:rsid w:val="3F183429"/>
    <w:rsid w:val="3FB77A1D"/>
    <w:rsid w:val="3FDC3674"/>
    <w:rsid w:val="3FED7F8A"/>
    <w:rsid w:val="3FF3901F"/>
    <w:rsid w:val="40094AEF"/>
    <w:rsid w:val="405470BD"/>
    <w:rsid w:val="40794A29"/>
    <w:rsid w:val="40834692"/>
    <w:rsid w:val="40C61775"/>
    <w:rsid w:val="41431AD5"/>
    <w:rsid w:val="414B3C0F"/>
    <w:rsid w:val="417C1CE7"/>
    <w:rsid w:val="41900018"/>
    <w:rsid w:val="41944406"/>
    <w:rsid w:val="41CE128F"/>
    <w:rsid w:val="41DA6F12"/>
    <w:rsid w:val="420304B1"/>
    <w:rsid w:val="42171FB1"/>
    <w:rsid w:val="434E6957"/>
    <w:rsid w:val="43B67EE8"/>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BFE08C2"/>
    <w:rsid w:val="4C200F7A"/>
    <w:rsid w:val="4CDFDE8E"/>
    <w:rsid w:val="4CEE3180"/>
    <w:rsid w:val="4D0F4AF6"/>
    <w:rsid w:val="4DB432AE"/>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3636A7"/>
    <w:rsid w:val="525C687F"/>
    <w:rsid w:val="52F647F7"/>
    <w:rsid w:val="52F92565"/>
    <w:rsid w:val="530712E9"/>
    <w:rsid w:val="53D03877"/>
    <w:rsid w:val="542F73CA"/>
    <w:rsid w:val="5430786D"/>
    <w:rsid w:val="54C811C0"/>
    <w:rsid w:val="556A442D"/>
    <w:rsid w:val="55736C7B"/>
    <w:rsid w:val="55DA564E"/>
    <w:rsid w:val="5604127D"/>
    <w:rsid w:val="56166703"/>
    <w:rsid w:val="56510474"/>
    <w:rsid w:val="56861525"/>
    <w:rsid w:val="56A93273"/>
    <w:rsid w:val="56AA690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502E23"/>
    <w:rsid w:val="658A4877"/>
    <w:rsid w:val="65A00902"/>
    <w:rsid w:val="65AC6EDD"/>
    <w:rsid w:val="65D97752"/>
    <w:rsid w:val="66085536"/>
    <w:rsid w:val="66105BF7"/>
    <w:rsid w:val="66150023"/>
    <w:rsid w:val="6628010D"/>
    <w:rsid w:val="669B4528"/>
    <w:rsid w:val="66CC12D7"/>
    <w:rsid w:val="66E300DB"/>
    <w:rsid w:val="67134CEF"/>
    <w:rsid w:val="671F1ABD"/>
    <w:rsid w:val="673F6082"/>
    <w:rsid w:val="67521A59"/>
    <w:rsid w:val="67C304AB"/>
    <w:rsid w:val="68081B6C"/>
    <w:rsid w:val="683F0658"/>
    <w:rsid w:val="689C6793"/>
    <w:rsid w:val="68DB0208"/>
    <w:rsid w:val="68FB170C"/>
    <w:rsid w:val="691B3D98"/>
    <w:rsid w:val="693748F0"/>
    <w:rsid w:val="69405A1D"/>
    <w:rsid w:val="69846A0E"/>
    <w:rsid w:val="69AD798C"/>
    <w:rsid w:val="69D005C0"/>
    <w:rsid w:val="69D80B96"/>
    <w:rsid w:val="6B5C00D4"/>
    <w:rsid w:val="6B68175F"/>
    <w:rsid w:val="6BFD799F"/>
    <w:rsid w:val="6C4A2E5A"/>
    <w:rsid w:val="6C8138D0"/>
    <w:rsid w:val="6CEF0725"/>
    <w:rsid w:val="6D4B2604"/>
    <w:rsid w:val="6D8030E4"/>
    <w:rsid w:val="6E0E35C4"/>
    <w:rsid w:val="6E0F7A08"/>
    <w:rsid w:val="6E3947F5"/>
    <w:rsid w:val="6E9C74ED"/>
    <w:rsid w:val="6EF72976"/>
    <w:rsid w:val="6F162C78"/>
    <w:rsid w:val="6F795A80"/>
    <w:rsid w:val="6F7C1D2E"/>
    <w:rsid w:val="6F8E0407"/>
    <w:rsid w:val="6FDD069F"/>
    <w:rsid w:val="702B4D16"/>
    <w:rsid w:val="70AA6621"/>
    <w:rsid w:val="7111480F"/>
    <w:rsid w:val="71261F49"/>
    <w:rsid w:val="712E6956"/>
    <w:rsid w:val="71473612"/>
    <w:rsid w:val="71504F32"/>
    <w:rsid w:val="7152309F"/>
    <w:rsid w:val="718F7F65"/>
    <w:rsid w:val="71B11842"/>
    <w:rsid w:val="71EEE1E9"/>
    <w:rsid w:val="727B234E"/>
    <w:rsid w:val="72D068C7"/>
    <w:rsid w:val="72E42ED8"/>
    <w:rsid w:val="735F4CB9"/>
    <w:rsid w:val="73674C62"/>
    <w:rsid w:val="73845865"/>
    <w:rsid w:val="739B6D9E"/>
    <w:rsid w:val="73BC1D76"/>
    <w:rsid w:val="73FB6630"/>
    <w:rsid w:val="73FEB9B6"/>
    <w:rsid w:val="74351C20"/>
    <w:rsid w:val="745353F2"/>
    <w:rsid w:val="748D790E"/>
    <w:rsid w:val="749820CC"/>
    <w:rsid w:val="74CE04EC"/>
    <w:rsid w:val="74E76DCD"/>
    <w:rsid w:val="751D7C0A"/>
    <w:rsid w:val="75656F5B"/>
    <w:rsid w:val="75722D56"/>
    <w:rsid w:val="75CD6CDD"/>
    <w:rsid w:val="75DB5477"/>
    <w:rsid w:val="75FC6AC3"/>
    <w:rsid w:val="7616619B"/>
    <w:rsid w:val="76660D7C"/>
    <w:rsid w:val="766C5968"/>
    <w:rsid w:val="76BE0C8F"/>
    <w:rsid w:val="76CD53B2"/>
    <w:rsid w:val="770719AC"/>
    <w:rsid w:val="773D74CF"/>
    <w:rsid w:val="776526CC"/>
    <w:rsid w:val="77A262E1"/>
    <w:rsid w:val="77B13C33"/>
    <w:rsid w:val="77ED6F44"/>
    <w:rsid w:val="77F45548"/>
    <w:rsid w:val="784E7CA6"/>
    <w:rsid w:val="78574801"/>
    <w:rsid w:val="7873527F"/>
    <w:rsid w:val="78DB24A8"/>
    <w:rsid w:val="790A6425"/>
    <w:rsid w:val="790E2D96"/>
    <w:rsid w:val="791B54B2"/>
    <w:rsid w:val="795A0A34"/>
    <w:rsid w:val="797339C3"/>
    <w:rsid w:val="79D57D57"/>
    <w:rsid w:val="79F00650"/>
    <w:rsid w:val="7A6242BF"/>
    <w:rsid w:val="7A794513"/>
    <w:rsid w:val="7AE952D2"/>
    <w:rsid w:val="7C431BF7"/>
    <w:rsid w:val="7C976D69"/>
    <w:rsid w:val="7CD752DA"/>
    <w:rsid w:val="7CDE40AB"/>
    <w:rsid w:val="7CF057E2"/>
    <w:rsid w:val="7D1548B5"/>
    <w:rsid w:val="7DF84014"/>
    <w:rsid w:val="7DFF647F"/>
    <w:rsid w:val="7E207949"/>
    <w:rsid w:val="7E5C0A47"/>
    <w:rsid w:val="7E670C75"/>
    <w:rsid w:val="7EE24272"/>
    <w:rsid w:val="7EEA6053"/>
    <w:rsid w:val="7F4655CF"/>
    <w:rsid w:val="7F487C04"/>
    <w:rsid w:val="7FAFF995"/>
    <w:rsid w:val="7FB45F21"/>
    <w:rsid w:val="7FDFE143"/>
    <w:rsid w:val="7FE57088"/>
    <w:rsid w:val="7FF37FA3"/>
    <w:rsid w:val="9AD9F597"/>
    <w:rsid w:val="BFBFD661"/>
    <w:rsid w:val="C7AF9E7E"/>
    <w:rsid w:val="C837B0BA"/>
    <w:rsid w:val="D1ED19C5"/>
    <w:rsid w:val="D77EF2C2"/>
    <w:rsid w:val="DE7FD2D2"/>
    <w:rsid w:val="E2AE3944"/>
    <w:rsid w:val="EBFB35FE"/>
    <w:rsid w:val="F2EFB0FF"/>
    <w:rsid w:val="F5719D0A"/>
    <w:rsid w:val="F66748B7"/>
    <w:rsid w:val="F7E76BA4"/>
    <w:rsid w:val="F837AD2F"/>
    <w:rsid w:val="FEFF9D5E"/>
    <w:rsid w:val="FFFFBB9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5431</Words>
  <Characters>6236</Characters>
  <Lines>0</Lines>
  <Paragraphs>0</Paragraphs>
  <TotalTime>3</TotalTime>
  <ScaleCrop>false</ScaleCrop>
  <LinksUpToDate>false</LinksUpToDate>
  <CharactersWithSpaces>6247</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2014-11-01T12:08:00Z</dcterms:created>
  <dc:creator>GXR</dc:creator>
  <cp:lastModifiedBy>user</cp:lastModifiedBy>
  <cp:lastPrinted>2024-08-23T21:00:00Z</cp:lastPrinted>
  <dcterms:modified xsi:type="dcterms:W3CDTF">2024-09-02T18:03:50Z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7837D01FA6B84A4D8E37A49511A7EA3F_13</vt:lpwstr>
  </property>
</Properties>
</file>