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bookmarkStart w:id="48" w:name="_GoBack"/>
      <w:bookmarkEnd w:id="48"/>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新疆维吾尔自治区民政事业规划发展中心</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2023年度单位</w:t>
      </w:r>
      <w:r>
        <w:rPr>
          <w:rFonts w:hint="eastAsia" w:ascii="方正小标宋_GBK" w:hAnsi="宋体" w:eastAsia="方正小标宋_GBK"/>
          <w:color w:val="auto"/>
          <w:sz w:val="44"/>
          <w:szCs w:val="44"/>
          <w:highlight w:val="none"/>
        </w:rPr>
        <w:t>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ascii="仿宋_GB2312" w:eastAsia="仿宋_GB2312"/>
          <w:color w:val="auto"/>
          <w:sz w:val="32"/>
          <w:szCs w:val="32"/>
        </w:rPr>
        <w:t>负责民政事业项目规划的评估、可行性研究、论证及规划项目实施的指导等工作</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新疆维吾尔自治区民政事业规划发展中心</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6</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6</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rPr>
      </w:pPr>
      <w:r>
        <w:rPr>
          <w:rFonts w:hint="eastAsia" w:ascii="仿宋_GB2312" w:hAnsi="黑体" w:eastAsia="仿宋_GB2312" w:cs="宋体"/>
          <w:bCs/>
          <w:color w:val="auto"/>
          <w:kern w:val="0"/>
          <w:sz w:val="32"/>
          <w:szCs w:val="32"/>
        </w:rPr>
        <w:t>单位无下属预算单位，下设</w:t>
      </w:r>
      <w:r>
        <w:rPr>
          <w:rFonts w:hint="eastAsia" w:ascii="仿宋_GB2312" w:eastAsia="仿宋_GB2312"/>
          <w:color w:val="auto"/>
          <w:sz w:val="32"/>
          <w:szCs w:val="32"/>
        </w:rPr>
        <w:t>2</w:t>
      </w:r>
      <w:r>
        <w:rPr>
          <w:rFonts w:hint="eastAsia" w:ascii="仿宋_GB2312" w:hAnsi="黑体" w:eastAsia="仿宋_GB2312" w:cs="宋体"/>
          <w:bCs/>
          <w:color w:val="auto"/>
          <w:kern w:val="0"/>
          <w:sz w:val="32"/>
          <w:szCs w:val="32"/>
        </w:rPr>
        <w:t>个</w:t>
      </w:r>
      <w:r>
        <w:rPr>
          <w:rFonts w:hint="eastAsia" w:ascii="仿宋_GB2312" w:hAnsi="黑体" w:eastAsia="仿宋_GB2312" w:cs="宋体"/>
          <w:bCs/>
          <w:color w:val="auto"/>
          <w:kern w:val="0"/>
          <w:sz w:val="32"/>
          <w:szCs w:val="32"/>
          <w:lang w:eastAsia="zh-CN"/>
        </w:rPr>
        <w:t>科</w:t>
      </w:r>
      <w:r>
        <w:rPr>
          <w:rFonts w:hint="eastAsia" w:ascii="仿宋_GB2312" w:hAnsi="黑体" w:eastAsia="仿宋_GB2312" w:cs="宋体"/>
          <w:bCs/>
          <w:color w:val="auto"/>
          <w:kern w:val="0"/>
          <w:sz w:val="32"/>
          <w:szCs w:val="32"/>
        </w:rPr>
        <w:t>室，分别是：办公室、综合业务科</w:t>
      </w:r>
      <w:r>
        <w:rPr>
          <w:rFonts w:hint="eastAsia" w:ascii="仿宋_GB2312" w:hAnsi="宋体" w:eastAsia="仿宋_GB2312" w:cs="宋体"/>
          <w:color w:val="auto"/>
          <w:kern w:val="0"/>
          <w:sz w:val="32"/>
          <w:szCs w:val="32"/>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rPr>
        <w:sectPr>
          <w:footerReference r:id="rId3" w:type="default"/>
          <w:pgSz w:w="11906" w:h="16838"/>
          <w:pgMar w:top="2098" w:right="1531" w:bottom="1984" w:left="1531"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w:t>
      </w:r>
      <w:r>
        <w:rPr>
          <w:rFonts w:hint="eastAsia" w:ascii="仿宋_GB2312" w:eastAsia="仿宋_GB2312"/>
          <w:b/>
          <w:bCs/>
          <w:color w:val="auto"/>
          <w:spacing w:val="0"/>
          <w:sz w:val="32"/>
          <w:szCs w:val="32"/>
          <w:highlight w:val="none"/>
          <w:lang w:val="en-US" w:eastAsia="zh-CN"/>
        </w:rPr>
        <w:t>收入总计</w:t>
      </w:r>
      <w:r>
        <w:rPr>
          <w:rFonts w:hint="eastAsia" w:ascii="仿宋_GB2312" w:eastAsia="仿宋_GB2312"/>
          <w:b/>
          <w:bCs/>
          <w:color w:val="auto"/>
          <w:spacing w:val="0"/>
          <w:sz w:val="32"/>
          <w:szCs w:val="32"/>
          <w:highlight w:val="none"/>
          <w:lang w:eastAsia="zh-CN"/>
        </w:rPr>
        <w:t>137.35万元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137.35万元，使用非财政拨款结余0.00万元，年初结转和结余0.00万元。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2023</w:t>
      </w:r>
      <w:r>
        <w:rPr>
          <w:rFonts w:hint="eastAsia" w:ascii="仿宋_GB2312" w:eastAsia="仿宋_GB2312"/>
          <w:b/>
          <w:bCs/>
          <w:color w:val="auto"/>
          <w:spacing w:val="0"/>
          <w:sz w:val="32"/>
          <w:szCs w:val="32"/>
          <w:highlight w:val="none"/>
          <w:lang w:eastAsia="zh-CN"/>
        </w:rPr>
        <w:t>年</w:t>
      </w:r>
      <w:r>
        <w:rPr>
          <w:rFonts w:hint="eastAsia" w:ascii="仿宋_GB2312" w:eastAsia="仿宋_GB2312"/>
          <w:b/>
          <w:bCs/>
          <w:color w:val="auto"/>
          <w:spacing w:val="0"/>
          <w:sz w:val="32"/>
          <w:szCs w:val="32"/>
          <w:highlight w:val="none"/>
          <w:lang w:val="en-US" w:eastAsia="zh-CN"/>
        </w:rPr>
        <w:t>度</w:t>
      </w:r>
      <w:r>
        <w:rPr>
          <w:rFonts w:hint="eastAsia" w:ascii="仿宋_GB2312" w:eastAsia="仿宋_GB2312"/>
          <w:b/>
          <w:bCs/>
          <w:color w:val="auto"/>
          <w:spacing w:val="0"/>
          <w:sz w:val="32"/>
          <w:szCs w:val="32"/>
          <w:highlight w:val="none"/>
          <w:lang w:eastAsia="zh-CN"/>
        </w:rPr>
        <w:t>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eastAsia="zh-CN"/>
        </w:rPr>
        <w:t>137.35万元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137.35万元，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ind w:firstLine="642" w:firstLineChars="200"/>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增加15.0</w:t>
      </w:r>
      <w:r>
        <w:rPr>
          <w:rFonts w:hint="eastAsia" w:ascii="仿宋_GB2312" w:eastAsia="仿宋_GB2312"/>
          <w:color w:val="auto"/>
          <w:spacing w:val="0"/>
          <w:sz w:val="32"/>
          <w:szCs w:val="32"/>
          <w:highlight w:val="none"/>
          <w:lang w:val="en-US" w:eastAsia="zh-CN"/>
        </w:rPr>
        <w:t>4</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增长12.</w:t>
      </w:r>
      <w:r>
        <w:rPr>
          <w:rFonts w:hint="eastAsia" w:ascii="仿宋_GB2312" w:eastAsia="仿宋_GB2312"/>
          <w:color w:val="auto"/>
          <w:spacing w:val="0"/>
          <w:sz w:val="32"/>
          <w:szCs w:val="32"/>
          <w:highlight w:val="none"/>
          <w:lang w:val="en-US" w:eastAsia="zh-CN"/>
        </w:rPr>
        <w:t>30</w:t>
      </w:r>
      <w:r>
        <w:rPr>
          <w:rFonts w:hint="eastAsia"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2023年在职人员住房公积金、</w:t>
      </w:r>
      <w:r>
        <w:rPr>
          <w:rFonts w:hint="eastAsia" w:ascii="仿宋_GB2312" w:eastAsia="仿宋_GB2312"/>
          <w:color w:val="auto"/>
          <w:spacing w:val="0"/>
          <w:sz w:val="32"/>
          <w:szCs w:val="32"/>
          <w:highlight w:val="none"/>
          <w:lang w:eastAsia="zh-CN"/>
        </w:rPr>
        <w:t>社保缴费基数增加，</w:t>
      </w:r>
      <w:r>
        <w:rPr>
          <w:rFonts w:hint="eastAsia" w:ascii="仿宋_GB2312" w:eastAsia="仿宋_GB2312"/>
          <w:color w:val="auto"/>
          <w:spacing w:val="0"/>
          <w:sz w:val="32"/>
          <w:szCs w:val="32"/>
          <w:highlight w:val="none"/>
          <w:lang w:val="en-US" w:eastAsia="zh-CN"/>
        </w:rPr>
        <w:t>经费</w:t>
      </w:r>
      <w:r>
        <w:rPr>
          <w:rFonts w:hint="eastAsia" w:ascii="仿宋_GB2312" w:eastAsia="仿宋_GB2312"/>
          <w:color w:val="auto"/>
          <w:spacing w:val="0"/>
          <w:sz w:val="32"/>
          <w:szCs w:val="32"/>
          <w:highlight w:val="none"/>
          <w:lang w:eastAsia="zh-CN"/>
        </w:rPr>
        <w:t>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rPr>
        <w:t>本年收入</w:t>
      </w:r>
      <w:r>
        <w:rPr>
          <w:rFonts w:hint="eastAsia" w:ascii="仿宋_GB2312" w:eastAsia="仿宋_GB2312"/>
          <w:b/>
          <w:bCs/>
          <w:color w:val="auto"/>
          <w:sz w:val="32"/>
          <w:szCs w:val="32"/>
          <w:highlight w:val="none"/>
          <w:lang w:eastAsia="zh-CN"/>
        </w:rPr>
        <w:t>137.35</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，其中：财政拨款收入</w:t>
      </w:r>
      <w:r>
        <w:rPr>
          <w:rFonts w:hint="eastAsia" w:ascii="仿宋_GB2312" w:eastAsia="仿宋_GB2312"/>
          <w:color w:val="auto"/>
          <w:sz w:val="32"/>
          <w:szCs w:val="32"/>
          <w:highlight w:val="none"/>
          <w:lang w:val="zh-CN"/>
        </w:rPr>
        <w:t>137.35</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both"/>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b/>
          <w:bCs/>
          <w:color w:val="auto"/>
          <w:sz w:val="32"/>
          <w:szCs w:val="32"/>
          <w:highlight w:val="none"/>
          <w:lang w:val="zh-CN" w:eastAsia="zh-CN"/>
        </w:rPr>
        <w:t>本年支出137.35万元</w:t>
      </w:r>
      <w:r>
        <w:rPr>
          <w:rFonts w:hint="eastAsia" w:ascii="Times New Roman" w:hAnsi="Times New Roman" w:eastAsia="仿宋_GB2312" w:cs="仿宋_GB2312"/>
          <w:color w:val="auto"/>
          <w:sz w:val="32"/>
          <w:szCs w:val="32"/>
          <w:highlight w:val="none"/>
          <w:lang w:val="zh-CN" w:eastAsia="zh-CN"/>
        </w:rPr>
        <w:t>，其中：基本支出137.35万元，占100.00%；项目支出0.00万元，占0.00%；上缴上级支出0.00万元，占0.00%；经营支出0.00万元，占0.00%；对附属单位补助支出0.00万元，占0.00%。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2023年度财政拨款收入</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val="zh-CN" w:eastAsia="zh-CN"/>
        </w:rPr>
        <w:t>137.35</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137.35</w:t>
      </w:r>
      <w:r>
        <w:rPr>
          <w:rFonts w:hint="eastAsia" w:ascii="仿宋_GB2312" w:eastAsia="仿宋_GB2312"/>
          <w:color w:val="auto"/>
          <w:spacing w:val="0"/>
          <w:sz w:val="32"/>
          <w:szCs w:val="32"/>
          <w:highlight w:val="none"/>
          <w:lang w:eastAsia="zh-CN"/>
        </w:rPr>
        <w:t>万元。</w:t>
      </w:r>
      <w:r>
        <w:rPr>
          <w:rFonts w:hint="eastAsia" w:ascii="仿宋_GB2312" w:eastAsia="仿宋_GB2312"/>
          <w:b/>
          <w:bCs/>
          <w:color w:val="auto"/>
          <w:spacing w:val="0"/>
          <w:sz w:val="32"/>
          <w:szCs w:val="32"/>
          <w:highlight w:val="none"/>
          <w:lang w:eastAsia="zh-CN"/>
        </w:rPr>
        <w:t>财政拨款支出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val="zh-CN" w:eastAsia="zh-CN"/>
        </w:rPr>
        <w:t>137.35</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137.35</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财政拨款收入支出总体与上年相比</w:t>
      </w:r>
      <w:r>
        <w:rPr>
          <w:rFonts w:hint="eastAsia" w:ascii="仿宋_GB2312" w:eastAsia="仿宋_GB2312"/>
          <w:b/>
          <w:bCs/>
          <w:color w:val="auto"/>
          <w:spacing w:val="0"/>
          <w:sz w:val="32"/>
          <w:szCs w:val="32"/>
          <w:highlight w:val="none"/>
          <w:lang w:val="en-US" w:eastAsia="zh-CN"/>
        </w:rPr>
        <w:t>,</w:t>
      </w:r>
      <w:r>
        <w:rPr>
          <w:rFonts w:hint="eastAsia" w:ascii="仿宋_GB2312" w:eastAsia="仿宋_GB2312"/>
          <w:color w:val="auto"/>
          <w:sz w:val="32"/>
          <w:szCs w:val="32"/>
          <w:lang w:val="zh-CN" w:eastAsia="zh-CN"/>
        </w:rPr>
        <w:t>增加15.0</w:t>
      </w:r>
      <w:r>
        <w:rPr>
          <w:rFonts w:hint="eastAsia" w:ascii="仿宋_GB2312" w:eastAsia="仿宋_GB2312"/>
          <w:color w:val="auto"/>
          <w:sz w:val="32"/>
          <w:szCs w:val="32"/>
          <w:lang w:val="en-US" w:eastAsia="zh-CN"/>
        </w:rPr>
        <w:t>4</w:t>
      </w:r>
      <w:r>
        <w:rPr>
          <w:rFonts w:hint="eastAsia" w:ascii="仿宋_GB2312" w:eastAsia="仿宋_GB2312"/>
          <w:color w:val="auto"/>
          <w:sz w:val="32"/>
          <w:szCs w:val="32"/>
          <w:lang w:val="zh-CN" w:eastAsia="zh-CN"/>
        </w:rPr>
        <w:t>万元</w:t>
      </w:r>
      <w:r>
        <w:rPr>
          <w:rFonts w:hint="eastAsia" w:ascii="仿宋_GB2312" w:eastAsia="仿宋_GB2312"/>
          <w:color w:val="auto"/>
          <w:sz w:val="32"/>
          <w:szCs w:val="32"/>
          <w:lang w:val="en-US" w:eastAsia="zh-CN"/>
        </w:rPr>
        <w:t>，</w:t>
      </w:r>
      <w:r>
        <w:rPr>
          <w:rFonts w:hint="eastAsia" w:ascii="仿宋_GB2312" w:eastAsia="仿宋_GB2312"/>
          <w:color w:val="auto"/>
          <w:spacing w:val="0"/>
          <w:sz w:val="32"/>
          <w:szCs w:val="32"/>
          <w:highlight w:val="none"/>
          <w:lang w:val="zh-CN" w:eastAsia="zh-CN"/>
        </w:rPr>
        <w:t>增长12.</w:t>
      </w:r>
      <w:r>
        <w:rPr>
          <w:rFonts w:hint="eastAsia" w:ascii="仿宋_GB2312" w:eastAsia="仿宋_GB2312"/>
          <w:color w:val="auto"/>
          <w:spacing w:val="0"/>
          <w:sz w:val="32"/>
          <w:szCs w:val="32"/>
          <w:highlight w:val="none"/>
          <w:lang w:val="en-US" w:eastAsia="zh-CN"/>
        </w:rPr>
        <w:t>30</w:t>
      </w:r>
      <w:r>
        <w:rPr>
          <w:rFonts w:hint="eastAsia"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z w:val="32"/>
          <w:szCs w:val="32"/>
          <w:lang w:val="en-US" w:eastAsia="zh-CN"/>
        </w:rPr>
        <w:t>2023年</w:t>
      </w:r>
      <w:r>
        <w:rPr>
          <w:rFonts w:hint="eastAsia" w:ascii="仿宋_GB2312" w:eastAsia="仿宋_GB2312"/>
          <w:color w:val="auto"/>
          <w:sz w:val="32"/>
          <w:szCs w:val="32"/>
          <w:lang w:eastAsia="zh-CN"/>
        </w:rPr>
        <w:t>在职</w:t>
      </w:r>
      <w:r>
        <w:rPr>
          <w:rFonts w:hint="eastAsia" w:ascii="仿宋_GB2312" w:eastAsia="仿宋_GB2312"/>
          <w:color w:val="auto"/>
          <w:sz w:val="32"/>
          <w:szCs w:val="32"/>
        </w:rPr>
        <w:t>人员</w:t>
      </w:r>
      <w:r>
        <w:rPr>
          <w:rFonts w:hint="eastAsia" w:ascii="仿宋_GB2312" w:eastAsia="仿宋_GB2312"/>
          <w:color w:val="auto"/>
          <w:sz w:val="32"/>
          <w:szCs w:val="32"/>
          <w:lang w:eastAsia="zh-CN"/>
        </w:rPr>
        <w:t>社保等缴费基数增加，收入支出增加</w:t>
      </w:r>
      <w:r>
        <w:rPr>
          <w:rFonts w:hint="eastAsia" w:ascii="仿宋_GB2312" w:eastAsia="仿宋_GB2312"/>
          <w:color w:val="auto"/>
          <w:spacing w:val="0"/>
          <w:sz w:val="32"/>
          <w:szCs w:val="32"/>
          <w:highlight w:val="none"/>
          <w:lang w:eastAsia="zh-CN"/>
        </w:rPr>
        <w:t>。</w:t>
      </w: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122.12</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137.35</w:t>
      </w:r>
      <w:r>
        <w:rPr>
          <w:rFonts w:hint="eastAsia" w:ascii="仿宋_GB2312" w:eastAsia="仿宋_GB2312"/>
          <w:color w:val="auto"/>
          <w:spacing w:val="0"/>
          <w:sz w:val="32"/>
          <w:szCs w:val="32"/>
          <w:highlight w:val="none"/>
          <w:lang w:eastAsia="zh-CN"/>
        </w:rPr>
        <w:t>万元，预决算差异率12.47%，主要原因是：</w:t>
      </w:r>
      <w:r>
        <w:rPr>
          <w:rFonts w:hint="eastAsia" w:ascii="仿宋_GB2312" w:eastAsia="仿宋_GB2312"/>
          <w:color w:val="auto"/>
          <w:spacing w:val="0"/>
          <w:sz w:val="32"/>
          <w:szCs w:val="32"/>
          <w:highlight w:val="none"/>
          <w:lang w:val="en-US" w:eastAsia="zh-CN"/>
        </w:rPr>
        <w:t>2023年在职人员住房公积金、</w:t>
      </w:r>
      <w:r>
        <w:rPr>
          <w:rFonts w:hint="eastAsia" w:ascii="仿宋_GB2312" w:eastAsia="仿宋_GB2312"/>
          <w:color w:val="auto"/>
          <w:spacing w:val="0"/>
          <w:sz w:val="32"/>
          <w:szCs w:val="32"/>
          <w:highlight w:val="none"/>
          <w:lang w:eastAsia="zh-CN"/>
        </w:rPr>
        <w:t>社保缴费基数增加，</w:t>
      </w:r>
      <w:r>
        <w:rPr>
          <w:rFonts w:hint="eastAsia" w:ascii="仿宋_GB2312" w:eastAsia="仿宋_GB2312"/>
          <w:color w:val="auto"/>
          <w:sz w:val="32"/>
          <w:szCs w:val="32"/>
        </w:rPr>
        <w:t>决算数比年初预算数增加</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2023年度一般公共预算财政拨款支出137.35万元</w:t>
      </w:r>
      <w:r>
        <w:rPr>
          <w:rFonts w:hint="eastAsia" w:ascii="仿宋_GB2312" w:eastAsia="仿宋_GB2312"/>
          <w:color w:val="auto"/>
          <w:spacing w:val="0"/>
          <w:sz w:val="32"/>
          <w:szCs w:val="32"/>
          <w:highlight w:val="none"/>
          <w:lang w:eastAsia="zh-CN"/>
        </w:rPr>
        <w:t>，占本年支出合计的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w:t>
      </w:r>
      <w:r>
        <w:rPr>
          <w:rFonts w:hint="eastAsia" w:ascii="仿宋_GB2312" w:eastAsia="仿宋_GB2312"/>
          <w:b/>
          <w:bCs/>
          <w:color w:val="auto"/>
          <w:spacing w:val="0"/>
          <w:sz w:val="32"/>
          <w:szCs w:val="32"/>
          <w:highlight w:val="none"/>
          <w:lang w:eastAsia="zh-CN"/>
        </w:rPr>
        <w:t>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增加15.0</w:t>
      </w:r>
      <w:r>
        <w:rPr>
          <w:rFonts w:hint="eastAsia" w:ascii="仿宋_GB2312" w:eastAsia="仿宋_GB2312"/>
          <w:color w:val="auto"/>
          <w:spacing w:val="0"/>
          <w:sz w:val="32"/>
          <w:szCs w:val="32"/>
          <w:highlight w:val="none"/>
          <w:lang w:val="en-US" w:eastAsia="zh-CN"/>
        </w:rPr>
        <w:t>4</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增长12.</w:t>
      </w:r>
      <w:r>
        <w:rPr>
          <w:rFonts w:hint="eastAsia" w:ascii="仿宋_GB2312" w:eastAsia="仿宋_GB2312"/>
          <w:color w:val="auto"/>
          <w:spacing w:val="0"/>
          <w:sz w:val="32"/>
          <w:szCs w:val="32"/>
          <w:highlight w:val="none"/>
          <w:lang w:val="en-US" w:eastAsia="zh-CN"/>
        </w:rPr>
        <w:t>30</w:t>
      </w:r>
      <w:r>
        <w:rPr>
          <w:rFonts w:hint="eastAsia"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2023年在职人员住房公积金、</w:t>
      </w:r>
      <w:r>
        <w:rPr>
          <w:rFonts w:hint="eastAsia" w:ascii="仿宋_GB2312" w:eastAsia="仿宋_GB2312"/>
          <w:color w:val="auto"/>
          <w:spacing w:val="0"/>
          <w:sz w:val="32"/>
          <w:szCs w:val="32"/>
          <w:highlight w:val="none"/>
          <w:lang w:eastAsia="zh-CN"/>
        </w:rPr>
        <w:t>社保缴费基数增加，</w:t>
      </w:r>
      <w:r>
        <w:rPr>
          <w:rFonts w:hint="eastAsia" w:ascii="仿宋_GB2312" w:eastAsia="仿宋_GB2312"/>
          <w:color w:val="auto"/>
          <w:spacing w:val="0"/>
          <w:sz w:val="32"/>
          <w:szCs w:val="32"/>
          <w:highlight w:val="none"/>
          <w:lang w:val="en-US" w:eastAsia="zh-CN"/>
        </w:rPr>
        <w:t>经费</w:t>
      </w:r>
      <w:r>
        <w:rPr>
          <w:rFonts w:hint="eastAsia" w:ascii="仿宋_GB2312" w:eastAsia="仿宋_GB2312"/>
          <w:color w:val="auto"/>
          <w:spacing w:val="0"/>
          <w:sz w:val="32"/>
          <w:szCs w:val="32"/>
          <w:highlight w:val="none"/>
          <w:lang w:eastAsia="zh-CN"/>
        </w:rPr>
        <w:t>增加。</w:t>
      </w: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122.12</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137.35</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12.47%</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2023年在职人员住房公积金、</w:t>
      </w:r>
      <w:r>
        <w:rPr>
          <w:rFonts w:hint="eastAsia" w:ascii="仿宋_GB2312" w:eastAsia="仿宋_GB2312"/>
          <w:color w:val="auto"/>
          <w:spacing w:val="0"/>
          <w:sz w:val="32"/>
          <w:szCs w:val="32"/>
          <w:highlight w:val="none"/>
          <w:lang w:eastAsia="zh-CN"/>
        </w:rPr>
        <w:t>社保缴费基数增加，</w:t>
      </w:r>
      <w:r>
        <w:rPr>
          <w:rFonts w:hint="eastAsia" w:ascii="仿宋_GB2312" w:eastAsia="仿宋_GB2312"/>
          <w:color w:val="auto"/>
          <w:sz w:val="32"/>
          <w:szCs w:val="32"/>
        </w:rPr>
        <w:t>决算数比年初预算数增加</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116.75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85.00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11.27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8.21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黑体" w:hAnsi="黑体" w:eastAsia="黑体"/>
          <w:color w:val="auto"/>
          <w:sz w:val="32"/>
          <w:szCs w:val="32"/>
          <w:highlight w:val="none"/>
          <w:lang w:eastAsia="zh-CN"/>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9.33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6.79</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1.卫生健康支出（类）行政事业单位医疗（款）事业单位医疗（项）:支出决算数为5.83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0.52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9.7</w:t>
      </w:r>
      <w:r>
        <w:rPr>
          <w:rFonts w:hint="eastAsia" w:eastAsia="仿宋_GB2312" w:cs="Times New Roman"/>
          <w:color w:val="auto"/>
          <w:kern w:val="2"/>
          <w:sz w:val="32"/>
          <w:szCs w:val="32"/>
          <w:highlight w:val="none"/>
          <w:lang w:val="en-US" w:eastAsia="zh-CN" w:bidi="ar-SA"/>
        </w:rPr>
        <w:t>9</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color w:val="auto"/>
          <w:sz w:val="32"/>
          <w:szCs w:val="32"/>
          <w:lang w:val="en-US" w:eastAsia="zh-CN"/>
        </w:rPr>
        <w:t>2023年</w:t>
      </w:r>
      <w:r>
        <w:rPr>
          <w:rFonts w:hint="eastAsia" w:ascii="Times New Roman" w:hAnsi="Times New Roman" w:eastAsia="仿宋_GB2312" w:cs="Times New Roman"/>
          <w:color w:val="auto"/>
          <w:kern w:val="2"/>
          <w:sz w:val="32"/>
          <w:szCs w:val="32"/>
          <w:highlight w:val="none"/>
          <w:lang w:val="en-US" w:eastAsia="zh-CN" w:bidi="ar-SA"/>
        </w:rPr>
        <w:t>事业单位医疗</w:t>
      </w:r>
      <w:r>
        <w:rPr>
          <w:rFonts w:hint="eastAsia" w:ascii="仿宋_GB2312" w:eastAsia="仿宋_GB2312"/>
          <w:color w:val="auto"/>
          <w:sz w:val="32"/>
          <w:szCs w:val="32"/>
          <w:lang w:eastAsia="zh-CN"/>
        </w:rPr>
        <w:t>缴费基数增加，支出增加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2.卫生健康支出（类）行政事业单位医疗（款）公务员医疗补助（项）:支出决算数为5.44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1.31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31.</w:t>
      </w:r>
      <w:r>
        <w:rPr>
          <w:rFonts w:hint="eastAsia" w:eastAsia="仿宋_GB2312" w:cs="Times New Roman"/>
          <w:color w:val="auto"/>
          <w:kern w:val="2"/>
          <w:sz w:val="32"/>
          <w:szCs w:val="32"/>
          <w:highlight w:val="none"/>
          <w:lang w:val="en-US" w:eastAsia="zh-CN" w:bidi="ar-SA"/>
        </w:rPr>
        <w:t>72</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color w:val="auto"/>
          <w:sz w:val="32"/>
          <w:szCs w:val="32"/>
          <w:lang w:val="en-US" w:eastAsia="zh-CN"/>
        </w:rPr>
        <w:t>2023年</w:t>
      </w:r>
      <w:r>
        <w:rPr>
          <w:rFonts w:hint="eastAsia" w:ascii="Times New Roman" w:hAnsi="Times New Roman" w:eastAsia="仿宋_GB2312" w:cs="Times New Roman"/>
          <w:color w:val="auto"/>
          <w:kern w:val="2"/>
          <w:sz w:val="32"/>
          <w:szCs w:val="32"/>
          <w:highlight w:val="none"/>
          <w:lang w:val="en-US" w:eastAsia="zh-CN" w:bidi="ar-SA"/>
        </w:rPr>
        <w:t>公务员医疗补助</w:t>
      </w:r>
      <w:r>
        <w:rPr>
          <w:rFonts w:hint="eastAsia" w:ascii="仿宋_GB2312" w:eastAsia="仿宋_GB2312"/>
          <w:color w:val="auto"/>
          <w:sz w:val="32"/>
          <w:szCs w:val="32"/>
          <w:lang w:eastAsia="zh-CN"/>
        </w:rPr>
        <w:t>缴费基数增加，支出增加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3.住房保障支出（类）住房改革支出（款）住房公积金（项）:支出决算数为9.33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1.98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26.9</w:t>
      </w:r>
      <w:r>
        <w:rPr>
          <w:rFonts w:hint="eastAsia" w:eastAsia="仿宋_GB2312" w:cs="Times New Roman"/>
          <w:color w:val="auto"/>
          <w:kern w:val="2"/>
          <w:sz w:val="32"/>
          <w:szCs w:val="32"/>
          <w:highlight w:val="none"/>
          <w:lang w:val="en-US" w:eastAsia="zh-CN" w:bidi="ar-SA"/>
        </w:rPr>
        <w:t>4</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color w:val="auto"/>
          <w:sz w:val="32"/>
          <w:szCs w:val="32"/>
          <w:lang w:val="en-US" w:eastAsia="zh-CN"/>
        </w:rPr>
        <w:t>2023年</w:t>
      </w:r>
      <w:r>
        <w:rPr>
          <w:rFonts w:hint="eastAsia" w:ascii="Times New Roman" w:hAnsi="Times New Roman" w:eastAsia="仿宋_GB2312" w:cs="Times New Roman"/>
          <w:color w:val="auto"/>
          <w:kern w:val="2"/>
          <w:sz w:val="32"/>
          <w:szCs w:val="32"/>
          <w:highlight w:val="none"/>
          <w:lang w:val="en-US" w:eastAsia="zh-CN" w:bidi="ar-SA"/>
        </w:rPr>
        <w:t>住房公积金</w:t>
      </w:r>
      <w:r>
        <w:rPr>
          <w:rFonts w:hint="eastAsia" w:ascii="仿宋_GB2312" w:eastAsia="仿宋_GB2312"/>
          <w:color w:val="auto"/>
          <w:sz w:val="32"/>
          <w:szCs w:val="32"/>
          <w:lang w:eastAsia="zh-CN"/>
        </w:rPr>
        <w:t>缴费基数增加，导致支出增加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4.社会保障和就业支出（类）民政管理事务（款）其他民政管理事务支出（项）:支出决算数为104.31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10.90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11.67%，主要原因是：2023年</w:t>
      </w:r>
      <w:r>
        <w:rPr>
          <w:rFonts w:hint="eastAsia" w:eastAsia="仿宋_GB2312" w:cs="Times New Roman"/>
          <w:color w:val="auto"/>
          <w:kern w:val="2"/>
          <w:sz w:val="32"/>
          <w:szCs w:val="32"/>
          <w:highlight w:val="none"/>
          <w:lang w:val="en-US" w:eastAsia="zh-CN" w:bidi="ar-SA"/>
        </w:rPr>
        <w:t>人员职级调整</w:t>
      </w:r>
      <w:r>
        <w:rPr>
          <w:rFonts w:hint="eastAsia" w:ascii="Times New Roman" w:hAnsi="Times New Roman" w:eastAsia="仿宋_GB2312" w:cs="Times New Roman"/>
          <w:color w:val="auto"/>
          <w:kern w:val="2"/>
          <w:sz w:val="32"/>
          <w:szCs w:val="32"/>
          <w:highlight w:val="none"/>
          <w:lang w:val="en-US" w:eastAsia="zh-CN" w:bidi="ar-SA"/>
        </w:rPr>
        <w:t>，支出增加</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5.社会保障和就业支出（类）行政事业单位养老支出（款）机关事业单位基本养老保险缴费支出（项）:支出决算数为12.44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2.6</w:t>
      </w:r>
      <w:r>
        <w:rPr>
          <w:rFonts w:hint="eastAsia" w:eastAsia="仿宋_GB2312" w:cs="Times New Roman"/>
          <w:color w:val="auto"/>
          <w:kern w:val="2"/>
          <w:sz w:val="32"/>
          <w:szCs w:val="32"/>
          <w:highlight w:val="none"/>
          <w:lang w:val="en-US" w:eastAsia="zh-CN" w:bidi="ar-SA"/>
        </w:rPr>
        <w:t>5万元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w:t>
      </w:r>
      <w:r>
        <w:rPr>
          <w:rFonts w:hint="eastAsia" w:eastAsia="仿宋_GB2312" w:cs="Times New Roman"/>
          <w:color w:val="auto"/>
          <w:kern w:val="2"/>
          <w:sz w:val="32"/>
          <w:szCs w:val="32"/>
          <w:highlight w:val="none"/>
          <w:lang w:val="en-US" w:eastAsia="zh-CN" w:bidi="ar-SA"/>
        </w:rPr>
        <w:t>7.07</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color w:val="auto"/>
          <w:sz w:val="32"/>
          <w:szCs w:val="32"/>
          <w:lang w:val="en-US" w:eastAsia="zh-CN"/>
        </w:rPr>
        <w:t>2023年</w:t>
      </w:r>
      <w:r>
        <w:rPr>
          <w:rFonts w:hint="eastAsia" w:ascii="Times New Roman" w:hAnsi="Times New Roman" w:eastAsia="仿宋_GB2312" w:cs="Times New Roman"/>
          <w:color w:val="auto"/>
          <w:kern w:val="2"/>
          <w:sz w:val="32"/>
          <w:szCs w:val="32"/>
          <w:highlight w:val="none"/>
          <w:lang w:val="en-US" w:eastAsia="zh-CN" w:bidi="ar-SA"/>
        </w:rPr>
        <w:t>机关事业单位基本养老保险</w:t>
      </w:r>
      <w:r>
        <w:rPr>
          <w:rFonts w:hint="eastAsia" w:ascii="仿宋_GB2312" w:eastAsia="仿宋_GB2312"/>
          <w:color w:val="auto"/>
          <w:sz w:val="32"/>
          <w:szCs w:val="32"/>
          <w:lang w:eastAsia="zh-CN"/>
        </w:rPr>
        <w:t>缴费基数增加，支出增加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6.社会保障和就业支出（类）行政事业单位养老支出（款）事业单位离退休（项）:支出决算数为0.00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1.77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预算科目调整，</w:t>
      </w:r>
      <w:r>
        <w:rPr>
          <w:rFonts w:hint="eastAsia" w:ascii="仿宋_GB2312" w:eastAsia="仿宋_GB2312"/>
          <w:color w:val="auto"/>
          <w:sz w:val="32"/>
          <w:szCs w:val="32"/>
          <w:lang w:val="en-US" w:eastAsia="zh-CN"/>
        </w:rPr>
        <w:t>2023年没有</w:t>
      </w:r>
      <w:r>
        <w:rPr>
          <w:rFonts w:hint="eastAsia" w:ascii="Times New Roman" w:hAnsi="Times New Roman" w:eastAsia="仿宋_GB2312" w:cs="Times New Roman"/>
          <w:color w:val="auto"/>
          <w:kern w:val="2"/>
          <w:sz w:val="32"/>
          <w:szCs w:val="32"/>
          <w:highlight w:val="none"/>
          <w:lang w:val="en-US" w:eastAsia="zh-CN" w:bidi="ar-SA"/>
        </w:rPr>
        <w:t>事业单位离退休</w:t>
      </w:r>
      <w:r>
        <w:rPr>
          <w:rFonts w:hint="eastAsia" w:ascii="仿宋_GB2312" w:eastAsia="仿宋_GB2312"/>
          <w:color w:val="auto"/>
          <w:sz w:val="32"/>
          <w:szCs w:val="32"/>
          <w:lang w:val="en-US" w:eastAsia="zh-CN"/>
        </w:rPr>
        <w:t>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0.54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ascii="仿宋_GB2312" w:eastAsia="仿宋_GB2312"/>
          <w:color w:val="auto"/>
          <w:sz w:val="32"/>
          <w:szCs w:val="32"/>
        </w:rPr>
        <w:t>2022年单位收到财政拨付辞职人员职业年金，</w:t>
      </w:r>
      <w:r>
        <w:rPr>
          <w:rFonts w:hint="default" w:ascii="仿宋_GB2312" w:eastAsia="仿宋_GB2312"/>
          <w:color w:val="auto"/>
          <w:sz w:val="32"/>
          <w:szCs w:val="32"/>
          <w:lang w:val="en-US"/>
        </w:rPr>
        <w:t>2023</w:t>
      </w:r>
      <w:r>
        <w:rPr>
          <w:rFonts w:hint="eastAsia" w:ascii="仿宋_GB2312" w:eastAsia="仿宋_GB2312"/>
          <w:color w:val="auto"/>
          <w:sz w:val="32"/>
          <w:szCs w:val="32"/>
        </w:rPr>
        <w:t>年</w:t>
      </w:r>
      <w:r>
        <w:rPr>
          <w:rFonts w:hint="eastAsia" w:ascii="仿宋_GB2312" w:eastAsia="仿宋_GB2312"/>
          <w:color w:val="auto"/>
          <w:sz w:val="32"/>
          <w:szCs w:val="32"/>
          <w:lang w:eastAsia="zh-CN"/>
        </w:rPr>
        <w:t>无</w:t>
      </w:r>
      <w:r>
        <w:rPr>
          <w:rFonts w:hint="eastAsia" w:ascii="仿宋_GB2312" w:eastAsia="仿宋_GB2312"/>
          <w:color w:val="auto"/>
          <w:sz w:val="32"/>
          <w:szCs w:val="32"/>
        </w:rPr>
        <w:t>机关事业单位职业年金缴费支出</w:t>
      </w:r>
      <w:r>
        <w:rPr>
          <w:rFonts w:hint="eastAsia" w:ascii="仿宋_GB2312" w:eastAsia="仿宋_GB2312"/>
          <w:color w:val="auto"/>
          <w:sz w:val="32"/>
          <w:szCs w:val="32"/>
          <w:lang w:eastAsia="zh-CN"/>
        </w:rPr>
        <w:t>，支出减少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137.35</w:t>
      </w:r>
      <w:r>
        <w:rPr>
          <w:rFonts w:hint="eastAsia" w:ascii="仿宋_GB2312" w:eastAsia="仿宋_GB2312"/>
          <w:color w:val="auto"/>
          <w:sz w:val="32"/>
          <w:szCs w:val="32"/>
          <w:highlight w:val="none"/>
        </w:rPr>
        <w:t>万元，其中：</w:t>
      </w:r>
      <w:r>
        <w:rPr>
          <w:rFonts w:hint="eastAsia" w:ascii="仿宋_GB2312" w:eastAsia="仿宋_GB2312"/>
          <w:b/>
          <w:bCs/>
          <w:color w:val="auto"/>
          <w:sz w:val="32"/>
          <w:szCs w:val="32"/>
          <w:highlight w:val="none"/>
        </w:rPr>
        <w:t>人员经费</w:t>
      </w:r>
      <w:r>
        <w:rPr>
          <w:rFonts w:hint="eastAsia" w:ascii="仿宋_GB2312" w:eastAsia="仿宋_GB2312"/>
          <w:b/>
          <w:bCs/>
          <w:color w:val="auto"/>
          <w:sz w:val="32"/>
          <w:szCs w:val="32"/>
          <w:highlight w:val="none"/>
          <w:lang w:eastAsia="zh-CN"/>
        </w:rPr>
        <w:t>131.35</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基本工资、津贴补贴、奖金、绩效工资、机关事业单位基本养老保险缴费、职工基本医疗保险缴费、公务员医疗补助缴费、其他社会保障缴费、住房公积金、其他工资福利支出。</w:t>
      </w:r>
    </w:p>
    <w:p>
      <w:pPr>
        <w:keepNext w:val="0"/>
        <w:keepLines w:val="0"/>
        <w:pageBreakBefore w:val="0"/>
        <w:widowControl w:val="0"/>
        <w:kinsoku/>
        <w:wordWrap/>
        <w:overflowPunct/>
        <w:topLinePunct w:val="0"/>
        <w:bidi w:val="0"/>
        <w:adjustRightInd/>
        <w:snapToGrid/>
        <w:spacing w:line="240" w:lineRule="auto"/>
        <w:ind w:firstLine="642" w:firstLineChars="200"/>
        <w:jc w:val="left"/>
        <w:textAlignment w:val="auto"/>
        <w:rPr>
          <w:rFonts w:hint="eastAsia" w:ascii="黑体" w:hAnsi="黑体" w:eastAsia="黑体" w:cs="宋体"/>
          <w:bCs/>
          <w:color w:val="auto"/>
          <w:kern w:val="0"/>
          <w:sz w:val="32"/>
          <w:szCs w:val="32"/>
          <w:highlight w:val="none"/>
          <w:lang w:val="en-US" w:eastAsia="zh-CN"/>
        </w:rPr>
      </w:pPr>
      <w:r>
        <w:rPr>
          <w:rFonts w:hint="eastAsia" w:ascii="仿宋_GB2312" w:eastAsia="仿宋_GB2312"/>
          <w:b/>
          <w:bCs/>
          <w:color w:val="auto"/>
          <w:sz w:val="32"/>
          <w:szCs w:val="32"/>
          <w:highlight w:val="none"/>
        </w:rPr>
        <w:t>公用经费</w:t>
      </w:r>
      <w:r>
        <w:rPr>
          <w:rFonts w:hint="eastAsia" w:ascii="仿宋_GB2312" w:eastAsia="仿宋_GB2312"/>
          <w:b/>
          <w:bCs/>
          <w:color w:val="auto"/>
          <w:sz w:val="32"/>
          <w:szCs w:val="32"/>
          <w:highlight w:val="none"/>
          <w:lang w:eastAsia="zh-CN"/>
        </w:rPr>
        <w:t>6.00</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办公费、邮电费、差旅费、工会经费、福利费。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2"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2023年度</w:t>
      </w:r>
      <w:r>
        <w:rPr>
          <w:rFonts w:hint="eastAsia" w:ascii="仿宋_GB2312" w:eastAsia="仿宋_GB2312"/>
          <w:b/>
          <w:bCs/>
          <w:color w:val="auto"/>
          <w:sz w:val="32"/>
          <w:szCs w:val="32"/>
          <w:highlight w:val="none"/>
          <w:lang w:val="en-US" w:eastAsia="zh-CN"/>
        </w:rPr>
        <w:t>财政拨款</w:t>
      </w:r>
      <w:r>
        <w:rPr>
          <w:rFonts w:hint="eastAsia" w:ascii="仿宋_GB2312" w:eastAsia="仿宋_GB2312"/>
          <w:b/>
          <w:bCs/>
          <w:color w:val="auto"/>
          <w:sz w:val="32"/>
          <w:szCs w:val="32"/>
          <w:highlight w:val="none"/>
          <w:lang w:val="zh-CN" w:eastAsia="zh-CN"/>
        </w:rPr>
        <w:t>“三公”经费支出0.00万元</w:t>
      </w:r>
      <w:r>
        <w:rPr>
          <w:rFonts w:hint="eastAsia"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hint="eastAsia" w:ascii="仿宋_GB2312" w:eastAsia="仿宋_GB2312"/>
          <w:color w:val="auto"/>
          <w:sz w:val="32"/>
          <w:szCs w:val="32"/>
          <w:lang w:val="en-US" w:eastAsia="zh-CN"/>
        </w:rPr>
        <w:t>2023年无</w:t>
      </w:r>
      <w:r>
        <w:rPr>
          <w:rFonts w:hint="eastAsia" w:ascii="仿宋_GB2312" w:eastAsia="仿宋_GB2312"/>
          <w:color w:val="auto"/>
          <w:sz w:val="32"/>
          <w:szCs w:val="32"/>
        </w:rPr>
        <w:t>财政拨款</w:t>
      </w:r>
      <w:r>
        <w:rPr>
          <w:rFonts w:ascii="仿宋_GB2312" w:eastAsia="仿宋_GB2312"/>
          <w:color w:val="auto"/>
          <w:sz w:val="32"/>
          <w:szCs w:val="32"/>
        </w:rPr>
        <w:t>“三公”经费支出</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hint="eastAsia" w:ascii="仿宋_GB2312" w:eastAsia="仿宋_GB2312"/>
          <w:color w:val="auto"/>
          <w:sz w:val="32"/>
          <w:szCs w:val="32"/>
          <w:lang w:val="en-US" w:eastAsia="zh-CN"/>
        </w:rPr>
        <w:t>2023年</w:t>
      </w:r>
      <w:r>
        <w:rPr>
          <w:rFonts w:ascii="仿宋_GB2312" w:eastAsia="仿宋_GB2312"/>
          <w:color w:val="auto"/>
          <w:sz w:val="32"/>
          <w:szCs w:val="32"/>
        </w:rPr>
        <w:t>无因公出国（境）</w:t>
      </w:r>
      <w:r>
        <w:rPr>
          <w:rFonts w:hint="eastAsia" w:ascii="仿宋_GB2312" w:eastAsia="仿宋_GB2312"/>
          <w:color w:val="auto"/>
          <w:sz w:val="32"/>
          <w:szCs w:val="32"/>
          <w:highlight w:val="none"/>
          <w:lang w:val="zh-CN" w:eastAsia="zh-CN"/>
        </w:rPr>
        <w:t>费支出；公务用车购置及运行维护费支出0.00万元，占0.00%，比上年增加0.00万元，增长0.00%，主要原因是：</w:t>
      </w:r>
      <w:r>
        <w:rPr>
          <w:rFonts w:hint="eastAsia" w:ascii="仿宋_GB2312" w:eastAsia="仿宋_GB2312"/>
          <w:color w:val="auto"/>
          <w:sz w:val="32"/>
          <w:szCs w:val="32"/>
          <w:lang w:val="en-US" w:eastAsia="zh-CN"/>
        </w:rPr>
        <w:t>2023年</w:t>
      </w:r>
      <w:r>
        <w:rPr>
          <w:rFonts w:ascii="仿宋_GB2312" w:eastAsia="仿宋_GB2312"/>
          <w:color w:val="auto"/>
          <w:sz w:val="32"/>
          <w:szCs w:val="32"/>
        </w:rPr>
        <w:t>无公务用车购置及运行维护</w:t>
      </w:r>
      <w:r>
        <w:rPr>
          <w:rFonts w:hint="eastAsia" w:ascii="仿宋_GB2312" w:eastAsia="仿宋_GB2312"/>
          <w:color w:val="auto"/>
          <w:sz w:val="32"/>
          <w:szCs w:val="32"/>
          <w:highlight w:val="none"/>
          <w:lang w:val="zh-CN" w:eastAsia="zh-CN"/>
        </w:rPr>
        <w:t>费支出；公务接待费支出0.00万元，占0.00%，比上年增加0.00万元，增长0.00%，主要原因是：</w:t>
      </w:r>
      <w:r>
        <w:rPr>
          <w:rFonts w:hint="eastAsia" w:ascii="仿宋_GB2312" w:eastAsia="仿宋_GB2312"/>
          <w:color w:val="auto"/>
          <w:sz w:val="32"/>
          <w:szCs w:val="32"/>
          <w:lang w:val="en-US" w:eastAsia="zh-CN"/>
        </w:rPr>
        <w:t>2023年</w:t>
      </w:r>
      <w:r>
        <w:rPr>
          <w:rFonts w:ascii="仿宋_GB2312" w:eastAsia="仿宋_GB2312"/>
          <w:color w:val="auto"/>
          <w:sz w:val="32"/>
          <w:szCs w:val="32"/>
        </w:rPr>
        <w:t>无公务接待</w:t>
      </w:r>
      <w:r>
        <w:rPr>
          <w:rFonts w:hint="eastAsia" w:ascii="仿宋_GB2312" w:eastAsia="仿宋_GB2312"/>
          <w:color w:val="auto"/>
          <w:sz w:val="32"/>
          <w:szCs w:val="32"/>
          <w:highlight w:val="none"/>
          <w:lang w:val="zh-CN" w:eastAsia="zh-CN"/>
        </w:rPr>
        <w:t>费支出。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eastAsia="仿宋_GB2312"/>
          <w:color w:val="auto"/>
          <w:sz w:val="32"/>
          <w:szCs w:val="32"/>
          <w:lang w:val="en-US" w:eastAsia="zh-CN"/>
        </w:rPr>
      </w:pPr>
      <w:r>
        <w:rPr>
          <w:rFonts w:hint="eastAsia" w:ascii="仿宋_GB2312" w:eastAsia="仿宋_GB2312"/>
          <w:color w:val="auto"/>
          <w:sz w:val="32"/>
          <w:szCs w:val="32"/>
          <w:lang w:val="zh-CN" w:eastAsia="zh-CN"/>
        </w:rPr>
        <w:t>因公出国（境）费支出0.00万元，开支内容包括我单位</w:t>
      </w:r>
      <w:r>
        <w:rPr>
          <w:rFonts w:hint="eastAsia" w:ascii="仿宋_GB2312" w:eastAsia="仿宋_GB2312"/>
          <w:color w:val="auto"/>
          <w:sz w:val="32"/>
          <w:szCs w:val="32"/>
          <w:lang w:val="en-US" w:eastAsia="zh-CN"/>
        </w:rPr>
        <w:t>无</w:t>
      </w:r>
      <w:r>
        <w:rPr>
          <w:rFonts w:hint="eastAsia" w:ascii="仿宋_GB2312" w:eastAsia="仿宋_GB2312"/>
          <w:color w:val="auto"/>
          <w:sz w:val="32"/>
          <w:szCs w:val="32"/>
          <w:lang w:val="zh-CN" w:eastAsia="zh-CN"/>
        </w:rPr>
        <w:t>因公出国（境）。单位全年安排的因公出国（境）团组</w:t>
      </w:r>
      <w:r>
        <w:rPr>
          <w:rFonts w:hint="eastAsia" w:ascii="仿宋_GB2312" w:eastAsia="仿宋_GB2312"/>
          <w:color w:val="auto"/>
          <w:sz w:val="32"/>
          <w:szCs w:val="32"/>
          <w:lang w:val="en-US" w:eastAsia="zh-CN"/>
        </w:rPr>
        <w:t>0个，</w:t>
      </w:r>
      <w:r>
        <w:rPr>
          <w:rFonts w:hint="eastAsia" w:ascii="仿宋_GB2312" w:eastAsia="仿宋_GB2312"/>
          <w:color w:val="auto"/>
          <w:sz w:val="32"/>
          <w:szCs w:val="32"/>
          <w:lang w:val="zh-CN" w:eastAsia="zh-CN"/>
        </w:rPr>
        <w:t>因公出国（境）</w:t>
      </w:r>
      <w:r>
        <w:rPr>
          <w:rFonts w:hint="eastAsia" w:ascii="仿宋_GB2312" w:eastAsia="仿宋_GB2312"/>
          <w:color w:val="auto"/>
          <w:sz w:val="32"/>
          <w:szCs w:val="32"/>
          <w:lang w:val="en-US" w:eastAsia="zh-CN"/>
        </w:rPr>
        <w:t>0</w:t>
      </w:r>
      <w:r>
        <w:rPr>
          <w:rFonts w:hint="eastAsia" w:ascii="仿宋_GB2312" w:eastAsia="仿宋_GB2312"/>
          <w:color w:val="auto"/>
          <w:sz w:val="32"/>
          <w:szCs w:val="32"/>
          <w:lang w:val="zh-CN" w:eastAsia="zh-CN"/>
        </w:rPr>
        <w:t>人次</w:t>
      </w:r>
      <w:r>
        <w:rPr>
          <w:rFonts w:hint="eastAsia" w:ascii="仿宋_GB2312" w:eastAsia="仿宋_GB2312"/>
          <w:color w:val="auto"/>
          <w:sz w:val="32"/>
          <w:szCs w:val="32"/>
          <w:lang w:val="en-US"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我单位无公务用车运行维护。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原因是：公务用车保有量与</w:t>
      </w:r>
      <w:r>
        <w:rPr>
          <w:rFonts w:hint="eastAsia" w:ascii="仿宋_GB2312" w:eastAsia="仿宋_GB2312"/>
          <w:color w:val="auto"/>
          <w:sz w:val="32"/>
          <w:szCs w:val="32"/>
          <w:highlight w:val="none"/>
          <w:lang w:val="en-US" w:eastAsia="zh-CN"/>
        </w:rPr>
        <w:t>固定资产车辆数据一致，</w:t>
      </w:r>
      <w:r>
        <w:rPr>
          <w:rFonts w:hint="eastAsia" w:ascii="仿宋_GB2312" w:eastAsia="仿宋_GB2312"/>
          <w:color w:val="auto"/>
          <w:sz w:val="32"/>
          <w:szCs w:val="32"/>
          <w:highlight w:val="none"/>
          <w:lang w:val="zh-CN" w:eastAsia="zh-CN"/>
        </w:rPr>
        <w:t>不存在差异。</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w:t>
      </w:r>
      <w:r>
        <w:rPr>
          <w:rFonts w:hint="eastAsia" w:ascii="仿宋_GB2312" w:eastAsia="仿宋_GB2312"/>
          <w:color w:val="auto"/>
          <w:sz w:val="32"/>
          <w:szCs w:val="32"/>
          <w:lang w:val="zh-CN" w:eastAsia="zh-CN"/>
        </w:rPr>
        <w:t>开支内容包括我单位</w:t>
      </w:r>
      <w:r>
        <w:rPr>
          <w:rFonts w:hint="eastAsia" w:ascii="仿宋_GB2312" w:eastAsia="仿宋_GB2312"/>
          <w:color w:val="auto"/>
          <w:sz w:val="32"/>
          <w:szCs w:val="32"/>
          <w:lang w:val="en-US" w:eastAsia="zh-CN"/>
        </w:rPr>
        <w:t>无</w:t>
      </w:r>
      <w:r>
        <w:rPr>
          <w:rFonts w:hint="eastAsia" w:ascii="仿宋_GB2312" w:eastAsia="仿宋_GB2312"/>
          <w:color w:val="auto"/>
          <w:sz w:val="32"/>
          <w:szCs w:val="32"/>
          <w:highlight w:val="none"/>
          <w:lang w:val="zh-CN" w:eastAsia="zh-CN"/>
        </w:rPr>
        <w:t>公务接待</w:t>
      </w:r>
      <w:r>
        <w:rPr>
          <w:rFonts w:hint="eastAsia" w:ascii="仿宋_GB2312" w:eastAsia="仿宋_GB2312"/>
          <w:color w:val="auto"/>
          <w:sz w:val="32"/>
          <w:szCs w:val="32"/>
          <w:lang w:val="zh-CN" w:eastAsia="zh-CN"/>
        </w:rPr>
        <w:t>。单位全年安排的国内</w:t>
      </w:r>
      <w:r>
        <w:rPr>
          <w:rFonts w:hint="eastAsia" w:ascii="仿宋_GB2312" w:eastAsia="仿宋_GB2312"/>
          <w:color w:val="auto"/>
          <w:sz w:val="32"/>
          <w:szCs w:val="32"/>
          <w:highlight w:val="none"/>
          <w:lang w:val="zh-CN" w:eastAsia="zh-CN"/>
        </w:rPr>
        <w:t>公务接待</w:t>
      </w:r>
      <w:r>
        <w:rPr>
          <w:rFonts w:hint="eastAsia" w:ascii="仿宋_GB2312" w:eastAsia="仿宋_GB2312"/>
          <w:color w:val="auto"/>
          <w:sz w:val="32"/>
          <w:szCs w:val="32"/>
          <w:lang w:val="en-US" w:eastAsia="zh-CN"/>
        </w:rPr>
        <w:t>0批次，0</w:t>
      </w:r>
      <w:r>
        <w:rPr>
          <w:rFonts w:hint="eastAsia" w:ascii="仿宋_GB2312" w:eastAsia="仿宋_GB2312"/>
          <w:color w:val="auto"/>
          <w:sz w:val="32"/>
          <w:szCs w:val="32"/>
          <w:lang w:val="zh-CN" w:eastAsia="zh-CN"/>
        </w:rPr>
        <w:t>人次</w:t>
      </w:r>
      <w:r>
        <w:rPr>
          <w:rFonts w:hint="eastAsia" w:ascii="仿宋_GB2312" w:eastAsia="仿宋_GB2312"/>
          <w:color w:val="auto"/>
          <w:sz w:val="32"/>
          <w:szCs w:val="32"/>
          <w:lang w:val="en-US" w:eastAsia="zh-CN"/>
        </w:rPr>
        <w:t>。</w:t>
      </w:r>
    </w:p>
    <w:p>
      <w:pPr>
        <w:keepNext w:val="0"/>
        <w:keepLines w:val="0"/>
        <w:pageBreakBefore w:val="0"/>
        <w:widowControl w:val="0"/>
        <w:kinsoku/>
        <w:wordWrap/>
        <w:overflowPunct/>
        <w:topLinePunct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与</w:t>
      </w:r>
      <w:r>
        <w:rPr>
          <w:rFonts w:hint="eastAsia" w:ascii="仿宋_GB2312" w:eastAsia="仿宋_GB2312"/>
          <w:b/>
          <w:bCs/>
          <w:color w:val="auto"/>
          <w:sz w:val="32"/>
          <w:szCs w:val="32"/>
          <w:highlight w:val="none"/>
          <w:lang w:val="en-US" w:eastAsia="zh-CN"/>
        </w:rPr>
        <w:t>全年</w:t>
      </w:r>
      <w:r>
        <w:rPr>
          <w:rFonts w:hint="eastAsia" w:ascii="仿宋_GB2312" w:eastAsia="仿宋_GB2312"/>
          <w:b/>
          <w:bCs/>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lang w:val="en-US" w:eastAsia="zh-CN"/>
        </w:rPr>
        <w:t>2023年无</w:t>
      </w:r>
      <w:r>
        <w:rPr>
          <w:rFonts w:hint="eastAsia" w:ascii="仿宋_GB2312" w:eastAsia="仿宋_GB2312"/>
          <w:color w:val="auto"/>
          <w:sz w:val="32"/>
          <w:szCs w:val="32"/>
        </w:rPr>
        <w:t>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lang w:val="en-US" w:eastAsia="zh-CN"/>
        </w:rPr>
        <w:t>2023年无</w:t>
      </w:r>
      <w:r>
        <w:rPr>
          <w:rFonts w:hint="eastAsia" w:ascii="仿宋_GB2312" w:eastAsia="仿宋_GB2312"/>
          <w:color w:val="auto"/>
          <w:sz w:val="32"/>
          <w:szCs w:val="32"/>
        </w:rPr>
        <w:t>财政拨款因公出国（境）费支出</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lang w:val="en-US" w:eastAsia="zh-CN"/>
        </w:rPr>
        <w:t>2023年无</w:t>
      </w:r>
      <w:r>
        <w:rPr>
          <w:rFonts w:hint="eastAsia" w:ascii="仿宋_GB2312" w:eastAsia="仿宋_GB2312"/>
          <w:color w:val="auto"/>
          <w:sz w:val="32"/>
          <w:szCs w:val="32"/>
        </w:rPr>
        <w:t>财政拨款公务用车购置费支出</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lang w:val="en-US" w:eastAsia="zh-CN"/>
        </w:rPr>
        <w:t>2023年无</w:t>
      </w:r>
      <w:r>
        <w:rPr>
          <w:rFonts w:hint="eastAsia" w:ascii="仿宋_GB2312" w:eastAsia="仿宋_GB2312"/>
          <w:color w:val="auto"/>
          <w:sz w:val="32"/>
          <w:szCs w:val="32"/>
        </w:rPr>
        <w:t>财政拨款公务用车运行维护费支出</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lang w:val="en-US" w:eastAsia="zh-CN"/>
        </w:rPr>
        <w:t>2023年无</w:t>
      </w:r>
      <w:r>
        <w:rPr>
          <w:rFonts w:hint="eastAsia" w:ascii="仿宋_GB2312" w:eastAsia="仿宋_GB2312"/>
          <w:color w:val="auto"/>
          <w:sz w:val="32"/>
          <w:szCs w:val="32"/>
        </w:rPr>
        <w:t>财政拨款公务接待费支出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val="en-US"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bookmarkStart w:id="20" w:name="_Toc7314"/>
      <w:bookmarkStart w:id="21" w:name="_Toc12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jc w:val="both"/>
        <w:rPr>
          <w:rFonts w:hint="eastAsia" w:ascii="Times New Roman" w:hAnsi="Times New Roman" w:eastAsia="仿宋_GB2312" w:cs="Times New Roman"/>
          <w:color w:val="auto"/>
          <w:sz w:val="32"/>
          <w:szCs w:val="32"/>
          <w:highlight w:val="none"/>
          <w:lang w:val="zh-CN"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新疆维吾尔自治区民政事业规划发展中心</w:t>
      </w:r>
      <w:r>
        <w:rPr>
          <w:rFonts w:hint="eastAsia" w:ascii="Times New Roman" w:hAnsi="Times New Roman" w:eastAsia="仿宋_GB2312" w:cs="Times New Roman"/>
          <w:color w:val="auto"/>
          <w:sz w:val="32"/>
          <w:szCs w:val="32"/>
          <w:highlight w:val="none"/>
          <w:lang w:val="zh-CN" w:eastAsia="zh-CN"/>
        </w:rPr>
        <w:t>（事业单位）公用经费支出6.00万元，比上年增加3.44万元，增长134.</w:t>
      </w:r>
      <w:r>
        <w:rPr>
          <w:rFonts w:hint="eastAsia" w:eastAsia="仿宋_GB2312" w:cs="Times New Roman"/>
          <w:color w:val="auto"/>
          <w:sz w:val="32"/>
          <w:szCs w:val="32"/>
          <w:highlight w:val="none"/>
          <w:lang w:val="en-US" w:eastAsia="zh-CN"/>
        </w:rPr>
        <w:t>38</w:t>
      </w:r>
      <w:r>
        <w:rPr>
          <w:rFonts w:hint="eastAsia" w:ascii="Times New Roman" w:hAnsi="Times New Roman" w:eastAsia="仿宋_GB2312" w:cs="Times New Roman"/>
          <w:color w:val="auto"/>
          <w:sz w:val="32"/>
          <w:szCs w:val="32"/>
          <w:highlight w:val="none"/>
          <w:lang w:val="zh-CN" w:eastAsia="zh-CN"/>
        </w:rPr>
        <w:t>%，主要原因是：</w:t>
      </w:r>
      <w:r>
        <w:rPr>
          <w:rFonts w:hint="eastAsia" w:eastAsia="仿宋_GB2312" w:cs="Times New Roman"/>
          <w:color w:val="auto"/>
          <w:sz w:val="32"/>
          <w:szCs w:val="32"/>
          <w:highlight w:val="none"/>
          <w:lang w:val="en-US" w:eastAsia="zh-CN"/>
        </w:rPr>
        <w:t>2023年恢复常态化管理后，单位日常运转正常开支，</w:t>
      </w:r>
      <w:r>
        <w:rPr>
          <w:rFonts w:hint="eastAsia" w:ascii="Times New Roman" w:hAnsi="Times New Roman" w:eastAsia="仿宋_GB2312" w:cs="Times New Roman"/>
          <w:color w:val="auto"/>
          <w:sz w:val="32"/>
          <w:szCs w:val="32"/>
          <w:highlight w:val="none"/>
          <w:lang w:val="zh-CN" w:eastAsia="zh-CN"/>
        </w:rPr>
        <w:t>公用经费支出</w:t>
      </w:r>
      <w:r>
        <w:rPr>
          <w:rFonts w:hint="eastAsia" w:eastAsia="仿宋_GB2312" w:cs="Times New Roman"/>
          <w:color w:val="auto"/>
          <w:sz w:val="32"/>
          <w:szCs w:val="32"/>
          <w:highlight w:val="none"/>
          <w:lang w:val="zh-CN" w:eastAsia="zh-CN"/>
        </w:rPr>
        <w:t>增加</w:t>
      </w:r>
      <w:r>
        <w:rPr>
          <w:rFonts w:hint="eastAsia" w:ascii="Times New Roman" w:hAnsi="Times New Roman" w:eastAsia="仿宋_GB2312" w:cs="Times New Roman"/>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1.75万元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其中：政府采购货物支出1.75万元、政府采购工程支出0.00万元、政府采购服务支出0.00万元。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授予中小企业合同金额1.75万元，占政府采购支出总额的100.00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，其中：授予小微企业合同金额1.75万元，占政府采购支出总额的100.00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8.42</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屋0.0平方米，价值0.00万元。车辆0辆，价值0.00万元，其中：副部（省）级及以上领导用车0辆、主要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用车0辆、其他用车0辆，其他用车主要是：</w:t>
      </w:r>
      <w:r>
        <w:rPr>
          <w:rFonts w:hint="eastAsia" w:ascii="仿宋_GB2312" w:eastAsia="仿宋_GB2312"/>
          <w:color w:val="auto"/>
          <w:sz w:val="32"/>
          <w:szCs w:val="32"/>
        </w:rPr>
        <w:t>我单位无其他用车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2023年度预算绩效管理整体</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lang w:eastAsia="zh-CN"/>
        </w:rPr>
        <w:t>绩效自评表</w:t>
      </w:r>
      <w:r>
        <w:rPr>
          <w:rFonts w:hint="eastAsia" w:ascii="仿宋_GB2312" w:eastAsia="仿宋_GB2312"/>
          <w:color w:val="auto"/>
          <w:sz w:val="32"/>
          <w:szCs w:val="32"/>
          <w:highlight w:val="none"/>
          <w:lang w:val="en-US" w:eastAsia="zh-CN"/>
        </w:rPr>
        <w:t>0个，全年预算总额0</w:t>
      </w:r>
      <w:r>
        <w:rPr>
          <w:rFonts w:hint="eastAsia" w:ascii="仿宋_GB2312" w:eastAsia="仿宋_GB2312"/>
          <w:color w:val="auto"/>
          <w:sz w:val="32"/>
          <w:szCs w:val="32"/>
          <w:highlight w:val="none"/>
          <w:lang w:eastAsia="zh-CN"/>
        </w:rPr>
        <w:t>万元，</w:t>
      </w:r>
      <w:r>
        <w:rPr>
          <w:rFonts w:hint="eastAsia" w:ascii="仿宋_GB2312" w:eastAsia="仿宋_GB2312"/>
          <w:color w:val="auto"/>
          <w:sz w:val="32"/>
          <w:szCs w:val="32"/>
          <w:highlight w:val="none"/>
          <w:lang w:val="en-US" w:eastAsia="zh-CN"/>
        </w:rPr>
        <w:t>实际执行总额0</w:t>
      </w:r>
      <w:r>
        <w:rPr>
          <w:rFonts w:hint="eastAsia" w:ascii="仿宋_GB2312" w:eastAsia="仿宋_GB2312"/>
          <w:color w:val="auto"/>
          <w:sz w:val="32"/>
          <w:szCs w:val="32"/>
          <w:highlight w:val="none"/>
          <w:lang w:eastAsia="zh-CN"/>
        </w:rPr>
        <w:t>万元，我单位</w:t>
      </w:r>
      <w:r>
        <w:rPr>
          <w:rFonts w:hint="eastAsia" w:ascii="仿宋_GB2312" w:eastAsia="仿宋_GB2312"/>
          <w:color w:val="auto"/>
          <w:sz w:val="32"/>
          <w:szCs w:val="32"/>
          <w:highlight w:val="none"/>
          <w:lang w:val="en-US" w:eastAsia="zh-CN"/>
        </w:rPr>
        <w:t>2023年度预算绩效管理整体支出绩效自评表由主管部门编报并公开</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olor w:val="auto"/>
          <w:sz w:val="32"/>
          <w:szCs w:val="32"/>
          <w:highlight w:val="none"/>
        </w:rPr>
      </w:pPr>
      <w:r>
        <w:rPr>
          <w:rFonts w:hint="eastAsia" w:ascii="仿宋_GB2312" w:hAnsi="仿宋_GB2312" w:eastAsia="仿宋_GB2312" w:cs="仿宋_GB2312"/>
          <w:color w:val="auto"/>
          <w:kern w:val="0"/>
          <w:sz w:val="32"/>
          <w:szCs w:val="32"/>
          <w:highlight w:val="none"/>
          <w:lang w:val="en-US" w:eastAsia="zh-CN"/>
        </w:rPr>
        <w:t>本单位无其他需说明事项</w:t>
      </w:r>
      <w:bookmarkStart w:id="30" w:name="_Toc24143"/>
      <w:bookmarkStart w:id="31" w:name="_Toc3250"/>
      <w:r>
        <w:rPr>
          <w:rFonts w:hint="eastAsia" w:ascii="仿宋_GB2312" w:hAnsi="仿宋_GB2312" w:eastAsia="仿宋_GB2312" w:cs="仿宋_GB2312"/>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2"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00000001" w:usb1="08000000" w:usb2="00000000" w:usb3="00000000" w:csb0="00040000" w:csb1="00000000"/>
  </w:font>
  <w:font w:name="仿宋_GB2312">
    <w:altName w:val="仿宋"/>
    <w:panose1 w:val="02010609030101010101"/>
    <w:charset w:val="86"/>
    <w:family w:val="swiss"/>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false" upright="fals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FgAAAGRycy9QSwECFAAUAAAACACHTuJAzql5uc8AAAAFAQAADwAAAAAAAAABACAA&#10;AAA4AAAAZHJzL2Rvd25yZXYueG1sUEsBAhQAFAAAAAgAh07iQBCr8CPHAQAAewMAAA4AAAAAAAAA&#10;AQAgAAAANA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false"/>
  <w:bordersDoNotSurroundFooter w:val="false"/>
  <w:documentProtection w:enforcement="0"/>
  <w:defaultTabStop w:val="420"/>
  <w:hyphenationZone w:val="36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hiYTJlOTYyYzMwNDc1MWQ0MmQ0MjM2MDYyN2M3NmY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AF54F87"/>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33B39"/>
    <w:rsid w:val="2FBF7029"/>
    <w:rsid w:val="2FD0187F"/>
    <w:rsid w:val="2FD27414"/>
    <w:rsid w:val="2FFE4BB0"/>
    <w:rsid w:val="300E7B60"/>
    <w:rsid w:val="300F6E18"/>
    <w:rsid w:val="307F71BF"/>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9FF7D3"/>
    <w:rsid w:val="37A755DD"/>
    <w:rsid w:val="37F94FA0"/>
    <w:rsid w:val="380D3381"/>
    <w:rsid w:val="38115B1F"/>
    <w:rsid w:val="385E3AC3"/>
    <w:rsid w:val="387D6B9E"/>
    <w:rsid w:val="38B75FF0"/>
    <w:rsid w:val="38D45016"/>
    <w:rsid w:val="38D90432"/>
    <w:rsid w:val="3914510A"/>
    <w:rsid w:val="3926770B"/>
    <w:rsid w:val="3977BE2C"/>
    <w:rsid w:val="398D3668"/>
    <w:rsid w:val="39DA0497"/>
    <w:rsid w:val="3A893816"/>
    <w:rsid w:val="3A893B6D"/>
    <w:rsid w:val="3AD1763A"/>
    <w:rsid w:val="3B6716E3"/>
    <w:rsid w:val="3B6C6B2D"/>
    <w:rsid w:val="3BD5DE36"/>
    <w:rsid w:val="3BDED032"/>
    <w:rsid w:val="3C242659"/>
    <w:rsid w:val="3C96719C"/>
    <w:rsid w:val="3CA72BE8"/>
    <w:rsid w:val="3CF37F8C"/>
    <w:rsid w:val="3D137554"/>
    <w:rsid w:val="3D5275AC"/>
    <w:rsid w:val="3DCC2473"/>
    <w:rsid w:val="3DE7198C"/>
    <w:rsid w:val="3DEB0883"/>
    <w:rsid w:val="3DF783E4"/>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7F6D0A"/>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AFC4A78"/>
    <w:rsid w:val="4B4C0111"/>
    <w:rsid w:val="4B798C18"/>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7EF483B"/>
    <w:rsid w:val="57F70925"/>
    <w:rsid w:val="58175352"/>
    <w:rsid w:val="581F2200"/>
    <w:rsid w:val="583059FA"/>
    <w:rsid w:val="584A0929"/>
    <w:rsid w:val="58CD2491"/>
    <w:rsid w:val="591B41B2"/>
    <w:rsid w:val="59254A26"/>
    <w:rsid w:val="59326325"/>
    <w:rsid w:val="595C505B"/>
    <w:rsid w:val="595E55C3"/>
    <w:rsid w:val="596E7E20"/>
    <w:rsid w:val="59D76A3C"/>
    <w:rsid w:val="5A60780B"/>
    <w:rsid w:val="5AB34579"/>
    <w:rsid w:val="5AFC6609"/>
    <w:rsid w:val="5B113480"/>
    <w:rsid w:val="5BD456CE"/>
    <w:rsid w:val="5C0D1F49"/>
    <w:rsid w:val="5CBB0CE2"/>
    <w:rsid w:val="5CC17177"/>
    <w:rsid w:val="5CDC6CBF"/>
    <w:rsid w:val="5CF306BC"/>
    <w:rsid w:val="5D3F3D64"/>
    <w:rsid w:val="5D833043"/>
    <w:rsid w:val="5DD92690"/>
    <w:rsid w:val="5DDB1CFD"/>
    <w:rsid w:val="5E7E6D93"/>
    <w:rsid w:val="5ED44800"/>
    <w:rsid w:val="5F350BDE"/>
    <w:rsid w:val="5F61632C"/>
    <w:rsid w:val="5FA17648"/>
    <w:rsid w:val="5FB73FBC"/>
    <w:rsid w:val="5FE705CB"/>
    <w:rsid w:val="5FEB532A"/>
    <w:rsid w:val="603D5080"/>
    <w:rsid w:val="60D0261B"/>
    <w:rsid w:val="618E3791"/>
    <w:rsid w:val="61947DCA"/>
    <w:rsid w:val="61A46A97"/>
    <w:rsid w:val="61D1382F"/>
    <w:rsid w:val="61F114A2"/>
    <w:rsid w:val="62512BB4"/>
    <w:rsid w:val="625D7D1A"/>
    <w:rsid w:val="62DD7D21"/>
    <w:rsid w:val="62EF3916"/>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7F4219"/>
    <w:rsid w:val="669B4528"/>
    <w:rsid w:val="66CC12D7"/>
    <w:rsid w:val="67134CEF"/>
    <w:rsid w:val="671F1ABD"/>
    <w:rsid w:val="67521A59"/>
    <w:rsid w:val="67C304AB"/>
    <w:rsid w:val="683F0658"/>
    <w:rsid w:val="68545AB9"/>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F04E86"/>
    <w:rsid w:val="770719AC"/>
    <w:rsid w:val="776526CC"/>
    <w:rsid w:val="77A262E1"/>
    <w:rsid w:val="77B13C33"/>
    <w:rsid w:val="77ED6F44"/>
    <w:rsid w:val="77F45548"/>
    <w:rsid w:val="77F77987"/>
    <w:rsid w:val="784E7CA6"/>
    <w:rsid w:val="78574801"/>
    <w:rsid w:val="7873527F"/>
    <w:rsid w:val="790A6425"/>
    <w:rsid w:val="790E2D96"/>
    <w:rsid w:val="791B54B2"/>
    <w:rsid w:val="795A0A34"/>
    <w:rsid w:val="797339C3"/>
    <w:rsid w:val="79D57D57"/>
    <w:rsid w:val="79F00650"/>
    <w:rsid w:val="7A6242BF"/>
    <w:rsid w:val="7A794513"/>
    <w:rsid w:val="7AE952D2"/>
    <w:rsid w:val="7B7F1207"/>
    <w:rsid w:val="7C976D69"/>
    <w:rsid w:val="7CD752DA"/>
    <w:rsid w:val="7CDE40AB"/>
    <w:rsid w:val="7CF057E2"/>
    <w:rsid w:val="7D1548B5"/>
    <w:rsid w:val="7DF84014"/>
    <w:rsid w:val="7E207949"/>
    <w:rsid w:val="7E5C0A47"/>
    <w:rsid w:val="7E670C75"/>
    <w:rsid w:val="7EE24272"/>
    <w:rsid w:val="7EEA6053"/>
    <w:rsid w:val="7F487C04"/>
    <w:rsid w:val="7FAFD5A1"/>
    <w:rsid w:val="7FB45F21"/>
    <w:rsid w:val="7FE57088"/>
    <w:rsid w:val="7FEA1777"/>
    <w:rsid w:val="7FF37FA3"/>
    <w:rsid w:val="7FF76DF0"/>
    <w:rsid w:val="94EE61EB"/>
    <w:rsid w:val="9F776A04"/>
    <w:rsid w:val="B13F4B2B"/>
    <w:rsid w:val="B5D9E4C8"/>
    <w:rsid w:val="B7534623"/>
    <w:rsid w:val="BB76C1F1"/>
    <w:rsid w:val="BCED3521"/>
    <w:rsid w:val="D567F8BD"/>
    <w:rsid w:val="D9EF5D41"/>
    <w:rsid w:val="DEF2E498"/>
    <w:rsid w:val="DF2722C0"/>
    <w:rsid w:val="DF3B989C"/>
    <w:rsid w:val="DFEF4824"/>
    <w:rsid w:val="E6CFAD87"/>
    <w:rsid w:val="E9A78483"/>
    <w:rsid w:val="EF7B1E02"/>
    <w:rsid w:val="EFBB4C95"/>
    <w:rsid w:val="EFF391AF"/>
    <w:rsid w:val="F7577C0A"/>
    <w:rsid w:val="F8D747CD"/>
    <w:rsid w:val="F9FE01B1"/>
    <w:rsid w:val="FBEF1E4C"/>
    <w:rsid w:val="FDF6E7DE"/>
    <w:rsid w:val="FF551ABC"/>
    <w:rsid w:val="FFFDEED8"/>
    <w:rsid w:val="FFFF96D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4694</Words>
  <Characters>5334</Characters>
  <Lines>0</Lines>
  <Paragraphs>0</Paragraphs>
  <TotalTime>0</TotalTime>
  <ScaleCrop>false</ScaleCrop>
  <LinksUpToDate>false</LinksUpToDate>
  <CharactersWithSpaces>5344</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2014-11-05T12:08:00Z</dcterms:created>
  <dc:creator>GXR</dc:creator>
  <cp:lastModifiedBy>user</cp:lastModifiedBy>
  <cp:lastPrinted>2024-08-25T04:59:00Z</cp:lastPrinted>
  <dcterms:modified xsi:type="dcterms:W3CDTF">2024-09-02T16:47:17Z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E83266032AC07579DEA2C6661FCD5343</vt:lpwstr>
  </property>
</Properties>
</file>