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adjustRightInd/>
        <w:snapToGrid/>
        <w:spacing w:line="560" w:lineRule="exact"/>
        <w:textAlignment w:val="auto"/>
        <w:rPr>
          <w:rFonts w:ascii="黑体" w:hAnsi="黑体" w:eastAsia="黑体"/>
          <w:color w:val="auto"/>
          <w:sz w:val="32"/>
          <w:szCs w:val="32"/>
        </w:rPr>
      </w:pPr>
    </w:p>
    <w:p>
      <w:pPr>
        <w:keepNext w:val="0"/>
        <w:keepLines w:val="0"/>
        <w:pageBreakBefore w:val="0"/>
        <w:kinsoku/>
        <w:wordWrap/>
        <w:overflowPunct/>
        <w:topLinePunct w:val="0"/>
        <w:bidi w:val="0"/>
        <w:adjustRightInd/>
        <w:snapToGrid/>
        <w:spacing w:line="560" w:lineRule="exact"/>
        <w:jc w:val="center"/>
        <w:textAlignment w:val="auto"/>
        <w:rPr>
          <w:rFonts w:ascii="方正小标宋_GBK" w:hAnsi="宋体" w:eastAsia="方正小标宋_GBK"/>
          <w:color w:val="auto"/>
          <w:sz w:val="44"/>
          <w:szCs w:val="44"/>
        </w:rPr>
      </w:pPr>
    </w:p>
    <w:p>
      <w:pPr>
        <w:keepNext w:val="0"/>
        <w:keepLines w:val="0"/>
        <w:pageBreakBefore w:val="0"/>
        <w:kinsoku/>
        <w:wordWrap/>
        <w:overflowPunct/>
        <w:topLinePunct w:val="0"/>
        <w:bidi w:val="0"/>
        <w:adjustRightInd/>
        <w:snapToGrid/>
        <w:spacing w:line="560" w:lineRule="exact"/>
        <w:jc w:val="center"/>
        <w:textAlignment w:val="auto"/>
        <w:rPr>
          <w:rFonts w:ascii="方正小标宋_GBK" w:hAnsi="宋体" w:eastAsia="方正小标宋_GBK"/>
          <w:color w:val="auto"/>
          <w:sz w:val="44"/>
          <w:szCs w:val="44"/>
        </w:rPr>
      </w:pPr>
      <w:r>
        <w:rPr>
          <w:rFonts w:hint="eastAsia" w:ascii="方正小标宋_GBK" w:hAnsi="宋体" w:eastAsia="方正小标宋_GBK"/>
          <w:color w:val="auto"/>
          <w:sz w:val="44"/>
          <w:szCs w:val="44"/>
        </w:rPr>
        <w:t>新疆维吾尔自治区地名标准化中心</w:t>
      </w:r>
    </w:p>
    <w:p>
      <w:pPr>
        <w:keepNext w:val="0"/>
        <w:keepLines w:val="0"/>
        <w:pageBreakBefore w:val="0"/>
        <w:kinsoku/>
        <w:wordWrap/>
        <w:overflowPunct/>
        <w:topLinePunct w:val="0"/>
        <w:bidi w:val="0"/>
        <w:adjustRightInd/>
        <w:snapToGrid/>
        <w:spacing w:line="560" w:lineRule="exact"/>
        <w:jc w:val="center"/>
        <w:textAlignment w:val="auto"/>
        <w:rPr>
          <w:rFonts w:ascii="方正小标宋_GBK" w:hAnsi="宋体" w:eastAsia="方正小标宋_GBK"/>
          <w:color w:val="auto"/>
          <w:sz w:val="44"/>
          <w:szCs w:val="44"/>
        </w:rPr>
      </w:pPr>
      <w:r>
        <w:rPr>
          <w:rFonts w:hint="eastAsia" w:ascii="方正小标宋_GBK" w:hAnsi="宋体" w:eastAsia="方正小标宋_GBK"/>
          <w:color w:val="auto"/>
          <w:sz w:val="44"/>
          <w:szCs w:val="44"/>
        </w:rPr>
        <w:t>2023年度</w:t>
      </w:r>
      <w:r>
        <w:rPr>
          <w:rFonts w:hint="eastAsia" w:ascii="方正小标宋_GBK" w:hAnsi="宋体" w:eastAsia="方正小标宋_GBK"/>
          <w:color w:val="auto"/>
          <w:sz w:val="44"/>
          <w:szCs w:val="44"/>
          <w:highlight w:val="none"/>
          <w:lang w:eastAsia="zh-CN"/>
        </w:rPr>
        <w:t>单位</w:t>
      </w:r>
      <w:r>
        <w:rPr>
          <w:rFonts w:hint="eastAsia" w:ascii="方正小标宋_GBK" w:hAnsi="宋体" w:eastAsia="方正小标宋_GBK"/>
          <w:color w:val="auto"/>
          <w:sz w:val="44"/>
          <w:szCs w:val="44"/>
        </w:rPr>
        <w:t>决算</w:t>
      </w:r>
    </w:p>
    <w:p>
      <w:pPr>
        <w:keepNext w:val="0"/>
        <w:keepLines w:val="0"/>
        <w:pageBreakBefore w:val="0"/>
        <w:kinsoku/>
        <w:wordWrap/>
        <w:overflowPunct/>
        <w:topLinePunct w:val="0"/>
        <w:bidi w:val="0"/>
        <w:adjustRightInd/>
        <w:snapToGrid/>
        <w:spacing w:line="560" w:lineRule="exact"/>
        <w:jc w:val="center"/>
        <w:textAlignment w:val="auto"/>
        <w:rPr>
          <w:rFonts w:ascii="方正小标宋_GBK" w:hAnsi="宋体" w:eastAsia="方正小标宋_GBK"/>
          <w:color w:val="auto"/>
          <w:sz w:val="44"/>
          <w:szCs w:val="44"/>
        </w:rPr>
      </w:pPr>
      <w:r>
        <w:rPr>
          <w:rFonts w:hint="eastAsia" w:ascii="方正小标宋_GBK" w:hAnsi="宋体" w:eastAsia="方正小标宋_GBK"/>
          <w:color w:val="auto"/>
          <w:sz w:val="44"/>
          <w:szCs w:val="44"/>
        </w:rPr>
        <w:t>公开说明</w:t>
      </w:r>
    </w:p>
    <w:p>
      <w:pPr>
        <w:keepNext w:val="0"/>
        <w:keepLines w:val="0"/>
        <w:pageBreakBefore w:val="0"/>
        <w:kinsoku/>
        <w:wordWrap/>
        <w:overflowPunct/>
        <w:topLinePunct w:val="0"/>
        <w:bidi w:val="0"/>
        <w:adjustRightInd/>
        <w:snapToGrid/>
        <w:spacing w:line="560" w:lineRule="exact"/>
        <w:textAlignment w:val="auto"/>
        <w:rPr>
          <w:rFonts w:hint="eastAsia" w:ascii="方正小标宋_GBK" w:hAnsi="宋体" w:eastAsia="方正小标宋_GBK"/>
          <w:color w:val="auto"/>
          <w:sz w:val="44"/>
          <w:szCs w:val="44"/>
        </w:rPr>
      </w:pPr>
    </w:p>
    <w:p>
      <w:pPr>
        <w:keepNext w:val="0"/>
        <w:keepLines w:val="0"/>
        <w:pageBreakBefore w:val="0"/>
        <w:kinsoku/>
        <w:wordWrap/>
        <w:overflowPunct/>
        <w:topLinePunct w:val="0"/>
        <w:bidi w:val="0"/>
        <w:adjustRightInd/>
        <w:snapToGrid/>
        <w:spacing w:line="560" w:lineRule="exact"/>
        <w:textAlignment w:val="auto"/>
        <w:rPr>
          <w:rFonts w:hint="eastAsia" w:ascii="方正小标宋_GBK" w:hAnsi="宋体" w:eastAsia="方正小标宋_GBK"/>
          <w:color w:val="auto"/>
          <w:sz w:val="44"/>
          <w:szCs w:val="44"/>
        </w:rPr>
      </w:pPr>
    </w:p>
    <w:p>
      <w:pPr>
        <w:keepNext w:val="0"/>
        <w:keepLines w:val="0"/>
        <w:pageBreakBefore w:val="0"/>
        <w:kinsoku/>
        <w:wordWrap/>
        <w:overflowPunct/>
        <w:topLinePunct w:val="0"/>
        <w:bidi w:val="0"/>
        <w:adjustRightInd/>
        <w:snapToGrid/>
        <w:spacing w:line="560" w:lineRule="exact"/>
        <w:textAlignment w:val="auto"/>
        <w:rPr>
          <w:rFonts w:hint="eastAsia" w:ascii="方正小标宋_GBK" w:hAnsi="宋体" w:eastAsia="方正小标宋_GBK"/>
          <w:color w:val="auto"/>
          <w:sz w:val="44"/>
          <w:szCs w:val="44"/>
        </w:rPr>
      </w:pPr>
    </w:p>
    <w:p>
      <w:pPr>
        <w:keepNext w:val="0"/>
        <w:keepLines w:val="0"/>
        <w:pageBreakBefore w:val="0"/>
        <w:kinsoku/>
        <w:wordWrap/>
        <w:overflowPunct/>
        <w:topLinePunct w:val="0"/>
        <w:bidi w:val="0"/>
        <w:adjustRightInd/>
        <w:snapToGrid/>
        <w:spacing w:line="560" w:lineRule="exact"/>
        <w:textAlignment w:val="auto"/>
        <w:rPr>
          <w:rFonts w:hint="eastAsia" w:ascii="方正小标宋_GBK" w:hAnsi="宋体" w:eastAsia="方正小标宋_GBK"/>
          <w:color w:val="auto"/>
          <w:sz w:val="44"/>
          <w:szCs w:val="44"/>
        </w:rPr>
      </w:pPr>
    </w:p>
    <w:p>
      <w:pPr>
        <w:keepNext w:val="0"/>
        <w:keepLines w:val="0"/>
        <w:pageBreakBefore w:val="0"/>
        <w:kinsoku/>
        <w:wordWrap/>
        <w:overflowPunct/>
        <w:topLinePunct w:val="0"/>
        <w:bidi w:val="0"/>
        <w:adjustRightInd/>
        <w:snapToGrid/>
        <w:spacing w:line="560" w:lineRule="exact"/>
        <w:textAlignment w:val="auto"/>
        <w:rPr>
          <w:rFonts w:hint="eastAsia" w:ascii="方正小标宋_GBK" w:hAnsi="宋体" w:eastAsia="方正小标宋_GBK"/>
          <w:color w:val="auto"/>
          <w:sz w:val="44"/>
          <w:szCs w:val="44"/>
        </w:rPr>
      </w:pPr>
    </w:p>
    <w:p>
      <w:pPr>
        <w:keepNext w:val="0"/>
        <w:keepLines w:val="0"/>
        <w:pageBreakBefore w:val="0"/>
        <w:kinsoku/>
        <w:wordWrap/>
        <w:overflowPunct/>
        <w:topLinePunct w:val="0"/>
        <w:bidi w:val="0"/>
        <w:adjustRightInd/>
        <w:snapToGrid/>
        <w:spacing w:line="560" w:lineRule="exact"/>
        <w:textAlignment w:val="auto"/>
        <w:rPr>
          <w:rFonts w:hint="eastAsia" w:ascii="方正小标宋_GBK" w:hAnsi="宋体" w:eastAsia="方正小标宋_GBK"/>
          <w:color w:val="auto"/>
          <w:sz w:val="44"/>
          <w:szCs w:val="44"/>
        </w:rPr>
      </w:pPr>
    </w:p>
    <w:p>
      <w:pPr>
        <w:keepNext w:val="0"/>
        <w:keepLines w:val="0"/>
        <w:pageBreakBefore w:val="0"/>
        <w:kinsoku/>
        <w:wordWrap/>
        <w:overflowPunct/>
        <w:topLinePunct w:val="0"/>
        <w:bidi w:val="0"/>
        <w:adjustRightInd/>
        <w:snapToGrid/>
        <w:spacing w:line="560" w:lineRule="exact"/>
        <w:textAlignment w:val="auto"/>
        <w:rPr>
          <w:rFonts w:hint="eastAsia" w:ascii="方正小标宋_GBK" w:hAnsi="宋体" w:eastAsia="方正小标宋_GBK"/>
          <w:color w:val="auto"/>
          <w:sz w:val="44"/>
          <w:szCs w:val="44"/>
        </w:rPr>
      </w:pPr>
    </w:p>
    <w:p>
      <w:pPr>
        <w:keepNext w:val="0"/>
        <w:keepLines w:val="0"/>
        <w:pageBreakBefore w:val="0"/>
        <w:kinsoku/>
        <w:wordWrap/>
        <w:overflowPunct/>
        <w:topLinePunct w:val="0"/>
        <w:bidi w:val="0"/>
        <w:adjustRightInd/>
        <w:snapToGrid/>
        <w:spacing w:line="560" w:lineRule="exact"/>
        <w:textAlignment w:val="auto"/>
        <w:rPr>
          <w:rFonts w:hint="eastAsia" w:ascii="方正小标宋_GBK" w:hAnsi="宋体" w:eastAsia="方正小标宋_GBK"/>
          <w:color w:val="auto"/>
          <w:sz w:val="44"/>
          <w:szCs w:val="44"/>
        </w:rPr>
      </w:pPr>
    </w:p>
    <w:p>
      <w:pPr>
        <w:keepNext w:val="0"/>
        <w:keepLines w:val="0"/>
        <w:pageBreakBefore w:val="0"/>
        <w:kinsoku/>
        <w:wordWrap/>
        <w:overflowPunct/>
        <w:topLinePunct w:val="0"/>
        <w:bidi w:val="0"/>
        <w:adjustRightInd/>
        <w:snapToGrid/>
        <w:spacing w:line="560" w:lineRule="exact"/>
        <w:textAlignment w:val="auto"/>
        <w:rPr>
          <w:rFonts w:hint="eastAsia" w:ascii="方正小标宋_GBK" w:hAnsi="宋体" w:eastAsia="方正小标宋_GBK"/>
          <w:color w:val="auto"/>
          <w:sz w:val="44"/>
          <w:szCs w:val="44"/>
        </w:rPr>
      </w:pPr>
    </w:p>
    <w:p>
      <w:pPr>
        <w:keepNext w:val="0"/>
        <w:keepLines w:val="0"/>
        <w:pageBreakBefore w:val="0"/>
        <w:kinsoku/>
        <w:wordWrap/>
        <w:overflowPunct/>
        <w:topLinePunct w:val="0"/>
        <w:bidi w:val="0"/>
        <w:adjustRightInd/>
        <w:snapToGrid/>
        <w:spacing w:line="560" w:lineRule="exact"/>
        <w:textAlignment w:val="auto"/>
        <w:rPr>
          <w:rFonts w:hint="eastAsia" w:ascii="方正小标宋_GBK" w:hAnsi="宋体" w:eastAsia="方正小标宋_GBK"/>
          <w:color w:val="auto"/>
          <w:sz w:val="44"/>
          <w:szCs w:val="44"/>
        </w:rPr>
      </w:pPr>
    </w:p>
    <w:p>
      <w:pPr>
        <w:keepNext w:val="0"/>
        <w:keepLines w:val="0"/>
        <w:pageBreakBefore w:val="0"/>
        <w:kinsoku/>
        <w:wordWrap/>
        <w:overflowPunct/>
        <w:topLinePunct w:val="0"/>
        <w:bidi w:val="0"/>
        <w:adjustRightInd/>
        <w:snapToGrid/>
        <w:spacing w:line="560" w:lineRule="exact"/>
        <w:textAlignment w:val="auto"/>
        <w:rPr>
          <w:rFonts w:hint="eastAsia" w:ascii="方正小标宋_GBK" w:hAnsi="宋体" w:eastAsia="方正小标宋_GBK"/>
          <w:color w:val="auto"/>
          <w:sz w:val="44"/>
          <w:szCs w:val="44"/>
        </w:rPr>
      </w:pPr>
    </w:p>
    <w:p>
      <w:pPr>
        <w:keepNext w:val="0"/>
        <w:keepLines w:val="0"/>
        <w:pageBreakBefore w:val="0"/>
        <w:kinsoku/>
        <w:wordWrap/>
        <w:overflowPunct/>
        <w:topLinePunct w:val="0"/>
        <w:bidi w:val="0"/>
        <w:adjustRightInd/>
        <w:snapToGrid/>
        <w:spacing w:line="560" w:lineRule="exact"/>
        <w:textAlignment w:val="auto"/>
        <w:rPr>
          <w:rFonts w:hint="eastAsia" w:ascii="方正小标宋_GBK" w:hAnsi="宋体" w:eastAsia="方正小标宋_GBK"/>
          <w:color w:val="auto"/>
          <w:sz w:val="44"/>
          <w:szCs w:val="44"/>
        </w:rPr>
      </w:pPr>
    </w:p>
    <w:p>
      <w:pPr>
        <w:keepNext w:val="0"/>
        <w:keepLines w:val="0"/>
        <w:pageBreakBefore w:val="0"/>
        <w:kinsoku/>
        <w:wordWrap/>
        <w:overflowPunct/>
        <w:topLinePunct w:val="0"/>
        <w:bidi w:val="0"/>
        <w:adjustRightInd/>
        <w:snapToGrid/>
        <w:spacing w:line="560" w:lineRule="exact"/>
        <w:textAlignment w:val="auto"/>
        <w:rPr>
          <w:rFonts w:hint="eastAsia" w:ascii="方正小标宋_GBK" w:hAnsi="宋体" w:eastAsia="方正小标宋_GBK"/>
          <w:color w:val="auto"/>
          <w:sz w:val="44"/>
          <w:szCs w:val="44"/>
        </w:rPr>
      </w:pPr>
    </w:p>
    <w:p>
      <w:pPr>
        <w:keepNext w:val="0"/>
        <w:keepLines w:val="0"/>
        <w:pageBreakBefore w:val="0"/>
        <w:kinsoku/>
        <w:wordWrap/>
        <w:overflowPunct/>
        <w:topLinePunct w:val="0"/>
        <w:bidi w:val="0"/>
        <w:adjustRightInd/>
        <w:snapToGrid/>
        <w:spacing w:line="560" w:lineRule="exact"/>
        <w:textAlignment w:val="auto"/>
        <w:rPr>
          <w:rFonts w:hint="eastAsia" w:ascii="方正小标宋_GBK" w:hAnsi="宋体" w:eastAsia="方正小标宋_GBK"/>
          <w:color w:val="auto"/>
          <w:sz w:val="44"/>
          <w:szCs w:val="44"/>
        </w:rPr>
      </w:pPr>
    </w:p>
    <w:p>
      <w:pPr>
        <w:keepNext w:val="0"/>
        <w:keepLines w:val="0"/>
        <w:pageBreakBefore w:val="0"/>
        <w:kinsoku/>
        <w:wordWrap/>
        <w:overflowPunct/>
        <w:topLinePunct w:val="0"/>
        <w:bidi w:val="0"/>
        <w:adjustRightInd/>
        <w:snapToGrid/>
        <w:spacing w:line="560" w:lineRule="exact"/>
        <w:ind w:firstLine="1760" w:firstLineChars="400"/>
        <w:jc w:val="both"/>
        <w:textAlignment w:val="auto"/>
        <w:rPr>
          <w:rFonts w:ascii="方正小标宋_GBK" w:hAnsi="宋体" w:eastAsia="方正小标宋_GBK"/>
          <w:color w:val="auto"/>
          <w:sz w:val="44"/>
          <w:szCs w:val="44"/>
        </w:rPr>
      </w:pPr>
      <w:r>
        <w:rPr>
          <w:rFonts w:hint="eastAsia" w:ascii="方正小标宋_GBK" w:hAnsi="宋体" w:eastAsia="方正小标宋_GBK"/>
          <w:color w:val="auto"/>
          <w:sz w:val="44"/>
          <w:szCs w:val="44"/>
        </w:rPr>
        <w:br w:type="page"/>
      </w:r>
    </w:p>
    <w:p>
      <w:pPr>
        <w:keepNext w:val="0"/>
        <w:keepLines w:val="0"/>
        <w:pageBreakBefore w:val="0"/>
        <w:kinsoku/>
        <w:wordWrap/>
        <w:overflowPunct/>
        <w:topLinePunct w:val="0"/>
        <w:bidi w:val="0"/>
        <w:adjustRightInd/>
        <w:snapToGrid/>
        <w:spacing w:line="560" w:lineRule="exact"/>
        <w:jc w:val="center"/>
        <w:textAlignment w:val="auto"/>
        <w:rPr>
          <w:rFonts w:ascii="仿宋_GB2312" w:hAnsi="仿宋_GB2312" w:eastAsia="仿宋_GB2312" w:cs="仿宋_GB2312"/>
          <w:bCs/>
          <w:color w:val="auto"/>
          <w:kern w:val="0"/>
          <w:sz w:val="32"/>
          <w:szCs w:val="32"/>
        </w:rPr>
      </w:pPr>
      <w:r>
        <w:rPr>
          <w:rFonts w:hint="eastAsia" w:ascii="仿宋_GB2312" w:hAnsi="仿宋_GB2312" w:eastAsia="仿宋_GB2312" w:cs="仿宋_GB2312"/>
          <w:b/>
          <w:color w:val="auto"/>
          <w:kern w:val="0"/>
          <w:sz w:val="36"/>
          <w:szCs w:val="36"/>
        </w:rPr>
        <w:t>目  录</w:t>
      </w:r>
    </w:p>
    <w:p>
      <w:pPr>
        <w:pStyle w:val="6"/>
        <w:keepNext w:val="0"/>
        <w:keepLines w:val="0"/>
        <w:pageBreakBefore w:val="0"/>
        <w:tabs>
          <w:tab w:val="right" w:pos="8306"/>
        </w:tabs>
        <w:kinsoku/>
        <w:wordWrap/>
        <w:overflowPunct/>
        <w:topLinePunct w:val="0"/>
        <w:bidi w:val="0"/>
        <w:adjustRightInd/>
        <w:snapToGrid/>
        <w:spacing w:line="560" w:lineRule="exact"/>
        <w:textAlignment w:val="auto"/>
        <w:rPr>
          <w:rFonts w:ascii="仿宋_GB2312" w:hAnsi="仿宋_GB2312" w:eastAsia="仿宋_GB2312" w:cs="仿宋_GB2312"/>
          <w:b/>
          <w:bCs/>
          <w:color w:val="auto"/>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TOC \o "1-3" \n  \h \u </w:instrText>
      </w:r>
      <w:r>
        <w:rPr>
          <w:rFonts w:hint="eastAsia" w:ascii="仿宋_GB2312" w:hAnsi="仿宋_GB2312" w:eastAsia="仿宋_GB2312" w:cs="仿宋_GB2312"/>
          <w:color w:val="auto"/>
          <w:sz w:val="32"/>
          <w:szCs w:val="32"/>
        </w:rPr>
        <w:fldChar w:fldCharType="separate"/>
      </w:r>
      <w:r>
        <w:rPr>
          <w:color w:val="auto"/>
        </w:rPr>
        <w:fldChar w:fldCharType="begin"/>
      </w:r>
      <w:r>
        <w:rPr>
          <w:color w:val="auto"/>
        </w:rPr>
        <w:instrText xml:space="preserve"> HYPERLINK \l "_Toc32314" </w:instrText>
      </w:r>
      <w:r>
        <w:rPr>
          <w:color w:val="auto"/>
        </w:rPr>
        <w:fldChar w:fldCharType="separate"/>
      </w:r>
      <w:r>
        <w:rPr>
          <w:rFonts w:hint="eastAsia" w:ascii="仿宋_GB2312" w:hAnsi="仿宋_GB2312" w:eastAsia="仿宋_GB2312" w:cs="仿宋_GB2312"/>
          <w:b/>
          <w:bCs/>
          <w:color w:val="auto"/>
          <w:sz w:val="32"/>
          <w:szCs w:val="32"/>
        </w:rPr>
        <w:t>第一部分 单位概况</w:t>
      </w:r>
      <w:r>
        <w:rPr>
          <w:rFonts w:hint="eastAsia" w:ascii="仿宋_GB2312" w:hAnsi="仿宋_GB2312" w:eastAsia="仿宋_GB2312" w:cs="仿宋_GB2312"/>
          <w:b/>
          <w:bCs/>
          <w:color w:val="auto"/>
          <w:sz w:val="32"/>
          <w:szCs w:val="32"/>
        </w:rPr>
        <w:fldChar w:fldCharType="end"/>
      </w:r>
    </w:p>
    <w:p>
      <w:pPr>
        <w:pStyle w:val="7"/>
        <w:keepNext w:val="0"/>
        <w:keepLines w:val="0"/>
        <w:pageBreakBefore w:val="0"/>
        <w:tabs>
          <w:tab w:val="right" w:pos="8306"/>
        </w:tabs>
        <w:kinsoku/>
        <w:wordWrap/>
        <w:overflowPunct/>
        <w:topLinePunct w:val="0"/>
        <w:bidi w:val="0"/>
        <w:adjustRightInd/>
        <w:snapToGrid/>
        <w:spacing w:line="560" w:lineRule="exact"/>
        <w:ind w:left="0" w:leftChars="0"/>
        <w:textAlignment w:val="auto"/>
        <w:rPr>
          <w:rFonts w:ascii="仿宋_GB2312" w:hAnsi="仿宋_GB2312" w:eastAsia="仿宋_GB2312" w:cs="仿宋_GB2312"/>
          <w:color w:val="auto"/>
          <w:sz w:val="32"/>
          <w:szCs w:val="32"/>
        </w:rPr>
      </w:pPr>
      <w:r>
        <w:rPr>
          <w:color w:val="auto"/>
        </w:rPr>
        <w:fldChar w:fldCharType="begin"/>
      </w:r>
      <w:r>
        <w:rPr>
          <w:color w:val="auto"/>
        </w:rPr>
        <w:instrText xml:space="preserve"> HYPERLINK \l "_Toc30567" </w:instrText>
      </w:r>
      <w:r>
        <w:rPr>
          <w:color w:val="auto"/>
        </w:rPr>
        <w:fldChar w:fldCharType="separate"/>
      </w:r>
      <w:r>
        <w:rPr>
          <w:rFonts w:hint="eastAsia" w:ascii="仿宋_GB2312" w:hAnsi="仿宋_GB2312" w:eastAsia="仿宋_GB2312" w:cs="仿宋_GB2312"/>
          <w:bCs/>
          <w:color w:val="auto"/>
          <w:kern w:val="0"/>
          <w:sz w:val="32"/>
          <w:szCs w:val="32"/>
        </w:rPr>
        <w:t>一、主要职能</w:t>
      </w:r>
      <w:r>
        <w:rPr>
          <w:rFonts w:hint="eastAsia" w:ascii="仿宋_GB2312" w:hAnsi="仿宋_GB2312" w:eastAsia="仿宋_GB2312" w:cs="仿宋_GB2312"/>
          <w:bCs/>
          <w:color w:val="auto"/>
          <w:kern w:val="0"/>
          <w:sz w:val="32"/>
          <w:szCs w:val="32"/>
        </w:rPr>
        <w:fldChar w:fldCharType="end"/>
      </w:r>
    </w:p>
    <w:p>
      <w:pPr>
        <w:pStyle w:val="7"/>
        <w:keepNext w:val="0"/>
        <w:keepLines w:val="0"/>
        <w:pageBreakBefore w:val="0"/>
        <w:tabs>
          <w:tab w:val="right" w:pos="8306"/>
        </w:tabs>
        <w:kinsoku/>
        <w:wordWrap/>
        <w:overflowPunct/>
        <w:topLinePunct w:val="0"/>
        <w:bidi w:val="0"/>
        <w:adjustRightInd/>
        <w:snapToGrid/>
        <w:spacing w:line="560" w:lineRule="exact"/>
        <w:ind w:left="0" w:leftChars="0"/>
        <w:textAlignment w:val="auto"/>
        <w:rPr>
          <w:rFonts w:ascii="仿宋_GB2312" w:hAnsi="仿宋_GB2312" w:eastAsia="仿宋_GB2312" w:cs="仿宋_GB2312"/>
          <w:color w:val="auto"/>
          <w:sz w:val="32"/>
          <w:szCs w:val="32"/>
        </w:rPr>
      </w:pPr>
      <w:r>
        <w:rPr>
          <w:color w:val="auto"/>
        </w:rPr>
        <w:fldChar w:fldCharType="begin"/>
      </w:r>
      <w:r>
        <w:rPr>
          <w:color w:val="auto"/>
        </w:rPr>
        <w:instrText xml:space="preserve"> HYPERLINK \l "_Toc2151" </w:instrText>
      </w:r>
      <w:r>
        <w:rPr>
          <w:color w:val="auto"/>
        </w:rPr>
        <w:fldChar w:fldCharType="separate"/>
      </w:r>
      <w:r>
        <w:rPr>
          <w:rFonts w:hint="eastAsia" w:ascii="仿宋_GB2312" w:hAnsi="仿宋_GB2312" w:eastAsia="仿宋_GB2312" w:cs="仿宋_GB2312"/>
          <w:bCs/>
          <w:color w:val="auto"/>
          <w:kern w:val="0"/>
          <w:sz w:val="32"/>
          <w:szCs w:val="32"/>
        </w:rPr>
        <w:t>二、机构设置及人员情况</w:t>
      </w:r>
      <w:r>
        <w:rPr>
          <w:rFonts w:hint="eastAsia" w:ascii="仿宋_GB2312" w:hAnsi="仿宋_GB2312" w:eastAsia="仿宋_GB2312" w:cs="仿宋_GB2312"/>
          <w:bCs/>
          <w:color w:val="auto"/>
          <w:kern w:val="0"/>
          <w:sz w:val="32"/>
          <w:szCs w:val="32"/>
        </w:rPr>
        <w:fldChar w:fldCharType="end"/>
      </w:r>
    </w:p>
    <w:p>
      <w:pPr>
        <w:pStyle w:val="6"/>
        <w:keepNext w:val="0"/>
        <w:keepLines w:val="0"/>
        <w:pageBreakBefore w:val="0"/>
        <w:tabs>
          <w:tab w:val="right" w:pos="8306"/>
        </w:tabs>
        <w:kinsoku/>
        <w:wordWrap/>
        <w:overflowPunct/>
        <w:topLinePunct w:val="0"/>
        <w:bidi w:val="0"/>
        <w:adjustRightInd/>
        <w:snapToGrid/>
        <w:spacing w:line="560" w:lineRule="exact"/>
        <w:textAlignment w:val="auto"/>
        <w:rPr>
          <w:rFonts w:ascii="仿宋_GB2312" w:hAnsi="仿宋_GB2312" w:eastAsia="仿宋_GB2312" w:cs="仿宋_GB2312"/>
          <w:b/>
          <w:bCs/>
          <w:color w:val="auto"/>
          <w:sz w:val="32"/>
          <w:szCs w:val="32"/>
        </w:rPr>
      </w:pPr>
      <w:r>
        <w:rPr>
          <w:color w:val="auto"/>
        </w:rPr>
        <w:fldChar w:fldCharType="begin"/>
      </w:r>
      <w:r>
        <w:rPr>
          <w:color w:val="auto"/>
        </w:rPr>
        <w:instrText xml:space="preserve"> HYPERLINK \l "_Toc29374" </w:instrText>
      </w:r>
      <w:r>
        <w:rPr>
          <w:color w:val="auto"/>
        </w:rPr>
        <w:fldChar w:fldCharType="separate"/>
      </w:r>
      <w:r>
        <w:rPr>
          <w:rFonts w:hint="eastAsia" w:ascii="仿宋_GB2312" w:hAnsi="仿宋_GB2312" w:eastAsia="仿宋_GB2312" w:cs="仿宋_GB2312"/>
          <w:b/>
          <w:bCs/>
          <w:color w:val="auto"/>
          <w:sz w:val="32"/>
          <w:szCs w:val="32"/>
        </w:rPr>
        <w:t xml:space="preserve">第二部分 </w:t>
      </w:r>
      <w:r>
        <w:rPr>
          <w:rFonts w:hint="eastAsia" w:ascii="仿宋_GB2312" w:hAnsi="仿宋_GB2312" w:eastAsia="仿宋_GB2312" w:cs="仿宋_GB2312"/>
          <w:b/>
          <w:bCs/>
          <w:color w:val="auto"/>
          <w:sz w:val="32"/>
          <w:szCs w:val="32"/>
          <w:lang w:eastAsia="zh-CN"/>
        </w:rPr>
        <w:t>部门</w:t>
      </w:r>
      <w:r>
        <w:rPr>
          <w:rFonts w:hint="eastAsia" w:ascii="仿宋_GB2312" w:hAnsi="仿宋_GB2312" w:eastAsia="仿宋_GB2312" w:cs="仿宋_GB2312"/>
          <w:b/>
          <w:bCs/>
          <w:color w:val="auto"/>
          <w:sz w:val="32"/>
          <w:szCs w:val="32"/>
        </w:rPr>
        <w:t>决算情况说明</w:t>
      </w:r>
      <w:r>
        <w:rPr>
          <w:rFonts w:hint="eastAsia" w:ascii="仿宋_GB2312" w:hAnsi="仿宋_GB2312" w:eastAsia="仿宋_GB2312" w:cs="仿宋_GB2312"/>
          <w:b/>
          <w:bCs/>
          <w:color w:val="auto"/>
          <w:sz w:val="32"/>
          <w:szCs w:val="32"/>
        </w:rPr>
        <w:fldChar w:fldCharType="end"/>
      </w:r>
    </w:p>
    <w:p>
      <w:pPr>
        <w:pStyle w:val="7"/>
        <w:keepNext w:val="0"/>
        <w:keepLines w:val="0"/>
        <w:pageBreakBefore w:val="0"/>
        <w:tabs>
          <w:tab w:val="right" w:pos="8306"/>
        </w:tabs>
        <w:kinsoku/>
        <w:wordWrap/>
        <w:overflowPunct/>
        <w:topLinePunct w:val="0"/>
        <w:bidi w:val="0"/>
        <w:adjustRightInd/>
        <w:snapToGrid/>
        <w:spacing w:line="560" w:lineRule="exact"/>
        <w:ind w:left="0" w:leftChars="0"/>
        <w:textAlignment w:val="auto"/>
        <w:rPr>
          <w:rFonts w:ascii="仿宋_GB2312" w:hAnsi="仿宋_GB2312" w:eastAsia="仿宋_GB2312" w:cs="仿宋_GB2312"/>
          <w:color w:val="auto"/>
          <w:sz w:val="32"/>
          <w:szCs w:val="32"/>
        </w:rPr>
      </w:pPr>
      <w:r>
        <w:rPr>
          <w:color w:val="auto"/>
        </w:rPr>
        <w:fldChar w:fldCharType="begin"/>
      </w:r>
      <w:r>
        <w:rPr>
          <w:color w:val="auto"/>
        </w:rPr>
        <w:instrText xml:space="preserve"> HYPERLINK \l "_Toc25314" </w:instrText>
      </w:r>
      <w:r>
        <w:rPr>
          <w:color w:val="auto"/>
        </w:rPr>
        <w:fldChar w:fldCharType="separate"/>
      </w:r>
      <w:r>
        <w:rPr>
          <w:rFonts w:hint="eastAsia" w:ascii="仿宋_GB2312" w:hAnsi="仿宋_GB2312" w:eastAsia="仿宋_GB2312" w:cs="仿宋_GB2312"/>
          <w:bCs/>
          <w:color w:val="auto"/>
          <w:kern w:val="0"/>
          <w:sz w:val="32"/>
          <w:szCs w:val="32"/>
        </w:rPr>
        <w:t>一、收入支出决算总体情况说明</w:t>
      </w:r>
      <w:r>
        <w:rPr>
          <w:rFonts w:hint="eastAsia" w:ascii="仿宋_GB2312" w:hAnsi="仿宋_GB2312" w:eastAsia="仿宋_GB2312" w:cs="仿宋_GB2312"/>
          <w:bCs/>
          <w:color w:val="auto"/>
          <w:kern w:val="0"/>
          <w:sz w:val="32"/>
          <w:szCs w:val="32"/>
        </w:rPr>
        <w:fldChar w:fldCharType="end"/>
      </w:r>
    </w:p>
    <w:p>
      <w:pPr>
        <w:pStyle w:val="7"/>
        <w:keepNext w:val="0"/>
        <w:keepLines w:val="0"/>
        <w:pageBreakBefore w:val="0"/>
        <w:tabs>
          <w:tab w:val="right" w:pos="8306"/>
        </w:tabs>
        <w:kinsoku/>
        <w:wordWrap/>
        <w:overflowPunct/>
        <w:topLinePunct w:val="0"/>
        <w:bidi w:val="0"/>
        <w:adjustRightInd/>
        <w:snapToGrid/>
        <w:spacing w:line="560" w:lineRule="exact"/>
        <w:ind w:left="0" w:leftChars="0"/>
        <w:textAlignment w:val="auto"/>
        <w:rPr>
          <w:rFonts w:ascii="仿宋_GB2312" w:hAnsi="仿宋_GB2312" w:eastAsia="仿宋_GB2312" w:cs="仿宋_GB2312"/>
          <w:color w:val="auto"/>
          <w:sz w:val="32"/>
          <w:szCs w:val="32"/>
        </w:rPr>
      </w:pPr>
      <w:r>
        <w:rPr>
          <w:color w:val="auto"/>
        </w:rPr>
        <w:fldChar w:fldCharType="begin"/>
      </w:r>
      <w:r>
        <w:rPr>
          <w:color w:val="auto"/>
        </w:rPr>
        <w:instrText xml:space="preserve"> HYPERLINK \l "_Toc12142" </w:instrText>
      </w:r>
      <w:r>
        <w:rPr>
          <w:color w:val="auto"/>
        </w:rPr>
        <w:fldChar w:fldCharType="separate"/>
      </w:r>
      <w:r>
        <w:rPr>
          <w:rFonts w:hint="eastAsia" w:ascii="仿宋_GB2312" w:hAnsi="仿宋_GB2312" w:eastAsia="仿宋_GB2312" w:cs="仿宋_GB2312"/>
          <w:bCs/>
          <w:color w:val="auto"/>
          <w:kern w:val="0"/>
          <w:sz w:val="32"/>
          <w:szCs w:val="32"/>
        </w:rPr>
        <w:t>二、收入决算情况说明</w:t>
      </w:r>
      <w:r>
        <w:rPr>
          <w:rFonts w:hint="eastAsia" w:ascii="仿宋_GB2312" w:hAnsi="仿宋_GB2312" w:eastAsia="仿宋_GB2312" w:cs="仿宋_GB2312"/>
          <w:bCs/>
          <w:color w:val="auto"/>
          <w:kern w:val="0"/>
          <w:sz w:val="32"/>
          <w:szCs w:val="32"/>
        </w:rPr>
        <w:fldChar w:fldCharType="end"/>
      </w:r>
    </w:p>
    <w:p>
      <w:pPr>
        <w:pStyle w:val="7"/>
        <w:keepNext w:val="0"/>
        <w:keepLines w:val="0"/>
        <w:pageBreakBefore w:val="0"/>
        <w:tabs>
          <w:tab w:val="right" w:pos="8306"/>
        </w:tabs>
        <w:kinsoku/>
        <w:wordWrap/>
        <w:overflowPunct/>
        <w:topLinePunct w:val="0"/>
        <w:bidi w:val="0"/>
        <w:adjustRightInd/>
        <w:snapToGrid/>
        <w:spacing w:line="560" w:lineRule="exact"/>
        <w:ind w:left="0" w:leftChars="0"/>
        <w:textAlignment w:val="auto"/>
        <w:rPr>
          <w:rFonts w:ascii="仿宋_GB2312" w:hAnsi="仿宋_GB2312" w:eastAsia="仿宋_GB2312" w:cs="仿宋_GB2312"/>
          <w:color w:val="auto"/>
          <w:sz w:val="32"/>
          <w:szCs w:val="32"/>
        </w:rPr>
      </w:pPr>
      <w:r>
        <w:rPr>
          <w:color w:val="auto"/>
        </w:rPr>
        <w:fldChar w:fldCharType="begin"/>
      </w:r>
      <w:r>
        <w:rPr>
          <w:color w:val="auto"/>
        </w:rPr>
        <w:instrText xml:space="preserve"> HYPERLINK \l "_Toc13201" </w:instrText>
      </w:r>
      <w:r>
        <w:rPr>
          <w:color w:val="auto"/>
        </w:rPr>
        <w:fldChar w:fldCharType="separate"/>
      </w:r>
      <w:r>
        <w:rPr>
          <w:rFonts w:hint="eastAsia" w:ascii="仿宋_GB2312" w:hAnsi="仿宋_GB2312" w:eastAsia="仿宋_GB2312" w:cs="仿宋_GB2312"/>
          <w:bCs/>
          <w:color w:val="auto"/>
          <w:kern w:val="0"/>
          <w:sz w:val="32"/>
          <w:szCs w:val="32"/>
        </w:rPr>
        <w:t>三、支出决算情况说明</w:t>
      </w:r>
      <w:r>
        <w:rPr>
          <w:rFonts w:hint="eastAsia" w:ascii="仿宋_GB2312" w:hAnsi="仿宋_GB2312" w:eastAsia="仿宋_GB2312" w:cs="仿宋_GB2312"/>
          <w:bCs/>
          <w:color w:val="auto"/>
          <w:kern w:val="0"/>
          <w:sz w:val="32"/>
          <w:szCs w:val="32"/>
        </w:rPr>
        <w:fldChar w:fldCharType="end"/>
      </w:r>
    </w:p>
    <w:p>
      <w:pPr>
        <w:pStyle w:val="7"/>
        <w:keepNext w:val="0"/>
        <w:keepLines w:val="0"/>
        <w:pageBreakBefore w:val="0"/>
        <w:tabs>
          <w:tab w:val="right" w:pos="8306"/>
        </w:tabs>
        <w:kinsoku/>
        <w:wordWrap/>
        <w:overflowPunct/>
        <w:topLinePunct w:val="0"/>
        <w:bidi w:val="0"/>
        <w:adjustRightInd/>
        <w:snapToGrid/>
        <w:spacing w:line="560" w:lineRule="exact"/>
        <w:ind w:left="0" w:leftChars="0"/>
        <w:textAlignment w:val="auto"/>
        <w:rPr>
          <w:rFonts w:ascii="仿宋_GB2312" w:hAnsi="仿宋_GB2312" w:eastAsia="仿宋_GB2312" w:cs="仿宋_GB2312"/>
          <w:color w:val="auto"/>
          <w:sz w:val="32"/>
          <w:szCs w:val="32"/>
        </w:rPr>
      </w:pPr>
      <w:r>
        <w:rPr>
          <w:color w:val="auto"/>
        </w:rPr>
        <w:fldChar w:fldCharType="begin"/>
      </w:r>
      <w:r>
        <w:rPr>
          <w:color w:val="auto"/>
        </w:rPr>
        <w:instrText xml:space="preserve"> HYPERLINK \l "_Toc26564" </w:instrText>
      </w:r>
      <w:r>
        <w:rPr>
          <w:color w:val="auto"/>
        </w:rPr>
        <w:fldChar w:fldCharType="separate"/>
      </w:r>
      <w:r>
        <w:rPr>
          <w:rFonts w:hint="eastAsia" w:ascii="仿宋_GB2312" w:hAnsi="仿宋_GB2312" w:eastAsia="仿宋_GB2312" w:cs="仿宋_GB2312"/>
          <w:bCs/>
          <w:color w:val="auto"/>
          <w:kern w:val="0"/>
          <w:sz w:val="32"/>
          <w:szCs w:val="32"/>
        </w:rPr>
        <w:t>四、财政拨款收入支出决算总体情况说明</w:t>
      </w:r>
      <w:r>
        <w:rPr>
          <w:rFonts w:hint="eastAsia" w:ascii="仿宋_GB2312" w:hAnsi="仿宋_GB2312" w:eastAsia="仿宋_GB2312" w:cs="仿宋_GB2312"/>
          <w:bCs/>
          <w:color w:val="auto"/>
          <w:kern w:val="0"/>
          <w:sz w:val="32"/>
          <w:szCs w:val="32"/>
        </w:rPr>
        <w:fldChar w:fldCharType="end"/>
      </w:r>
    </w:p>
    <w:p>
      <w:pPr>
        <w:pStyle w:val="7"/>
        <w:keepNext w:val="0"/>
        <w:keepLines w:val="0"/>
        <w:pageBreakBefore w:val="0"/>
        <w:tabs>
          <w:tab w:val="right" w:pos="8306"/>
        </w:tabs>
        <w:kinsoku/>
        <w:wordWrap/>
        <w:overflowPunct/>
        <w:topLinePunct w:val="0"/>
        <w:bidi w:val="0"/>
        <w:adjustRightInd/>
        <w:snapToGrid/>
        <w:spacing w:line="560" w:lineRule="exact"/>
        <w:ind w:left="0" w:leftChars="0"/>
        <w:textAlignment w:val="auto"/>
        <w:rPr>
          <w:rFonts w:ascii="仿宋_GB2312" w:hAnsi="仿宋_GB2312" w:eastAsia="仿宋_GB2312" w:cs="仿宋_GB2312"/>
          <w:color w:val="auto"/>
          <w:sz w:val="32"/>
          <w:szCs w:val="32"/>
        </w:rPr>
      </w:pPr>
      <w:r>
        <w:rPr>
          <w:color w:val="auto"/>
        </w:rPr>
        <w:fldChar w:fldCharType="begin"/>
      </w:r>
      <w:r>
        <w:rPr>
          <w:color w:val="auto"/>
        </w:rPr>
        <w:instrText xml:space="preserve"> HYPERLINK \l "_Toc20360" </w:instrText>
      </w:r>
      <w:r>
        <w:rPr>
          <w:color w:val="auto"/>
        </w:rPr>
        <w:fldChar w:fldCharType="separate"/>
      </w:r>
      <w:r>
        <w:rPr>
          <w:rFonts w:hint="eastAsia" w:ascii="仿宋_GB2312" w:hAnsi="仿宋_GB2312" w:eastAsia="仿宋_GB2312" w:cs="仿宋_GB2312"/>
          <w:bCs/>
          <w:color w:val="auto"/>
          <w:kern w:val="0"/>
          <w:sz w:val="32"/>
          <w:szCs w:val="32"/>
        </w:rPr>
        <w:t>五、一般公共预算财政拨款支出决算情况说明</w:t>
      </w:r>
      <w:r>
        <w:rPr>
          <w:rFonts w:hint="eastAsia" w:ascii="仿宋_GB2312" w:hAnsi="仿宋_GB2312" w:eastAsia="仿宋_GB2312" w:cs="仿宋_GB2312"/>
          <w:bCs/>
          <w:color w:val="auto"/>
          <w:kern w:val="0"/>
          <w:sz w:val="32"/>
          <w:szCs w:val="32"/>
        </w:rPr>
        <w:fldChar w:fldCharType="end"/>
      </w:r>
    </w:p>
    <w:p>
      <w:pPr>
        <w:pStyle w:val="7"/>
        <w:keepNext w:val="0"/>
        <w:keepLines w:val="0"/>
        <w:pageBreakBefore w:val="0"/>
        <w:tabs>
          <w:tab w:val="right" w:pos="8306"/>
        </w:tabs>
        <w:kinsoku/>
        <w:wordWrap/>
        <w:overflowPunct/>
        <w:topLinePunct w:val="0"/>
        <w:bidi w:val="0"/>
        <w:adjustRightInd/>
        <w:snapToGrid/>
        <w:spacing w:line="560" w:lineRule="exact"/>
        <w:ind w:left="0" w:leftChars="0"/>
        <w:textAlignment w:val="auto"/>
        <w:rPr>
          <w:rFonts w:ascii="仿宋_GB2312" w:hAnsi="仿宋_GB2312" w:eastAsia="仿宋_GB2312" w:cs="仿宋_GB2312"/>
          <w:color w:val="auto"/>
          <w:sz w:val="32"/>
          <w:szCs w:val="32"/>
        </w:rPr>
      </w:pPr>
      <w:r>
        <w:rPr>
          <w:color w:val="auto"/>
        </w:rPr>
        <w:fldChar w:fldCharType="begin"/>
      </w:r>
      <w:r>
        <w:rPr>
          <w:color w:val="auto"/>
        </w:rPr>
        <w:instrText xml:space="preserve"> HYPERLINK \l "_Toc30870" </w:instrText>
      </w:r>
      <w:r>
        <w:rPr>
          <w:color w:val="auto"/>
        </w:rPr>
        <w:fldChar w:fldCharType="separate"/>
      </w:r>
      <w:r>
        <w:rPr>
          <w:rFonts w:hint="eastAsia" w:ascii="仿宋_GB2312" w:hAnsi="仿宋_GB2312" w:eastAsia="仿宋_GB2312" w:cs="仿宋_GB2312"/>
          <w:bCs/>
          <w:color w:val="auto"/>
          <w:kern w:val="0"/>
          <w:sz w:val="32"/>
          <w:szCs w:val="32"/>
        </w:rPr>
        <w:t>六、一般公共预算财政拨款基本支出决算情况说明</w:t>
      </w:r>
      <w:r>
        <w:rPr>
          <w:rFonts w:hint="eastAsia" w:ascii="仿宋_GB2312" w:hAnsi="仿宋_GB2312" w:eastAsia="仿宋_GB2312" w:cs="仿宋_GB2312"/>
          <w:bCs/>
          <w:color w:val="auto"/>
          <w:kern w:val="0"/>
          <w:sz w:val="32"/>
          <w:szCs w:val="32"/>
        </w:rPr>
        <w:fldChar w:fldCharType="end"/>
      </w:r>
    </w:p>
    <w:p>
      <w:pPr>
        <w:pStyle w:val="7"/>
        <w:keepNext w:val="0"/>
        <w:keepLines w:val="0"/>
        <w:pageBreakBefore w:val="0"/>
        <w:tabs>
          <w:tab w:val="right" w:pos="8306"/>
        </w:tabs>
        <w:kinsoku/>
        <w:wordWrap/>
        <w:overflowPunct/>
        <w:topLinePunct w:val="0"/>
        <w:bidi w:val="0"/>
        <w:adjustRightInd/>
        <w:snapToGrid/>
        <w:spacing w:line="560" w:lineRule="exact"/>
        <w:ind w:left="0" w:leftChars="0"/>
        <w:textAlignment w:val="auto"/>
        <w:rPr>
          <w:rFonts w:ascii="仿宋_GB2312" w:hAnsi="仿宋_GB2312" w:eastAsia="仿宋_GB2312" w:cs="仿宋_GB2312"/>
          <w:color w:val="auto"/>
          <w:sz w:val="32"/>
          <w:szCs w:val="32"/>
        </w:rPr>
      </w:pPr>
      <w:r>
        <w:rPr>
          <w:color w:val="auto"/>
        </w:rPr>
        <w:fldChar w:fldCharType="begin"/>
      </w:r>
      <w:r>
        <w:rPr>
          <w:color w:val="auto"/>
        </w:rPr>
        <w:instrText xml:space="preserve"> HYPERLINK \l "_Toc21518" </w:instrText>
      </w:r>
      <w:r>
        <w:rPr>
          <w:color w:val="auto"/>
        </w:rPr>
        <w:fldChar w:fldCharType="separate"/>
      </w:r>
      <w:r>
        <w:rPr>
          <w:rFonts w:hint="eastAsia" w:ascii="仿宋_GB2312" w:hAnsi="仿宋_GB2312" w:eastAsia="仿宋_GB2312" w:cs="仿宋_GB2312"/>
          <w:bCs/>
          <w:color w:val="auto"/>
          <w:kern w:val="0"/>
          <w:sz w:val="32"/>
          <w:szCs w:val="32"/>
        </w:rPr>
        <w:t>七、财政拨款“三公”经费支出决算情况说明</w:t>
      </w:r>
      <w:r>
        <w:rPr>
          <w:rFonts w:hint="eastAsia" w:ascii="仿宋_GB2312" w:hAnsi="仿宋_GB2312" w:eastAsia="仿宋_GB2312" w:cs="仿宋_GB2312"/>
          <w:bCs/>
          <w:color w:val="auto"/>
          <w:kern w:val="0"/>
          <w:sz w:val="32"/>
          <w:szCs w:val="32"/>
        </w:rPr>
        <w:fldChar w:fldCharType="end"/>
      </w:r>
    </w:p>
    <w:p>
      <w:pPr>
        <w:pStyle w:val="7"/>
        <w:keepNext w:val="0"/>
        <w:keepLines w:val="0"/>
        <w:pageBreakBefore w:val="0"/>
        <w:tabs>
          <w:tab w:val="right" w:pos="8306"/>
        </w:tabs>
        <w:kinsoku/>
        <w:wordWrap/>
        <w:overflowPunct/>
        <w:topLinePunct w:val="0"/>
        <w:bidi w:val="0"/>
        <w:adjustRightInd/>
        <w:snapToGrid/>
        <w:spacing w:line="560" w:lineRule="exact"/>
        <w:ind w:left="0" w:leftChars="0"/>
        <w:textAlignment w:val="auto"/>
        <w:rPr>
          <w:rFonts w:ascii="仿宋_GB2312" w:hAnsi="仿宋_GB2312" w:eastAsia="仿宋_GB2312" w:cs="仿宋_GB2312"/>
          <w:color w:val="auto"/>
          <w:sz w:val="32"/>
          <w:szCs w:val="32"/>
        </w:rPr>
      </w:pPr>
      <w:r>
        <w:rPr>
          <w:color w:val="auto"/>
        </w:rPr>
        <w:fldChar w:fldCharType="begin"/>
      </w:r>
      <w:r>
        <w:rPr>
          <w:color w:val="auto"/>
        </w:rPr>
        <w:instrText xml:space="preserve"> HYPERLINK \l "_Toc5810" </w:instrText>
      </w:r>
      <w:r>
        <w:rPr>
          <w:color w:val="auto"/>
        </w:rPr>
        <w:fldChar w:fldCharType="separate"/>
      </w:r>
      <w:r>
        <w:rPr>
          <w:rFonts w:hint="eastAsia" w:ascii="仿宋_GB2312" w:hAnsi="仿宋_GB2312" w:eastAsia="仿宋_GB2312" w:cs="仿宋_GB2312"/>
          <w:bCs/>
          <w:color w:val="auto"/>
          <w:kern w:val="0"/>
          <w:sz w:val="32"/>
          <w:szCs w:val="32"/>
        </w:rPr>
        <w:t>八、政府性基金预算财政拨款收入支出决算情况说明</w:t>
      </w:r>
      <w:r>
        <w:rPr>
          <w:rFonts w:hint="eastAsia" w:ascii="仿宋_GB2312" w:hAnsi="仿宋_GB2312" w:eastAsia="仿宋_GB2312" w:cs="仿宋_GB2312"/>
          <w:bCs/>
          <w:color w:val="auto"/>
          <w:kern w:val="0"/>
          <w:sz w:val="32"/>
          <w:szCs w:val="32"/>
        </w:rPr>
        <w:fldChar w:fldCharType="end"/>
      </w:r>
    </w:p>
    <w:p>
      <w:pPr>
        <w:keepNext w:val="0"/>
        <w:keepLines w:val="0"/>
        <w:pageBreakBefore w:val="0"/>
        <w:kinsoku/>
        <w:wordWrap/>
        <w:overflowPunct/>
        <w:topLinePunct w:val="0"/>
        <w:bidi w:val="0"/>
        <w:adjustRightInd/>
        <w:snapToGrid/>
        <w:spacing w:line="560" w:lineRule="exact"/>
        <w:textAlignment w:val="auto"/>
        <w:rPr>
          <w:color w:val="auto"/>
        </w:rPr>
      </w:pPr>
      <w:r>
        <w:rPr>
          <w:color w:val="auto"/>
        </w:rPr>
        <w:fldChar w:fldCharType="begin"/>
      </w:r>
      <w:r>
        <w:rPr>
          <w:color w:val="auto"/>
        </w:rPr>
        <w:instrText xml:space="preserve"> HYPERLINK \l "_Toc5810" </w:instrText>
      </w:r>
      <w:r>
        <w:rPr>
          <w:color w:val="auto"/>
        </w:rPr>
        <w:fldChar w:fldCharType="separate"/>
      </w:r>
      <w:r>
        <w:rPr>
          <w:rFonts w:hint="eastAsia" w:ascii="仿宋_GB2312" w:hAnsi="仿宋_GB2312" w:eastAsia="仿宋_GB2312" w:cs="仿宋_GB2312"/>
          <w:bCs/>
          <w:color w:val="auto"/>
          <w:kern w:val="0"/>
          <w:sz w:val="32"/>
          <w:szCs w:val="32"/>
        </w:rPr>
        <w:t>九、国有资本经营预算财政拨款收入支出决算情况说明</w:t>
      </w:r>
      <w:r>
        <w:rPr>
          <w:rFonts w:hint="eastAsia" w:ascii="仿宋_GB2312" w:hAnsi="仿宋_GB2312" w:eastAsia="仿宋_GB2312" w:cs="仿宋_GB2312"/>
          <w:bCs/>
          <w:color w:val="auto"/>
          <w:kern w:val="0"/>
          <w:sz w:val="32"/>
          <w:szCs w:val="32"/>
        </w:rPr>
        <w:fldChar w:fldCharType="end"/>
      </w:r>
    </w:p>
    <w:p>
      <w:pPr>
        <w:pStyle w:val="7"/>
        <w:keepNext w:val="0"/>
        <w:keepLines w:val="0"/>
        <w:pageBreakBefore w:val="0"/>
        <w:tabs>
          <w:tab w:val="right" w:pos="8306"/>
        </w:tabs>
        <w:kinsoku/>
        <w:wordWrap/>
        <w:overflowPunct/>
        <w:topLinePunct w:val="0"/>
        <w:bidi w:val="0"/>
        <w:adjustRightInd/>
        <w:snapToGrid/>
        <w:spacing w:line="560" w:lineRule="exact"/>
        <w:ind w:left="0" w:leftChars="0"/>
        <w:textAlignment w:val="auto"/>
        <w:rPr>
          <w:rFonts w:ascii="仿宋_GB2312" w:hAnsi="仿宋_GB2312" w:eastAsia="仿宋_GB2312" w:cs="仿宋_GB2312"/>
          <w:color w:val="auto"/>
          <w:sz w:val="32"/>
          <w:szCs w:val="32"/>
        </w:rPr>
      </w:pPr>
      <w:r>
        <w:rPr>
          <w:color w:val="auto"/>
        </w:rPr>
        <w:fldChar w:fldCharType="begin"/>
      </w:r>
      <w:r>
        <w:rPr>
          <w:color w:val="auto"/>
        </w:rPr>
        <w:instrText xml:space="preserve"> HYPERLINK \l "_Toc1235" </w:instrText>
      </w:r>
      <w:r>
        <w:rPr>
          <w:color w:val="auto"/>
        </w:rPr>
        <w:fldChar w:fldCharType="separate"/>
      </w:r>
      <w:r>
        <w:rPr>
          <w:rFonts w:hint="eastAsia" w:ascii="仿宋_GB2312" w:hAnsi="仿宋_GB2312" w:eastAsia="仿宋_GB2312" w:cs="仿宋_GB2312"/>
          <w:color w:val="auto"/>
          <w:sz w:val="32"/>
          <w:szCs w:val="32"/>
        </w:rPr>
        <w:t>十</w:t>
      </w:r>
      <w:r>
        <w:rPr>
          <w:rFonts w:hint="eastAsia" w:ascii="仿宋_GB2312" w:hAnsi="仿宋_GB2312" w:eastAsia="仿宋_GB2312" w:cs="仿宋_GB2312"/>
          <w:bCs/>
          <w:color w:val="auto"/>
          <w:kern w:val="0"/>
          <w:sz w:val="32"/>
          <w:szCs w:val="32"/>
        </w:rPr>
        <w:t>、其他重要事项的情况说明</w:t>
      </w:r>
      <w:r>
        <w:rPr>
          <w:rFonts w:hint="eastAsia" w:ascii="仿宋_GB2312" w:hAnsi="仿宋_GB2312" w:eastAsia="仿宋_GB2312" w:cs="仿宋_GB2312"/>
          <w:bCs/>
          <w:color w:val="auto"/>
          <w:kern w:val="0"/>
          <w:sz w:val="32"/>
          <w:szCs w:val="32"/>
        </w:rPr>
        <w:fldChar w:fldCharType="end"/>
      </w:r>
    </w:p>
    <w:p>
      <w:pPr>
        <w:pStyle w:val="3"/>
        <w:keepNext w:val="0"/>
        <w:keepLines w:val="0"/>
        <w:pageBreakBefore w:val="0"/>
        <w:tabs>
          <w:tab w:val="right" w:pos="8306"/>
        </w:tabs>
        <w:kinsoku/>
        <w:wordWrap/>
        <w:overflowPunct/>
        <w:topLinePunct w:val="0"/>
        <w:bidi w:val="0"/>
        <w:adjustRightInd/>
        <w:snapToGrid/>
        <w:spacing w:line="560" w:lineRule="exact"/>
        <w:ind w:left="0" w:leftChars="0"/>
        <w:textAlignment w:val="auto"/>
        <w:rPr>
          <w:rFonts w:ascii="仿宋_GB2312" w:hAnsi="仿宋_GB2312" w:eastAsia="仿宋_GB2312" w:cs="仿宋_GB2312"/>
          <w:color w:val="auto"/>
          <w:sz w:val="32"/>
          <w:szCs w:val="32"/>
        </w:rPr>
      </w:pPr>
      <w:r>
        <w:rPr>
          <w:color w:val="auto"/>
        </w:rPr>
        <w:fldChar w:fldCharType="begin"/>
      </w:r>
      <w:r>
        <w:rPr>
          <w:color w:val="auto"/>
        </w:rPr>
        <w:instrText xml:space="preserve"> HYPERLINK \l "_Toc14519" </w:instrText>
      </w:r>
      <w:r>
        <w:rPr>
          <w:color w:val="auto"/>
        </w:rPr>
        <w:fldChar w:fldCharType="separate"/>
      </w:r>
      <w:r>
        <w:rPr>
          <w:rFonts w:hint="eastAsia" w:ascii="仿宋_GB2312" w:hAnsi="仿宋_GB2312" w:eastAsia="仿宋_GB2312" w:cs="仿宋_GB2312"/>
          <w:color w:val="auto"/>
          <w:sz w:val="32"/>
          <w:szCs w:val="32"/>
        </w:rPr>
        <w:t>（一）机关运行经费支出情况</w:t>
      </w:r>
      <w:r>
        <w:rPr>
          <w:rFonts w:hint="eastAsia" w:ascii="仿宋_GB2312" w:hAnsi="仿宋_GB2312" w:eastAsia="仿宋_GB2312" w:cs="仿宋_GB2312"/>
          <w:color w:val="auto"/>
          <w:sz w:val="32"/>
          <w:szCs w:val="32"/>
        </w:rPr>
        <w:fldChar w:fldCharType="end"/>
      </w:r>
    </w:p>
    <w:p>
      <w:pPr>
        <w:pStyle w:val="3"/>
        <w:keepNext w:val="0"/>
        <w:keepLines w:val="0"/>
        <w:pageBreakBefore w:val="0"/>
        <w:tabs>
          <w:tab w:val="right" w:pos="8306"/>
        </w:tabs>
        <w:kinsoku/>
        <w:wordWrap/>
        <w:overflowPunct/>
        <w:topLinePunct w:val="0"/>
        <w:bidi w:val="0"/>
        <w:adjustRightInd/>
        <w:snapToGrid/>
        <w:spacing w:line="560" w:lineRule="exact"/>
        <w:ind w:left="0" w:leftChars="0"/>
        <w:textAlignment w:val="auto"/>
        <w:rPr>
          <w:rFonts w:ascii="仿宋_GB2312" w:hAnsi="仿宋_GB2312" w:eastAsia="仿宋_GB2312" w:cs="仿宋_GB2312"/>
          <w:color w:val="auto"/>
          <w:sz w:val="32"/>
          <w:szCs w:val="32"/>
        </w:rPr>
      </w:pPr>
      <w:r>
        <w:rPr>
          <w:color w:val="auto"/>
        </w:rPr>
        <w:fldChar w:fldCharType="begin"/>
      </w:r>
      <w:r>
        <w:rPr>
          <w:color w:val="auto"/>
        </w:rPr>
        <w:instrText xml:space="preserve"> HYPERLINK \l "_Toc227" </w:instrText>
      </w:r>
      <w:r>
        <w:rPr>
          <w:color w:val="auto"/>
        </w:rPr>
        <w:fldChar w:fldCharType="separate"/>
      </w:r>
      <w:r>
        <w:rPr>
          <w:rFonts w:hint="eastAsia" w:ascii="仿宋_GB2312" w:hAnsi="仿宋_GB2312" w:eastAsia="仿宋_GB2312" w:cs="仿宋_GB2312"/>
          <w:color w:val="auto"/>
          <w:sz w:val="32"/>
          <w:szCs w:val="32"/>
        </w:rPr>
        <w:t>（二）政府采购情况</w:t>
      </w:r>
      <w:r>
        <w:rPr>
          <w:rFonts w:hint="eastAsia" w:ascii="仿宋_GB2312" w:hAnsi="仿宋_GB2312" w:eastAsia="仿宋_GB2312" w:cs="仿宋_GB2312"/>
          <w:color w:val="auto"/>
          <w:sz w:val="32"/>
          <w:szCs w:val="32"/>
        </w:rPr>
        <w:fldChar w:fldCharType="end"/>
      </w:r>
    </w:p>
    <w:p>
      <w:pPr>
        <w:pStyle w:val="3"/>
        <w:keepNext w:val="0"/>
        <w:keepLines w:val="0"/>
        <w:pageBreakBefore w:val="0"/>
        <w:tabs>
          <w:tab w:val="right" w:pos="8306"/>
        </w:tabs>
        <w:kinsoku/>
        <w:wordWrap/>
        <w:overflowPunct/>
        <w:topLinePunct w:val="0"/>
        <w:bidi w:val="0"/>
        <w:adjustRightInd/>
        <w:snapToGrid/>
        <w:spacing w:line="560" w:lineRule="exact"/>
        <w:ind w:left="0" w:leftChars="0"/>
        <w:textAlignment w:val="auto"/>
        <w:rPr>
          <w:rFonts w:ascii="仿宋_GB2312" w:hAnsi="仿宋_GB2312" w:eastAsia="仿宋_GB2312" w:cs="仿宋_GB2312"/>
          <w:color w:val="auto"/>
          <w:sz w:val="32"/>
          <w:szCs w:val="32"/>
        </w:rPr>
      </w:pPr>
      <w:r>
        <w:rPr>
          <w:color w:val="auto"/>
        </w:rPr>
        <w:fldChar w:fldCharType="begin"/>
      </w:r>
      <w:r>
        <w:rPr>
          <w:color w:val="auto"/>
        </w:rPr>
        <w:instrText xml:space="preserve"> HYPERLINK \l "_Toc8391" </w:instrText>
      </w:r>
      <w:r>
        <w:rPr>
          <w:color w:val="auto"/>
        </w:rPr>
        <w:fldChar w:fldCharType="separate"/>
      </w:r>
      <w:r>
        <w:rPr>
          <w:rFonts w:hint="eastAsia" w:ascii="仿宋_GB2312" w:hAnsi="仿宋_GB2312" w:eastAsia="仿宋_GB2312" w:cs="仿宋_GB2312"/>
          <w:color w:val="auto"/>
          <w:sz w:val="32"/>
          <w:szCs w:val="32"/>
        </w:rPr>
        <w:t>（三）国有资产占用情况说明</w:t>
      </w:r>
      <w:r>
        <w:rPr>
          <w:rFonts w:hint="eastAsia" w:ascii="仿宋_GB2312" w:hAnsi="仿宋_GB2312" w:eastAsia="仿宋_GB2312" w:cs="仿宋_GB2312"/>
          <w:color w:val="auto"/>
          <w:sz w:val="32"/>
          <w:szCs w:val="32"/>
        </w:rPr>
        <w:fldChar w:fldCharType="end"/>
      </w:r>
    </w:p>
    <w:p>
      <w:pPr>
        <w:pStyle w:val="7"/>
        <w:keepNext w:val="0"/>
        <w:keepLines w:val="0"/>
        <w:pageBreakBefore w:val="0"/>
        <w:tabs>
          <w:tab w:val="right" w:pos="8306"/>
        </w:tabs>
        <w:kinsoku/>
        <w:wordWrap/>
        <w:overflowPunct/>
        <w:topLinePunct w:val="0"/>
        <w:bidi w:val="0"/>
        <w:adjustRightInd/>
        <w:snapToGrid/>
        <w:spacing w:line="560" w:lineRule="exact"/>
        <w:ind w:left="0" w:leftChars="0"/>
        <w:textAlignment w:val="auto"/>
        <w:rPr>
          <w:rFonts w:ascii="仿宋_GB2312" w:hAnsi="仿宋_GB2312" w:eastAsia="仿宋_GB2312" w:cs="仿宋_GB2312"/>
          <w:color w:val="auto"/>
          <w:sz w:val="32"/>
          <w:szCs w:val="32"/>
        </w:rPr>
      </w:pPr>
      <w:r>
        <w:rPr>
          <w:color w:val="auto"/>
        </w:rPr>
        <w:fldChar w:fldCharType="begin"/>
      </w:r>
      <w:r>
        <w:rPr>
          <w:color w:val="auto"/>
        </w:rPr>
        <w:instrText xml:space="preserve"> HYPERLINK \l "_Toc11283" </w:instrText>
      </w:r>
      <w:r>
        <w:rPr>
          <w:color w:val="auto"/>
        </w:rPr>
        <w:fldChar w:fldCharType="separate"/>
      </w:r>
      <w:r>
        <w:rPr>
          <w:rFonts w:hint="eastAsia" w:ascii="仿宋_GB2312" w:hAnsi="仿宋_GB2312" w:eastAsia="仿宋_GB2312" w:cs="仿宋_GB2312"/>
          <w:bCs/>
          <w:color w:val="auto"/>
          <w:kern w:val="0"/>
          <w:sz w:val="32"/>
          <w:szCs w:val="32"/>
        </w:rPr>
        <w:t>十一、预算绩效的情况说明</w:t>
      </w:r>
      <w:r>
        <w:rPr>
          <w:rFonts w:hint="eastAsia" w:ascii="仿宋_GB2312" w:hAnsi="仿宋_GB2312" w:eastAsia="仿宋_GB2312" w:cs="仿宋_GB2312"/>
          <w:bCs/>
          <w:color w:val="auto"/>
          <w:kern w:val="0"/>
          <w:sz w:val="32"/>
          <w:szCs w:val="32"/>
        </w:rPr>
        <w:fldChar w:fldCharType="end"/>
      </w:r>
    </w:p>
    <w:p>
      <w:pPr>
        <w:pStyle w:val="7"/>
        <w:keepNext w:val="0"/>
        <w:keepLines w:val="0"/>
        <w:pageBreakBefore w:val="0"/>
        <w:tabs>
          <w:tab w:val="right" w:pos="8306"/>
        </w:tabs>
        <w:kinsoku/>
        <w:wordWrap/>
        <w:overflowPunct/>
        <w:topLinePunct w:val="0"/>
        <w:bidi w:val="0"/>
        <w:adjustRightInd/>
        <w:snapToGrid/>
        <w:spacing w:line="560" w:lineRule="exact"/>
        <w:ind w:left="0" w:leftChars="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十二、其他需说明的事项</w:t>
      </w:r>
    </w:p>
    <w:p>
      <w:pPr>
        <w:pStyle w:val="6"/>
        <w:keepNext w:val="0"/>
        <w:keepLines w:val="0"/>
        <w:pageBreakBefore w:val="0"/>
        <w:tabs>
          <w:tab w:val="right" w:pos="8306"/>
        </w:tabs>
        <w:kinsoku/>
        <w:wordWrap/>
        <w:overflowPunct/>
        <w:topLinePunct w:val="0"/>
        <w:bidi w:val="0"/>
        <w:adjustRightInd/>
        <w:snapToGrid/>
        <w:spacing w:line="560" w:lineRule="exact"/>
        <w:textAlignment w:val="auto"/>
        <w:rPr>
          <w:rFonts w:ascii="仿宋_GB2312" w:hAnsi="仿宋_GB2312" w:eastAsia="仿宋_GB2312" w:cs="仿宋_GB2312"/>
          <w:b/>
          <w:bCs/>
          <w:color w:val="auto"/>
          <w:sz w:val="32"/>
          <w:szCs w:val="32"/>
        </w:rPr>
      </w:pPr>
      <w:r>
        <w:rPr>
          <w:color w:val="auto"/>
        </w:rPr>
        <w:fldChar w:fldCharType="begin"/>
      </w:r>
      <w:r>
        <w:rPr>
          <w:color w:val="auto"/>
        </w:rPr>
        <w:instrText xml:space="preserve"> HYPERLINK \l "_Toc3250" </w:instrText>
      </w:r>
      <w:r>
        <w:rPr>
          <w:color w:val="auto"/>
        </w:rPr>
        <w:fldChar w:fldCharType="separate"/>
      </w:r>
      <w:r>
        <w:rPr>
          <w:rFonts w:hint="eastAsia" w:ascii="仿宋_GB2312" w:hAnsi="仿宋_GB2312" w:eastAsia="仿宋_GB2312" w:cs="仿宋_GB2312"/>
          <w:b/>
          <w:bCs/>
          <w:color w:val="auto"/>
          <w:sz w:val="32"/>
          <w:szCs w:val="32"/>
        </w:rPr>
        <w:t>第三部分 专业名词解释</w:t>
      </w:r>
      <w:r>
        <w:rPr>
          <w:rFonts w:hint="eastAsia" w:ascii="仿宋_GB2312" w:hAnsi="仿宋_GB2312" w:eastAsia="仿宋_GB2312" w:cs="仿宋_GB2312"/>
          <w:b/>
          <w:bCs/>
          <w:color w:val="auto"/>
          <w:sz w:val="32"/>
          <w:szCs w:val="32"/>
        </w:rPr>
        <w:fldChar w:fldCharType="end"/>
      </w:r>
    </w:p>
    <w:p>
      <w:pPr>
        <w:pStyle w:val="6"/>
        <w:keepNext w:val="0"/>
        <w:keepLines w:val="0"/>
        <w:pageBreakBefore w:val="0"/>
        <w:tabs>
          <w:tab w:val="right" w:pos="8306"/>
        </w:tabs>
        <w:kinsoku/>
        <w:wordWrap/>
        <w:overflowPunct/>
        <w:topLinePunct w:val="0"/>
        <w:bidi w:val="0"/>
        <w:adjustRightInd/>
        <w:snapToGrid/>
        <w:spacing w:line="560" w:lineRule="exact"/>
        <w:textAlignment w:val="auto"/>
        <w:rPr>
          <w:rFonts w:ascii="仿宋_GB2312" w:hAnsi="仿宋_GB2312" w:eastAsia="仿宋_GB2312" w:cs="仿宋_GB2312"/>
          <w:b/>
          <w:bCs/>
          <w:color w:val="auto"/>
          <w:sz w:val="32"/>
          <w:szCs w:val="32"/>
        </w:rPr>
      </w:pPr>
      <w:r>
        <w:rPr>
          <w:color w:val="auto"/>
        </w:rPr>
        <w:fldChar w:fldCharType="begin"/>
      </w:r>
      <w:r>
        <w:rPr>
          <w:color w:val="auto"/>
        </w:rPr>
        <w:instrText xml:space="preserve"> HYPERLINK \l "_Toc22784" </w:instrText>
      </w:r>
      <w:r>
        <w:rPr>
          <w:color w:val="auto"/>
        </w:rPr>
        <w:fldChar w:fldCharType="separate"/>
      </w:r>
      <w:r>
        <w:rPr>
          <w:rFonts w:hint="eastAsia" w:ascii="仿宋_GB2312" w:hAnsi="仿宋_GB2312" w:eastAsia="仿宋_GB2312" w:cs="仿宋_GB2312"/>
          <w:b/>
          <w:bCs/>
          <w:color w:val="auto"/>
          <w:sz w:val="32"/>
          <w:szCs w:val="32"/>
        </w:rPr>
        <w:t xml:space="preserve">第四部分 </w:t>
      </w:r>
      <w:r>
        <w:rPr>
          <w:rFonts w:hint="eastAsia" w:ascii="仿宋_GB2312" w:hAnsi="仿宋_GB2312" w:eastAsia="仿宋_GB2312" w:cs="仿宋_GB2312"/>
          <w:b/>
          <w:bCs/>
          <w:color w:val="auto"/>
          <w:sz w:val="32"/>
          <w:szCs w:val="32"/>
          <w:lang w:eastAsia="zh-CN"/>
        </w:rPr>
        <w:t>部门</w:t>
      </w:r>
      <w:r>
        <w:rPr>
          <w:rFonts w:hint="eastAsia" w:ascii="仿宋_GB2312" w:hAnsi="仿宋_GB2312" w:eastAsia="仿宋_GB2312" w:cs="仿宋_GB2312"/>
          <w:b/>
          <w:bCs/>
          <w:color w:val="auto"/>
          <w:sz w:val="32"/>
          <w:szCs w:val="32"/>
        </w:rPr>
        <w:t>决算报表（见附表）</w:t>
      </w:r>
      <w:r>
        <w:rPr>
          <w:rFonts w:hint="eastAsia" w:ascii="仿宋_GB2312" w:hAnsi="仿宋_GB2312" w:eastAsia="仿宋_GB2312" w:cs="仿宋_GB2312"/>
          <w:b/>
          <w:bCs/>
          <w:color w:val="auto"/>
          <w:sz w:val="32"/>
          <w:szCs w:val="32"/>
        </w:rPr>
        <w:fldChar w:fldCharType="end"/>
      </w:r>
    </w:p>
    <w:p>
      <w:pPr>
        <w:pStyle w:val="7"/>
        <w:keepNext w:val="0"/>
        <w:keepLines w:val="0"/>
        <w:pageBreakBefore w:val="0"/>
        <w:tabs>
          <w:tab w:val="right" w:pos="8306"/>
        </w:tabs>
        <w:kinsoku/>
        <w:wordWrap/>
        <w:overflowPunct/>
        <w:topLinePunct w:val="0"/>
        <w:bidi w:val="0"/>
        <w:adjustRightInd/>
        <w:snapToGrid/>
        <w:spacing w:line="560" w:lineRule="exact"/>
        <w:ind w:left="0" w:leftChars="0"/>
        <w:textAlignment w:val="auto"/>
        <w:rPr>
          <w:rFonts w:ascii="仿宋_GB2312" w:hAnsi="仿宋_GB2312" w:eastAsia="仿宋_GB2312" w:cs="仿宋_GB2312"/>
          <w:color w:val="auto"/>
          <w:sz w:val="32"/>
          <w:szCs w:val="32"/>
        </w:rPr>
      </w:pPr>
      <w:r>
        <w:rPr>
          <w:color w:val="auto"/>
        </w:rPr>
        <w:fldChar w:fldCharType="begin"/>
      </w:r>
      <w:r>
        <w:rPr>
          <w:color w:val="auto"/>
        </w:rPr>
        <w:instrText xml:space="preserve"> HYPERLINK \l "_Toc2183" </w:instrText>
      </w:r>
      <w:r>
        <w:rPr>
          <w:color w:val="auto"/>
        </w:rPr>
        <w:fldChar w:fldCharType="separate"/>
      </w:r>
      <w:r>
        <w:rPr>
          <w:rFonts w:hint="eastAsia" w:ascii="仿宋_GB2312" w:hAnsi="仿宋_GB2312" w:eastAsia="仿宋_GB2312" w:cs="仿宋_GB2312"/>
          <w:bCs/>
          <w:color w:val="auto"/>
          <w:kern w:val="0"/>
          <w:sz w:val="32"/>
          <w:szCs w:val="32"/>
        </w:rPr>
        <w:t>一、《收入支出决算总表》</w:t>
      </w:r>
      <w:r>
        <w:rPr>
          <w:rFonts w:hint="eastAsia" w:ascii="仿宋_GB2312" w:hAnsi="仿宋_GB2312" w:eastAsia="仿宋_GB2312" w:cs="仿宋_GB2312"/>
          <w:bCs/>
          <w:color w:val="auto"/>
          <w:kern w:val="0"/>
          <w:sz w:val="32"/>
          <w:szCs w:val="32"/>
        </w:rPr>
        <w:fldChar w:fldCharType="end"/>
      </w:r>
    </w:p>
    <w:p>
      <w:pPr>
        <w:pStyle w:val="7"/>
        <w:keepNext w:val="0"/>
        <w:keepLines w:val="0"/>
        <w:pageBreakBefore w:val="0"/>
        <w:tabs>
          <w:tab w:val="right" w:pos="8306"/>
        </w:tabs>
        <w:kinsoku/>
        <w:wordWrap/>
        <w:overflowPunct/>
        <w:topLinePunct w:val="0"/>
        <w:bidi w:val="0"/>
        <w:adjustRightInd/>
        <w:snapToGrid/>
        <w:spacing w:line="560" w:lineRule="exact"/>
        <w:ind w:left="0" w:leftChars="0"/>
        <w:textAlignment w:val="auto"/>
        <w:rPr>
          <w:rFonts w:ascii="仿宋_GB2312" w:hAnsi="仿宋_GB2312" w:eastAsia="仿宋_GB2312" w:cs="仿宋_GB2312"/>
          <w:color w:val="auto"/>
          <w:sz w:val="32"/>
          <w:szCs w:val="32"/>
        </w:rPr>
      </w:pPr>
      <w:r>
        <w:rPr>
          <w:color w:val="auto"/>
        </w:rPr>
        <w:fldChar w:fldCharType="begin"/>
      </w:r>
      <w:r>
        <w:rPr>
          <w:color w:val="auto"/>
        </w:rPr>
        <w:instrText xml:space="preserve"> HYPERLINK \l "_Toc24532" </w:instrText>
      </w:r>
      <w:r>
        <w:rPr>
          <w:color w:val="auto"/>
        </w:rPr>
        <w:fldChar w:fldCharType="separate"/>
      </w:r>
      <w:r>
        <w:rPr>
          <w:rFonts w:hint="eastAsia" w:ascii="仿宋_GB2312" w:hAnsi="仿宋_GB2312" w:eastAsia="仿宋_GB2312" w:cs="仿宋_GB2312"/>
          <w:bCs/>
          <w:color w:val="auto"/>
          <w:kern w:val="0"/>
          <w:sz w:val="32"/>
          <w:szCs w:val="32"/>
        </w:rPr>
        <w:t>二、《收入决算表》</w:t>
      </w:r>
      <w:r>
        <w:rPr>
          <w:rFonts w:hint="eastAsia" w:ascii="仿宋_GB2312" w:hAnsi="仿宋_GB2312" w:eastAsia="仿宋_GB2312" w:cs="仿宋_GB2312"/>
          <w:bCs/>
          <w:color w:val="auto"/>
          <w:kern w:val="0"/>
          <w:sz w:val="32"/>
          <w:szCs w:val="32"/>
        </w:rPr>
        <w:fldChar w:fldCharType="end"/>
      </w:r>
    </w:p>
    <w:p>
      <w:pPr>
        <w:pStyle w:val="7"/>
        <w:keepNext w:val="0"/>
        <w:keepLines w:val="0"/>
        <w:pageBreakBefore w:val="0"/>
        <w:tabs>
          <w:tab w:val="right" w:pos="8306"/>
        </w:tabs>
        <w:kinsoku/>
        <w:wordWrap/>
        <w:overflowPunct/>
        <w:topLinePunct w:val="0"/>
        <w:bidi w:val="0"/>
        <w:adjustRightInd/>
        <w:snapToGrid/>
        <w:spacing w:line="560" w:lineRule="exact"/>
        <w:ind w:left="0" w:leftChars="0"/>
        <w:textAlignment w:val="auto"/>
        <w:rPr>
          <w:rFonts w:ascii="仿宋_GB2312" w:hAnsi="仿宋_GB2312" w:eastAsia="仿宋_GB2312" w:cs="仿宋_GB2312"/>
          <w:color w:val="auto"/>
          <w:sz w:val="32"/>
          <w:szCs w:val="32"/>
        </w:rPr>
      </w:pPr>
      <w:r>
        <w:rPr>
          <w:color w:val="auto"/>
        </w:rPr>
        <w:fldChar w:fldCharType="begin"/>
      </w:r>
      <w:r>
        <w:rPr>
          <w:color w:val="auto"/>
        </w:rPr>
        <w:instrText xml:space="preserve"> HYPERLINK \l "_Toc32434" </w:instrText>
      </w:r>
      <w:r>
        <w:rPr>
          <w:color w:val="auto"/>
        </w:rPr>
        <w:fldChar w:fldCharType="separate"/>
      </w:r>
      <w:r>
        <w:rPr>
          <w:rFonts w:hint="eastAsia" w:ascii="仿宋_GB2312" w:hAnsi="仿宋_GB2312" w:eastAsia="仿宋_GB2312" w:cs="仿宋_GB2312"/>
          <w:bCs/>
          <w:color w:val="auto"/>
          <w:kern w:val="0"/>
          <w:sz w:val="32"/>
          <w:szCs w:val="32"/>
        </w:rPr>
        <w:t>三、《支出决算表》</w:t>
      </w:r>
      <w:r>
        <w:rPr>
          <w:rFonts w:hint="eastAsia" w:ascii="仿宋_GB2312" w:hAnsi="仿宋_GB2312" w:eastAsia="仿宋_GB2312" w:cs="仿宋_GB2312"/>
          <w:bCs/>
          <w:color w:val="auto"/>
          <w:kern w:val="0"/>
          <w:sz w:val="32"/>
          <w:szCs w:val="32"/>
        </w:rPr>
        <w:fldChar w:fldCharType="end"/>
      </w:r>
    </w:p>
    <w:p>
      <w:pPr>
        <w:pStyle w:val="7"/>
        <w:keepNext w:val="0"/>
        <w:keepLines w:val="0"/>
        <w:pageBreakBefore w:val="0"/>
        <w:tabs>
          <w:tab w:val="right" w:pos="8306"/>
        </w:tabs>
        <w:kinsoku/>
        <w:wordWrap/>
        <w:overflowPunct/>
        <w:topLinePunct w:val="0"/>
        <w:bidi w:val="0"/>
        <w:adjustRightInd/>
        <w:snapToGrid/>
        <w:spacing w:line="560" w:lineRule="exact"/>
        <w:ind w:left="0" w:leftChars="0"/>
        <w:textAlignment w:val="auto"/>
        <w:rPr>
          <w:rFonts w:ascii="仿宋_GB2312" w:hAnsi="仿宋_GB2312" w:eastAsia="仿宋_GB2312" w:cs="仿宋_GB2312"/>
          <w:color w:val="auto"/>
          <w:sz w:val="32"/>
          <w:szCs w:val="32"/>
        </w:rPr>
      </w:pPr>
      <w:r>
        <w:rPr>
          <w:color w:val="auto"/>
        </w:rPr>
        <w:fldChar w:fldCharType="begin"/>
      </w:r>
      <w:r>
        <w:rPr>
          <w:color w:val="auto"/>
        </w:rPr>
        <w:instrText xml:space="preserve"> HYPERLINK \l "_Toc28786" </w:instrText>
      </w:r>
      <w:r>
        <w:rPr>
          <w:color w:val="auto"/>
        </w:rPr>
        <w:fldChar w:fldCharType="separate"/>
      </w:r>
      <w:r>
        <w:rPr>
          <w:rFonts w:hint="eastAsia" w:ascii="仿宋_GB2312" w:hAnsi="仿宋_GB2312" w:eastAsia="仿宋_GB2312" w:cs="仿宋_GB2312"/>
          <w:bCs/>
          <w:color w:val="auto"/>
          <w:kern w:val="0"/>
          <w:sz w:val="32"/>
          <w:szCs w:val="32"/>
        </w:rPr>
        <w:t>四、《财政拨款收入支出决算总表》</w:t>
      </w:r>
      <w:r>
        <w:rPr>
          <w:rFonts w:hint="eastAsia" w:ascii="仿宋_GB2312" w:hAnsi="仿宋_GB2312" w:eastAsia="仿宋_GB2312" w:cs="仿宋_GB2312"/>
          <w:bCs/>
          <w:color w:val="auto"/>
          <w:kern w:val="0"/>
          <w:sz w:val="32"/>
          <w:szCs w:val="32"/>
        </w:rPr>
        <w:fldChar w:fldCharType="end"/>
      </w:r>
    </w:p>
    <w:p>
      <w:pPr>
        <w:pStyle w:val="7"/>
        <w:keepNext w:val="0"/>
        <w:keepLines w:val="0"/>
        <w:pageBreakBefore w:val="0"/>
        <w:tabs>
          <w:tab w:val="right" w:pos="8306"/>
        </w:tabs>
        <w:kinsoku/>
        <w:wordWrap/>
        <w:overflowPunct/>
        <w:topLinePunct w:val="0"/>
        <w:bidi w:val="0"/>
        <w:adjustRightInd/>
        <w:snapToGrid/>
        <w:spacing w:line="560" w:lineRule="exact"/>
        <w:ind w:left="0" w:leftChars="0"/>
        <w:textAlignment w:val="auto"/>
        <w:rPr>
          <w:rFonts w:ascii="仿宋_GB2312" w:hAnsi="仿宋_GB2312" w:eastAsia="仿宋_GB2312" w:cs="仿宋_GB2312"/>
          <w:color w:val="auto"/>
          <w:sz w:val="32"/>
          <w:szCs w:val="32"/>
        </w:rPr>
      </w:pPr>
      <w:r>
        <w:rPr>
          <w:color w:val="auto"/>
        </w:rPr>
        <w:fldChar w:fldCharType="begin"/>
      </w:r>
      <w:r>
        <w:rPr>
          <w:color w:val="auto"/>
        </w:rPr>
        <w:instrText xml:space="preserve"> HYPERLINK \l "_Toc14869" </w:instrText>
      </w:r>
      <w:r>
        <w:rPr>
          <w:color w:val="auto"/>
        </w:rPr>
        <w:fldChar w:fldCharType="separate"/>
      </w:r>
      <w:r>
        <w:rPr>
          <w:rFonts w:hint="eastAsia" w:ascii="仿宋_GB2312" w:hAnsi="仿宋_GB2312" w:eastAsia="仿宋_GB2312" w:cs="仿宋_GB2312"/>
          <w:bCs/>
          <w:color w:val="auto"/>
          <w:kern w:val="0"/>
          <w:sz w:val="32"/>
          <w:szCs w:val="32"/>
        </w:rPr>
        <w:t>五、《一般公共预算财政拨款支出决算表》</w:t>
      </w:r>
      <w:r>
        <w:rPr>
          <w:rFonts w:hint="eastAsia" w:ascii="仿宋_GB2312" w:hAnsi="仿宋_GB2312" w:eastAsia="仿宋_GB2312" w:cs="仿宋_GB2312"/>
          <w:bCs/>
          <w:color w:val="auto"/>
          <w:kern w:val="0"/>
          <w:sz w:val="32"/>
          <w:szCs w:val="32"/>
        </w:rPr>
        <w:fldChar w:fldCharType="end"/>
      </w:r>
    </w:p>
    <w:p>
      <w:pPr>
        <w:pStyle w:val="7"/>
        <w:keepNext w:val="0"/>
        <w:keepLines w:val="0"/>
        <w:pageBreakBefore w:val="0"/>
        <w:tabs>
          <w:tab w:val="right" w:pos="8306"/>
        </w:tabs>
        <w:kinsoku/>
        <w:wordWrap/>
        <w:overflowPunct/>
        <w:topLinePunct w:val="0"/>
        <w:bidi w:val="0"/>
        <w:adjustRightInd/>
        <w:snapToGrid/>
        <w:spacing w:line="560" w:lineRule="exact"/>
        <w:ind w:left="0" w:leftChars="0"/>
        <w:textAlignment w:val="auto"/>
        <w:rPr>
          <w:rFonts w:ascii="仿宋_GB2312" w:hAnsi="仿宋_GB2312" w:eastAsia="仿宋_GB2312" w:cs="仿宋_GB2312"/>
          <w:color w:val="auto"/>
          <w:sz w:val="32"/>
          <w:szCs w:val="32"/>
        </w:rPr>
      </w:pPr>
      <w:r>
        <w:rPr>
          <w:color w:val="auto"/>
        </w:rPr>
        <w:fldChar w:fldCharType="begin"/>
      </w:r>
      <w:r>
        <w:rPr>
          <w:color w:val="auto"/>
        </w:rPr>
        <w:instrText xml:space="preserve"> HYPERLINK \l "_Toc8884" </w:instrText>
      </w:r>
      <w:r>
        <w:rPr>
          <w:color w:val="auto"/>
        </w:rPr>
        <w:fldChar w:fldCharType="separate"/>
      </w:r>
      <w:r>
        <w:rPr>
          <w:rFonts w:hint="eastAsia" w:ascii="仿宋_GB2312" w:hAnsi="仿宋_GB2312" w:eastAsia="仿宋_GB2312" w:cs="仿宋_GB2312"/>
          <w:bCs/>
          <w:color w:val="auto"/>
          <w:kern w:val="0"/>
          <w:sz w:val="32"/>
          <w:szCs w:val="32"/>
        </w:rPr>
        <w:t>六、《一般公共预算财政拨款基本支出决算表》</w:t>
      </w:r>
      <w:r>
        <w:rPr>
          <w:rFonts w:hint="eastAsia" w:ascii="仿宋_GB2312" w:hAnsi="仿宋_GB2312" w:eastAsia="仿宋_GB2312" w:cs="仿宋_GB2312"/>
          <w:bCs/>
          <w:color w:val="auto"/>
          <w:kern w:val="0"/>
          <w:sz w:val="32"/>
          <w:szCs w:val="32"/>
        </w:rPr>
        <w:fldChar w:fldCharType="end"/>
      </w:r>
    </w:p>
    <w:p>
      <w:pPr>
        <w:pStyle w:val="7"/>
        <w:keepNext w:val="0"/>
        <w:keepLines w:val="0"/>
        <w:pageBreakBefore w:val="0"/>
        <w:tabs>
          <w:tab w:val="right" w:pos="8306"/>
        </w:tabs>
        <w:kinsoku/>
        <w:wordWrap/>
        <w:overflowPunct/>
        <w:topLinePunct w:val="0"/>
        <w:bidi w:val="0"/>
        <w:adjustRightInd/>
        <w:snapToGrid/>
        <w:spacing w:line="560" w:lineRule="exact"/>
        <w:ind w:left="0" w:leftChars="0"/>
        <w:textAlignment w:val="auto"/>
        <w:rPr>
          <w:rFonts w:ascii="仿宋_GB2312" w:hAnsi="仿宋_GB2312" w:eastAsia="仿宋_GB2312" w:cs="仿宋_GB2312"/>
          <w:color w:val="auto"/>
          <w:sz w:val="32"/>
          <w:szCs w:val="32"/>
        </w:rPr>
      </w:pPr>
      <w:r>
        <w:rPr>
          <w:color w:val="auto"/>
        </w:rPr>
        <w:fldChar w:fldCharType="begin"/>
      </w:r>
      <w:r>
        <w:rPr>
          <w:color w:val="auto"/>
        </w:rPr>
        <w:instrText xml:space="preserve"> HYPERLINK \l "_Toc29106" </w:instrText>
      </w:r>
      <w:r>
        <w:rPr>
          <w:color w:val="auto"/>
        </w:rPr>
        <w:fldChar w:fldCharType="separate"/>
      </w:r>
      <w:r>
        <w:rPr>
          <w:rFonts w:hint="eastAsia" w:ascii="仿宋_GB2312" w:hAnsi="仿宋_GB2312" w:eastAsia="仿宋_GB2312" w:cs="仿宋_GB2312"/>
          <w:bCs/>
          <w:color w:val="auto"/>
          <w:kern w:val="0"/>
          <w:sz w:val="32"/>
          <w:szCs w:val="32"/>
        </w:rPr>
        <w:t>七、《财政拨款“三公”经费支出决算表》</w:t>
      </w:r>
      <w:r>
        <w:rPr>
          <w:rFonts w:hint="eastAsia" w:ascii="仿宋_GB2312" w:hAnsi="仿宋_GB2312" w:eastAsia="仿宋_GB2312" w:cs="仿宋_GB2312"/>
          <w:bCs/>
          <w:color w:val="auto"/>
          <w:kern w:val="0"/>
          <w:sz w:val="32"/>
          <w:szCs w:val="32"/>
        </w:rPr>
        <w:fldChar w:fldCharType="end"/>
      </w:r>
    </w:p>
    <w:p>
      <w:pPr>
        <w:pStyle w:val="7"/>
        <w:keepNext w:val="0"/>
        <w:keepLines w:val="0"/>
        <w:pageBreakBefore w:val="0"/>
        <w:tabs>
          <w:tab w:val="right" w:pos="8306"/>
        </w:tabs>
        <w:kinsoku/>
        <w:wordWrap/>
        <w:overflowPunct/>
        <w:topLinePunct w:val="0"/>
        <w:bidi w:val="0"/>
        <w:adjustRightInd/>
        <w:snapToGrid/>
        <w:spacing w:line="560" w:lineRule="exact"/>
        <w:ind w:left="0" w:leftChars="0"/>
        <w:textAlignment w:val="auto"/>
        <w:rPr>
          <w:rFonts w:ascii="仿宋_GB2312" w:hAnsi="仿宋_GB2312" w:eastAsia="仿宋_GB2312" w:cs="仿宋_GB2312"/>
          <w:bCs/>
          <w:color w:val="auto"/>
          <w:kern w:val="0"/>
          <w:sz w:val="32"/>
          <w:szCs w:val="32"/>
        </w:rPr>
      </w:pPr>
      <w:r>
        <w:rPr>
          <w:color w:val="auto"/>
        </w:rPr>
        <w:fldChar w:fldCharType="begin"/>
      </w:r>
      <w:r>
        <w:rPr>
          <w:color w:val="auto"/>
        </w:rPr>
        <w:instrText xml:space="preserve"> HYPERLINK \l "_Toc7643" </w:instrText>
      </w:r>
      <w:r>
        <w:rPr>
          <w:color w:val="auto"/>
        </w:rPr>
        <w:fldChar w:fldCharType="separate"/>
      </w:r>
      <w:r>
        <w:rPr>
          <w:rFonts w:hint="eastAsia" w:ascii="仿宋_GB2312" w:hAnsi="仿宋_GB2312" w:eastAsia="仿宋_GB2312" w:cs="仿宋_GB2312"/>
          <w:bCs/>
          <w:color w:val="auto"/>
          <w:kern w:val="0"/>
          <w:sz w:val="32"/>
          <w:szCs w:val="32"/>
        </w:rPr>
        <w:t>八、《政府性基金预算财政拨款收入支出决算表》</w:t>
      </w:r>
      <w:r>
        <w:rPr>
          <w:rFonts w:hint="eastAsia" w:ascii="仿宋_GB2312" w:hAnsi="仿宋_GB2312" w:eastAsia="仿宋_GB2312" w:cs="仿宋_GB2312"/>
          <w:bCs/>
          <w:color w:val="auto"/>
          <w:kern w:val="0"/>
          <w:sz w:val="32"/>
          <w:szCs w:val="32"/>
        </w:rPr>
        <w:fldChar w:fldCharType="end"/>
      </w:r>
    </w:p>
    <w:p>
      <w:pPr>
        <w:pStyle w:val="7"/>
        <w:keepNext w:val="0"/>
        <w:keepLines w:val="0"/>
        <w:pageBreakBefore w:val="0"/>
        <w:tabs>
          <w:tab w:val="right" w:pos="8306"/>
        </w:tabs>
        <w:kinsoku/>
        <w:wordWrap/>
        <w:overflowPunct/>
        <w:topLinePunct w:val="0"/>
        <w:bidi w:val="0"/>
        <w:adjustRightInd/>
        <w:snapToGrid/>
        <w:spacing w:line="560" w:lineRule="exact"/>
        <w:ind w:left="0" w:leftChars="0"/>
        <w:textAlignment w:val="auto"/>
        <w:rPr>
          <w:rFonts w:ascii="仿宋_GB2312" w:hAnsi="仿宋_GB2312" w:eastAsia="仿宋_GB2312" w:cs="仿宋_GB2312"/>
          <w:bCs/>
          <w:color w:val="auto"/>
          <w:kern w:val="0"/>
          <w:sz w:val="32"/>
          <w:szCs w:val="32"/>
        </w:rPr>
      </w:pPr>
      <w:r>
        <w:rPr>
          <w:rFonts w:hint="eastAsia" w:ascii="仿宋_GB2312" w:hAnsi="仿宋_GB2312" w:eastAsia="仿宋_GB2312" w:cs="仿宋_GB2312"/>
          <w:bCs/>
          <w:color w:val="auto"/>
          <w:kern w:val="0"/>
          <w:sz w:val="32"/>
          <w:szCs w:val="32"/>
        </w:rPr>
        <w:t>九、《国有资本经营预算财政拨款收入支出决算表》</w:t>
      </w:r>
    </w:p>
    <w:p>
      <w:pPr>
        <w:keepNext w:val="0"/>
        <w:keepLines w:val="0"/>
        <w:pageBreakBefore w:val="0"/>
        <w:kinsoku/>
        <w:wordWrap/>
        <w:overflowPunct/>
        <w:topLinePunct w:val="0"/>
        <w:bidi w:val="0"/>
        <w:adjustRightInd/>
        <w:snapToGrid/>
        <w:spacing w:line="560" w:lineRule="exact"/>
        <w:textAlignment w:val="auto"/>
        <w:rPr>
          <w:color w:val="auto"/>
        </w:rPr>
      </w:pPr>
      <w:r>
        <w:rPr>
          <w:rFonts w:hint="eastAsia" w:ascii="仿宋_GB2312" w:hAnsi="仿宋_GB2312" w:eastAsia="仿宋_GB2312" w:cs="仿宋_GB2312"/>
          <w:color w:val="auto"/>
          <w:sz w:val="32"/>
          <w:szCs w:val="32"/>
        </w:rPr>
        <w:fldChar w:fldCharType="end"/>
      </w:r>
    </w:p>
    <w:p>
      <w:pPr>
        <w:keepNext w:val="0"/>
        <w:keepLines w:val="0"/>
        <w:pageBreakBefore w:val="0"/>
        <w:kinsoku/>
        <w:wordWrap/>
        <w:overflowPunct/>
        <w:topLinePunct w:val="0"/>
        <w:bidi w:val="0"/>
        <w:adjustRightInd/>
        <w:snapToGrid/>
        <w:spacing w:line="560" w:lineRule="exact"/>
        <w:textAlignment w:val="auto"/>
        <w:rPr>
          <w:rFonts w:ascii="仿宋_GB2312" w:eastAsia="仿宋_GB2312"/>
          <w:color w:val="auto"/>
          <w:sz w:val="32"/>
          <w:szCs w:val="32"/>
        </w:rPr>
      </w:pPr>
      <w:r>
        <w:rPr>
          <w:rFonts w:hint="eastAsia" w:ascii="仿宋_GB2312" w:eastAsia="仿宋_GB2312"/>
          <w:color w:val="auto"/>
          <w:sz w:val="32"/>
          <w:szCs w:val="32"/>
        </w:rPr>
        <w:br w:type="page"/>
      </w:r>
    </w:p>
    <w:p>
      <w:pPr>
        <w:keepNext w:val="0"/>
        <w:keepLines w:val="0"/>
        <w:pageBreakBefore w:val="0"/>
        <w:kinsoku/>
        <w:wordWrap/>
        <w:overflowPunct/>
        <w:topLinePunct w:val="0"/>
        <w:bidi w:val="0"/>
        <w:adjustRightInd/>
        <w:snapToGrid/>
        <w:spacing w:line="560" w:lineRule="exact"/>
        <w:jc w:val="center"/>
        <w:textAlignment w:val="auto"/>
        <w:outlineLvl w:val="0"/>
        <w:rPr>
          <w:rFonts w:ascii="黑体" w:hAnsi="黑体" w:eastAsia="黑体"/>
          <w:color w:val="auto"/>
          <w:sz w:val="32"/>
          <w:szCs w:val="32"/>
        </w:rPr>
      </w:pPr>
      <w:bookmarkStart w:id="0" w:name="_Toc32314"/>
      <w:bookmarkStart w:id="1" w:name="_Toc24028"/>
      <w:r>
        <w:rPr>
          <w:rFonts w:hint="eastAsia" w:ascii="黑体" w:hAnsi="黑体" w:eastAsia="黑体"/>
          <w:color w:val="auto"/>
          <w:sz w:val="32"/>
          <w:szCs w:val="32"/>
        </w:rPr>
        <w:t>第一部分 单位概况</w:t>
      </w:r>
      <w:bookmarkEnd w:id="0"/>
      <w:bookmarkEnd w:id="1"/>
    </w:p>
    <w:p>
      <w:pPr>
        <w:keepNext w:val="0"/>
        <w:keepLines w:val="0"/>
        <w:pageBreakBefore w:val="0"/>
        <w:kinsoku/>
        <w:wordWrap/>
        <w:overflowPunct/>
        <w:topLinePunct w:val="0"/>
        <w:bidi w:val="0"/>
        <w:adjustRightInd/>
        <w:snapToGrid/>
        <w:spacing w:line="560" w:lineRule="exact"/>
        <w:ind w:firstLine="640" w:firstLineChars="200"/>
        <w:textAlignment w:val="auto"/>
        <w:outlineLvl w:val="1"/>
        <w:rPr>
          <w:rFonts w:ascii="黑体" w:hAnsi="黑体" w:eastAsia="黑体" w:cs="宋体"/>
          <w:bCs/>
          <w:color w:val="auto"/>
          <w:kern w:val="0"/>
          <w:sz w:val="32"/>
          <w:szCs w:val="32"/>
        </w:rPr>
      </w:pPr>
      <w:bookmarkStart w:id="2" w:name="_Toc30738"/>
      <w:bookmarkStart w:id="3" w:name="_Toc30567"/>
      <w:r>
        <w:rPr>
          <w:rFonts w:hint="eastAsia" w:ascii="黑体" w:hAnsi="黑体" w:eastAsia="黑体" w:cs="宋体"/>
          <w:bCs/>
          <w:color w:val="auto"/>
          <w:kern w:val="0"/>
          <w:sz w:val="32"/>
          <w:szCs w:val="32"/>
        </w:rPr>
        <w:t>一、主要职能</w:t>
      </w:r>
      <w:bookmarkEnd w:id="2"/>
      <w:bookmarkEnd w:id="3"/>
    </w:p>
    <w:p>
      <w:pPr>
        <w:keepNext w:val="0"/>
        <w:keepLines w:val="0"/>
        <w:pageBreakBefore w:val="0"/>
        <w:kinsoku/>
        <w:wordWrap/>
        <w:overflowPunct/>
        <w:topLinePunct w:val="0"/>
        <w:bidi w:val="0"/>
        <w:adjustRightInd/>
        <w:snapToGrid/>
        <w:spacing w:line="560" w:lineRule="exact"/>
        <w:ind w:firstLine="640" w:firstLineChars="200"/>
        <w:textAlignment w:val="auto"/>
        <w:rPr>
          <w:rFonts w:ascii="仿宋_GB2312" w:eastAsia="仿宋_GB2312"/>
          <w:color w:val="auto"/>
          <w:sz w:val="32"/>
          <w:szCs w:val="32"/>
        </w:rPr>
      </w:pPr>
      <w:r>
        <w:rPr>
          <w:rFonts w:ascii="仿宋_GB2312" w:eastAsia="仿宋_GB2312"/>
          <w:color w:val="auto"/>
          <w:sz w:val="32"/>
          <w:szCs w:val="32"/>
        </w:rPr>
        <w:t>开展地名学基础理论和地名命名、更名的应用研究工作；草拟地名的各种技术标准，承担地名翻译任务；收集、整理、保管全区地名档案资料</w:t>
      </w:r>
      <w:r>
        <w:rPr>
          <w:rFonts w:hint="eastAsia" w:ascii="仿宋_GB2312" w:eastAsia="仿宋_GB2312"/>
          <w:color w:val="auto"/>
          <w:sz w:val="32"/>
          <w:szCs w:val="32"/>
        </w:rPr>
        <w:t>。</w:t>
      </w:r>
    </w:p>
    <w:p>
      <w:pPr>
        <w:keepNext w:val="0"/>
        <w:keepLines w:val="0"/>
        <w:pageBreakBefore w:val="0"/>
        <w:kinsoku/>
        <w:wordWrap/>
        <w:overflowPunct/>
        <w:topLinePunct w:val="0"/>
        <w:bidi w:val="0"/>
        <w:adjustRightInd/>
        <w:snapToGrid/>
        <w:spacing w:line="560" w:lineRule="exact"/>
        <w:ind w:firstLine="640" w:firstLineChars="200"/>
        <w:textAlignment w:val="auto"/>
        <w:outlineLvl w:val="1"/>
        <w:rPr>
          <w:rFonts w:ascii="黑体" w:hAnsi="黑体" w:eastAsia="黑体" w:cs="宋体"/>
          <w:bCs/>
          <w:color w:val="auto"/>
          <w:kern w:val="0"/>
          <w:sz w:val="32"/>
          <w:szCs w:val="32"/>
        </w:rPr>
      </w:pPr>
      <w:bookmarkStart w:id="4" w:name="_Toc31238"/>
      <w:bookmarkStart w:id="5" w:name="_Toc2151"/>
      <w:r>
        <w:rPr>
          <w:rFonts w:hint="eastAsia" w:ascii="黑体" w:hAnsi="黑体" w:eastAsia="黑体" w:cs="宋体"/>
          <w:bCs/>
          <w:color w:val="auto"/>
          <w:kern w:val="0"/>
          <w:sz w:val="32"/>
          <w:szCs w:val="32"/>
        </w:rPr>
        <w:t>二、机构设置及</w:t>
      </w:r>
      <w:bookmarkEnd w:id="4"/>
      <w:r>
        <w:rPr>
          <w:rFonts w:hint="eastAsia" w:ascii="黑体" w:hAnsi="黑体" w:eastAsia="黑体" w:cs="宋体"/>
          <w:bCs/>
          <w:color w:val="auto"/>
          <w:kern w:val="0"/>
          <w:sz w:val="32"/>
          <w:szCs w:val="32"/>
        </w:rPr>
        <w:t>人员情况</w:t>
      </w:r>
      <w:bookmarkEnd w:id="5"/>
    </w:p>
    <w:p>
      <w:pPr>
        <w:keepNext w:val="0"/>
        <w:keepLines w:val="0"/>
        <w:pageBreakBefore w:val="0"/>
        <w:kinsoku/>
        <w:wordWrap/>
        <w:overflowPunct/>
        <w:topLinePunct w:val="0"/>
        <w:bidi w:val="0"/>
        <w:adjustRightInd/>
        <w:snapToGrid/>
        <w:spacing w:line="560" w:lineRule="exact"/>
        <w:ind w:firstLine="640" w:firstLineChars="200"/>
        <w:jc w:val="left"/>
        <w:textAlignment w:val="auto"/>
        <w:rPr>
          <w:rFonts w:ascii="仿宋_GB2312" w:hAnsi="仿宋_GB2312" w:eastAsia="仿宋_GB2312" w:cs="仿宋_GB2312"/>
          <w:b/>
          <w:color w:val="auto"/>
          <w:sz w:val="32"/>
          <w:szCs w:val="32"/>
        </w:rPr>
      </w:pPr>
      <w:r>
        <w:rPr>
          <w:rFonts w:hint="eastAsia" w:ascii="仿宋_GB2312" w:eastAsia="仿宋_GB2312"/>
          <w:color w:val="auto"/>
          <w:sz w:val="32"/>
          <w:szCs w:val="32"/>
        </w:rPr>
        <w:t>新疆维吾尔自治区地名标准化中心2023年度，实有人数</w:t>
      </w:r>
      <w:r>
        <w:rPr>
          <w:rFonts w:hint="eastAsia" w:ascii="仿宋_GB2312" w:eastAsia="仿宋_GB2312"/>
          <w:color w:val="auto"/>
          <w:sz w:val="32"/>
          <w:szCs w:val="32"/>
          <w:lang w:val="zh-CN"/>
        </w:rPr>
        <w:t>32</w:t>
      </w:r>
      <w:r>
        <w:rPr>
          <w:rFonts w:hint="eastAsia" w:ascii="仿宋_GB2312" w:eastAsia="仿宋_GB2312"/>
          <w:color w:val="auto"/>
          <w:sz w:val="32"/>
          <w:szCs w:val="32"/>
        </w:rPr>
        <w:t>人，其中：在职人员</w:t>
      </w:r>
      <w:r>
        <w:rPr>
          <w:rFonts w:hint="eastAsia" w:ascii="仿宋_GB2312" w:eastAsia="仿宋_GB2312"/>
          <w:color w:val="auto"/>
          <w:sz w:val="32"/>
          <w:szCs w:val="32"/>
          <w:lang w:val="zh-CN"/>
        </w:rPr>
        <w:t>24</w:t>
      </w:r>
      <w:r>
        <w:rPr>
          <w:rFonts w:hint="eastAsia" w:ascii="仿宋_GB2312" w:eastAsia="仿宋_GB2312"/>
          <w:color w:val="auto"/>
          <w:sz w:val="32"/>
          <w:szCs w:val="32"/>
        </w:rPr>
        <w:t>人</w:t>
      </w:r>
      <w:r>
        <w:rPr>
          <w:rFonts w:hint="eastAsia" w:ascii="仿宋_GB2312" w:eastAsia="仿宋_GB2312"/>
          <w:color w:val="auto"/>
          <w:sz w:val="32"/>
          <w:szCs w:val="32"/>
          <w:lang w:val="en-US" w:eastAsia="zh-CN"/>
        </w:rPr>
        <w:t>；</w:t>
      </w:r>
      <w:r>
        <w:rPr>
          <w:rFonts w:hint="eastAsia" w:ascii="仿宋_GB2312" w:eastAsia="仿宋_GB2312"/>
          <w:color w:val="auto"/>
          <w:sz w:val="32"/>
          <w:szCs w:val="32"/>
        </w:rPr>
        <w:t>离休人员</w:t>
      </w:r>
      <w:r>
        <w:rPr>
          <w:rFonts w:hint="eastAsia" w:ascii="仿宋_GB2312" w:eastAsia="仿宋_GB2312"/>
          <w:color w:val="auto"/>
          <w:sz w:val="32"/>
          <w:szCs w:val="32"/>
          <w:lang w:val="zh-CN"/>
        </w:rPr>
        <w:t>0</w:t>
      </w:r>
      <w:r>
        <w:rPr>
          <w:rFonts w:hint="eastAsia" w:ascii="仿宋_GB2312" w:eastAsia="仿宋_GB2312"/>
          <w:color w:val="auto"/>
          <w:sz w:val="32"/>
          <w:szCs w:val="32"/>
        </w:rPr>
        <w:t>人</w:t>
      </w:r>
      <w:r>
        <w:rPr>
          <w:rFonts w:hint="eastAsia" w:ascii="仿宋_GB2312" w:eastAsia="仿宋_GB2312"/>
          <w:color w:val="auto"/>
          <w:sz w:val="32"/>
          <w:szCs w:val="32"/>
          <w:lang w:val="en-US" w:eastAsia="zh-CN"/>
        </w:rPr>
        <w:t>；</w:t>
      </w:r>
      <w:r>
        <w:rPr>
          <w:rFonts w:hint="eastAsia" w:ascii="仿宋_GB2312" w:eastAsia="仿宋_GB2312"/>
          <w:color w:val="auto"/>
          <w:sz w:val="32"/>
          <w:szCs w:val="32"/>
        </w:rPr>
        <w:t>退休人员</w:t>
      </w:r>
      <w:r>
        <w:rPr>
          <w:rFonts w:hint="eastAsia" w:ascii="仿宋_GB2312" w:eastAsia="仿宋_GB2312"/>
          <w:color w:val="auto"/>
          <w:sz w:val="32"/>
          <w:szCs w:val="32"/>
          <w:lang w:val="zh-CN"/>
        </w:rPr>
        <w:t>8</w:t>
      </w:r>
      <w:r>
        <w:rPr>
          <w:rFonts w:hint="eastAsia" w:ascii="仿宋_GB2312" w:eastAsia="仿宋_GB2312"/>
          <w:color w:val="auto"/>
          <w:sz w:val="32"/>
          <w:szCs w:val="32"/>
        </w:rPr>
        <w:t>人。</w:t>
      </w:r>
    </w:p>
    <w:p>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宋体" w:eastAsia="仿宋_GB2312" w:cs="宋体"/>
          <w:color w:val="auto"/>
          <w:kern w:val="0"/>
          <w:sz w:val="32"/>
          <w:szCs w:val="32"/>
        </w:rPr>
      </w:pPr>
      <w:r>
        <w:rPr>
          <w:rFonts w:hint="eastAsia" w:ascii="仿宋_GB2312" w:hAnsi="黑体" w:eastAsia="仿宋_GB2312" w:cs="宋体"/>
          <w:bCs/>
          <w:color w:val="auto"/>
          <w:kern w:val="0"/>
          <w:sz w:val="32"/>
          <w:szCs w:val="32"/>
        </w:rPr>
        <w:t>单位无下属预算单位，下设7个科室，分别是：政工科、综合科、财务科、地名管理科、地名业务科、地名信息科、地名档案科</w:t>
      </w:r>
      <w:r>
        <w:rPr>
          <w:rFonts w:hint="eastAsia" w:ascii="仿宋_GB2312" w:hAnsi="宋体" w:eastAsia="仿宋_GB2312" w:cs="宋体"/>
          <w:color w:val="auto"/>
          <w:kern w:val="0"/>
          <w:sz w:val="32"/>
          <w:szCs w:val="32"/>
        </w:rPr>
        <w:t>。</w:t>
      </w:r>
    </w:p>
    <w:p>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宋体" w:eastAsia="仿宋_GB2312" w:cs="宋体"/>
          <w:color w:val="auto"/>
          <w:kern w:val="0"/>
          <w:sz w:val="32"/>
          <w:szCs w:val="32"/>
        </w:rPr>
      </w:pPr>
    </w:p>
    <w:p>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宋体" w:eastAsia="仿宋_GB2312" w:cs="宋体"/>
          <w:color w:val="auto"/>
          <w:kern w:val="0"/>
          <w:sz w:val="32"/>
          <w:szCs w:val="32"/>
        </w:rPr>
      </w:pPr>
    </w:p>
    <w:p>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宋体" w:eastAsia="仿宋_GB2312" w:cs="宋体"/>
          <w:color w:val="auto"/>
          <w:kern w:val="0"/>
          <w:sz w:val="32"/>
          <w:szCs w:val="32"/>
        </w:rPr>
      </w:pPr>
    </w:p>
    <w:p>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宋体" w:eastAsia="仿宋_GB2312" w:cs="宋体"/>
          <w:color w:val="auto"/>
          <w:kern w:val="0"/>
          <w:sz w:val="32"/>
          <w:szCs w:val="32"/>
        </w:rPr>
      </w:pPr>
    </w:p>
    <w:p>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宋体" w:eastAsia="仿宋_GB2312" w:cs="宋体"/>
          <w:color w:val="auto"/>
          <w:kern w:val="0"/>
          <w:sz w:val="32"/>
          <w:szCs w:val="32"/>
        </w:rPr>
      </w:pPr>
    </w:p>
    <w:p>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宋体" w:eastAsia="仿宋_GB2312" w:cs="宋体"/>
          <w:color w:val="auto"/>
          <w:kern w:val="0"/>
          <w:sz w:val="32"/>
          <w:szCs w:val="32"/>
        </w:rPr>
      </w:pPr>
    </w:p>
    <w:p>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宋体" w:eastAsia="仿宋_GB2312" w:cs="宋体"/>
          <w:color w:val="auto"/>
          <w:kern w:val="0"/>
          <w:sz w:val="32"/>
          <w:szCs w:val="32"/>
        </w:rPr>
      </w:pPr>
    </w:p>
    <w:p>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宋体" w:eastAsia="仿宋_GB2312" w:cs="宋体"/>
          <w:color w:val="auto"/>
          <w:kern w:val="0"/>
          <w:sz w:val="32"/>
          <w:szCs w:val="32"/>
        </w:rPr>
      </w:pPr>
    </w:p>
    <w:p>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宋体" w:eastAsia="仿宋_GB2312" w:cs="宋体"/>
          <w:color w:val="auto"/>
          <w:kern w:val="0"/>
          <w:sz w:val="32"/>
          <w:szCs w:val="32"/>
        </w:rPr>
      </w:pPr>
    </w:p>
    <w:p>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宋体" w:eastAsia="仿宋_GB2312" w:cs="宋体"/>
          <w:color w:val="auto"/>
          <w:kern w:val="0"/>
          <w:sz w:val="32"/>
          <w:szCs w:val="32"/>
        </w:rPr>
      </w:pPr>
    </w:p>
    <w:p>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宋体" w:eastAsia="仿宋_GB2312" w:cs="宋体"/>
          <w:color w:val="auto"/>
          <w:kern w:val="0"/>
          <w:sz w:val="32"/>
          <w:szCs w:val="32"/>
        </w:rPr>
      </w:pPr>
    </w:p>
    <w:p>
      <w:pPr>
        <w:keepNext w:val="0"/>
        <w:keepLines w:val="0"/>
        <w:pageBreakBefore w:val="0"/>
        <w:kinsoku/>
        <w:wordWrap/>
        <w:overflowPunct/>
        <w:topLinePunct w:val="0"/>
        <w:bidi w:val="0"/>
        <w:adjustRightInd/>
        <w:snapToGrid/>
        <w:spacing w:line="560" w:lineRule="exact"/>
        <w:jc w:val="center"/>
        <w:textAlignment w:val="auto"/>
        <w:outlineLvl w:val="0"/>
        <w:rPr>
          <w:rFonts w:ascii="黑体" w:hAnsi="黑体" w:eastAsia="黑体"/>
          <w:color w:val="auto"/>
          <w:sz w:val="32"/>
          <w:szCs w:val="32"/>
        </w:rPr>
      </w:pPr>
      <w:bookmarkStart w:id="6" w:name="_Toc3092"/>
      <w:bookmarkStart w:id="7" w:name="_Toc29374"/>
      <w:r>
        <w:rPr>
          <w:rFonts w:hint="eastAsia" w:ascii="黑体" w:hAnsi="黑体" w:eastAsia="黑体"/>
          <w:color w:val="auto"/>
          <w:sz w:val="32"/>
          <w:szCs w:val="32"/>
        </w:rPr>
        <w:t xml:space="preserve">第二部分 </w:t>
      </w:r>
      <w:r>
        <w:rPr>
          <w:rFonts w:hint="eastAsia" w:ascii="黑体" w:hAnsi="黑体" w:eastAsia="黑体"/>
          <w:color w:val="auto"/>
          <w:sz w:val="32"/>
          <w:szCs w:val="32"/>
          <w:lang w:eastAsia="zh-CN"/>
        </w:rPr>
        <w:t>部门</w:t>
      </w:r>
      <w:r>
        <w:rPr>
          <w:rFonts w:hint="eastAsia" w:ascii="黑体" w:hAnsi="黑体" w:eastAsia="黑体"/>
          <w:color w:val="auto"/>
          <w:sz w:val="32"/>
          <w:szCs w:val="32"/>
        </w:rPr>
        <w:t>决算情况说明</w:t>
      </w:r>
      <w:bookmarkEnd w:id="6"/>
      <w:bookmarkEnd w:id="7"/>
    </w:p>
    <w:p>
      <w:pPr>
        <w:keepNext w:val="0"/>
        <w:keepLines w:val="0"/>
        <w:pageBreakBefore w:val="0"/>
        <w:kinsoku/>
        <w:wordWrap/>
        <w:overflowPunct/>
        <w:topLinePunct w:val="0"/>
        <w:bidi w:val="0"/>
        <w:adjustRightInd/>
        <w:snapToGrid/>
        <w:spacing w:line="560" w:lineRule="exact"/>
        <w:ind w:firstLine="640" w:firstLineChars="200"/>
        <w:textAlignment w:val="auto"/>
        <w:outlineLvl w:val="1"/>
        <w:rPr>
          <w:rFonts w:ascii="黑体" w:hAnsi="黑体" w:eastAsia="黑体" w:cs="宋体"/>
          <w:bCs/>
          <w:color w:val="auto"/>
          <w:kern w:val="0"/>
          <w:sz w:val="32"/>
          <w:szCs w:val="32"/>
        </w:rPr>
      </w:pPr>
      <w:bookmarkStart w:id="8" w:name="_Toc12566"/>
      <w:bookmarkStart w:id="9" w:name="_Toc25314"/>
      <w:r>
        <w:rPr>
          <w:rFonts w:hint="eastAsia" w:ascii="黑体" w:hAnsi="黑体" w:eastAsia="黑体" w:cs="宋体"/>
          <w:bCs/>
          <w:color w:val="auto"/>
          <w:kern w:val="0"/>
          <w:sz w:val="32"/>
          <w:szCs w:val="32"/>
        </w:rPr>
        <w:t>一、收入支出决算总体情况说明</w:t>
      </w:r>
      <w:bookmarkEnd w:id="8"/>
      <w:bookmarkEnd w:id="9"/>
    </w:p>
    <w:p>
      <w:pPr>
        <w:keepNext w:val="0"/>
        <w:keepLines w:val="0"/>
        <w:pageBreakBefore w:val="0"/>
        <w:kinsoku/>
        <w:wordWrap/>
        <w:overflowPunct/>
        <w:topLinePunct w:val="0"/>
        <w:bidi w:val="0"/>
        <w:adjustRightInd/>
        <w:snapToGrid/>
        <w:spacing w:line="560" w:lineRule="exact"/>
        <w:ind w:firstLine="642" w:firstLineChars="200"/>
        <w:jc w:val="left"/>
        <w:textAlignment w:val="auto"/>
        <w:rPr>
          <w:rFonts w:ascii="仿宋_GB2312" w:eastAsia="仿宋_GB2312"/>
          <w:color w:val="auto"/>
          <w:sz w:val="32"/>
          <w:szCs w:val="32"/>
        </w:rPr>
      </w:pPr>
      <w:r>
        <w:rPr>
          <w:rFonts w:hint="eastAsia" w:ascii="仿宋_GB2312" w:eastAsia="仿宋_GB2312"/>
          <w:b/>
          <w:bCs/>
          <w:color w:val="auto"/>
          <w:sz w:val="32"/>
          <w:szCs w:val="32"/>
        </w:rPr>
        <w:t>2023年度收入总计568.44万元，</w:t>
      </w:r>
      <w:r>
        <w:rPr>
          <w:rFonts w:hint="eastAsia" w:ascii="仿宋_GB2312" w:eastAsia="仿宋_GB2312"/>
          <w:color w:val="auto"/>
          <w:sz w:val="32"/>
          <w:szCs w:val="32"/>
        </w:rPr>
        <w:t>其中：本年收入合计543.11万元，使用非财政拨款结余19.44万元，年初结转和结余5.88万元。</w:t>
      </w:r>
    </w:p>
    <w:p>
      <w:pPr>
        <w:keepNext w:val="0"/>
        <w:keepLines w:val="0"/>
        <w:pageBreakBefore w:val="0"/>
        <w:kinsoku/>
        <w:wordWrap/>
        <w:overflowPunct/>
        <w:topLinePunct w:val="0"/>
        <w:bidi w:val="0"/>
        <w:adjustRightInd/>
        <w:snapToGrid/>
        <w:spacing w:line="560" w:lineRule="exact"/>
        <w:ind w:firstLine="642" w:firstLineChars="200"/>
        <w:jc w:val="left"/>
        <w:textAlignment w:val="auto"/>
        <w:rPr>
          <w:rFonts w:ascii="仿宋_GB2312" w:eastAsia="仿宋_GB2312"/>
          <w:color w:val="auto"/>
          <w:sz w:val="32"/>
          <w:szCs w:val="32"/>
        </w:rPr>
      </w:pPr>
      <w:r>
        <w:rPr>
          <w:rFonts w:hint="eastAsia" w:ascii="仿宋_GB2312" w:eastAsia="仿宋_GB2312"/>
          <w:b/>
          <w:bCs/>
          <w:color w:val="auto"/>
          <w:sz w:val="32"/>
          <w:szCs w:val="32"/>
        </w:rPr>
        <w:t>2023年度支出总计568.44万元，</w:t>
      </w:r>
      <w:r>
        <w:rPr>
          <w:rFonts w:hint="eastAsia" w:ascii="仿宋_GB2312" w:eastAsia="仿宋_GB2312"/>
          <w:color w:val="auto"/>
          <w:sz w:val="32"/>
          <w:szCs w:val="32"/>
        </w:rPr>
        <w:t>其中：本年支出合计565.88万元，结余分配0.00万元，年末结转和结余2.55万元。</w:t>
      </w:r>
    </w:p>
    <w:p>
      <w:pPr>
        <w:keepNext w:val="0"/>
        <w:keepLines w:val="0"/>
        <w:pageBreakBefore w:val="0"/>
        <w:kinsoku/>
        <w:wordWrap/>
        <w:overflowPunct/>
        <w:topLinePunct w:val="0"/>
        <w:bidi w:val="0"/>
        <w:adjustRightInd/>
        <w:snapToGrid/>
        <w:spacing w:line="560" w:lineRule="exact"/>
        <w:ind w:firstLine="642" w:firstLineChars="200"/>
        <w:jc w:val="left"/>
        <w:textAlignment w:val="auto"/>
        <w:rPr>
          <w:rFonts w:ascii="仿宋_GB2312" w:eastAsia="仿宋_GB2312"/>
          <w:color w:val="auto"/>
          <w:sz w:val="32"/>
          <w:szCs w:val="32"/>
        </w:rPr>
      </w:pPr>
      <w:r>
        <w:rPr>
          <w:rFonts w:hint="eastAsia" w:ascii="仿宋_GB2312" w:eastAsia="仿宋_GB2312"/>
          <w:b/>
          <w:bCs/>
          <w:color w:val="auto"/>
          <w:sz w:val="32"/>
          <w:szCs w:val="32"/>
        </w:rPr>
        <w:t>收入支出总体与上年相比，</w:t>
      </w:r>
      <w:r>
        <w:rPr>
          <w:rFonts w:hint="eastAsia" w:ascii="仿宋_GB2312" w:eastAsia="仿宋_GB2312"/>
          <w:color w:val="auto"/>
          <w:sz w:val="32"/>
          <w:szCs w:val="32"/>
          <w:lang w:val="zh-CN"/>
        </w:rPr>
        <w:t>增加63.</w:t>
      </w:r>
      <w:r>
        <w:rPr>
          <w:rFonts w:hint="eastAsia" w:ascii="仿宋_GB2312" w:eastAsia="仿宋_GB2312"/>
          <w:color w:val="auto"/>
          <w:sz w:val="32"/>
          <w:szCs w:val="32"/>
          <w:lang w:val="en-US" w:eastAsia="zh-CN"/>
        </w:rPr>
        <w:t>90</w:t>
      </w:r>
      <w:r>
        <w:rPr>
          <w:rFonts w:hint="eastAsia" w:ascii="仿宋_GB2312" w:eastAsia="仿宋_GB2312"/>
          <w:color w:val="auto"/>
          <w:sz w:val="32"/>
          <w:szCs w:val="32"/>
          <w:lang w:val="zh-CN"/>
        </w:rPr>
        <w:t>万元</w:t>
      </w:r>
      <w:r>
        <w:rPr>
          <w:rFonts w:hint="eastAsia" w:ascii="仿宋_GB2312" w:eastAsia="仿宋_GB2312"/>
          <w:color w:val="auto"/>
          <w:sz w:val="32"/>
          <w:szCs w:val="32"/>
        </w:rPr>
        <w:t>，</w:t>
      </w:r>
      <w:r>
        <w:rPr>
          <w:rFonts w:hint="eastAsia" w:ascii="仿宋_GB2312" w:eastAsia="仿宋_GB2312"/>
          <w:color w:val="auto"/>
          <w:sz w:val="32"/>
          <w:szCs w:val="32"/>
          <w:lang w:val="zh-CN"/>
        </w:rPr>
        <w:t>增长12.66%</w:t>
      </w:r>
      <w:r>
        <w:rPr>
          <w:rFonts w:hint="eastAsia" w:ascii="仿宋_GB2312" w:eastAsia="仿宋_GB2312"/>
          <w:color w:val="auto"/>
          <w:sz w:val="32"/>
          <w:szCs w:val="32"/>
        </w:rPr>
        <w:t>，主要原因是</w:t>
      </w:r>
      <w:r>
        <w:rPr>
          <w:rFonts w:hint="eastAsia" w:ascii="仿宋_GB2312" w:eastAsia="仿宋_GB2312"/>
          <w:color w:val="auto"/>
          <w:sz w:val="32"/>
          <w:szCs w:val="32"/>
          <w:lang w:eastAsia="zh-CN"/>
        </w:rPr>
        <w:t>：</w:t>
      </w:r>
      <w:r>
        <w:rPr>
          <w:rFonts w:hint="eastAsia" w:ascii="仿宋_GB2312" w:eastAsia="仿宋_GB2312"/>
          <w:color w:val="auto"/>
          <w:sz w:val="32"/>
          <w:szCs w:val="32"/>
        </w:rPr>
        <w:t>在职人员调资增资</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新增地名标准化专项业务项目经费、申请追加单位职业年金</w:t>
      </w:r>
      <w:r>
        <w:rPr>
          <w:rFonts w:hint="eastAsia" w:ascii="仿宋_GB2312" w:eastAsia="仿宋_GB2312"/>
          <w:color w:val="auto"/>
          <w:sz w:val="32"/>
          <w:szCs w:val="32"/>
        </w:rPr>
        <w:t>。</w:t>
      </w:r>
    </w:p>
    <w:p>
      <w:pPr>
        <w:keepNext w:val="0"/>
        <w:keepLines w:val="0"/>
        <w:pageBreakBefore w:val="0"/>
        <w:kinsoku/>
        <w:wordWrap/>
        <w:overflowPunct/>
        <w:topLinePunct w:val="0"/>
        <w:bidi w:val="0"/>
        <w:adjustRightInd/>
        <w:snapToGrid/>
        <w:spacing w:line="560" w:lineRule="exact"/>
        <w:ind w:firstLine="640" w:firstLineChars="200"/>
        <w:jc w:val="left"/>
        <w:textAlignment w:val="auto"/>
        <w:outlineLvl w:val="1"/>
        <w:rPr>
          <w:rFonts w:ascii="黑体" w:hAnsi="黑体" w:eastAsia="黑体" w:cs="宋体"/>
          <w:bCs/>
          <w:color w:val="auto"/>
          <w:kern w:val="0"/>
          <w:sz w:val="32"/>
          <w:szCs w:val="32"/>
        </w:rPr>
      </w:pPr>
      <w:bookmarkStart w:id="10" w:name="_Toc12142"/>
      <w:bookmarkStart w:id="11" w:name="_Toc1979"/>
      <w:r>
        <w:rPr>
          <w:rFonts w:hint="eastAsia" w:ascii="黑体" w:hAnsi="黑体" w:eastAsia="黑体" w:cs="宋体"/>
          <w:bCs/>
          <w:color w:val="auto"/>
          <w:kern w:val="0"/>
          <w:sz w:val="32"/>
          <w:szCs w:val="32"/>
        </w:rPr>
        <w:t>二、收入决算情况说明</w:t>
      </w:r>
      <w:bookmarkEnd w:id="10"/>
      <w:bookmarkEnd w:id="11"/>
    </w:p>
    <w:p>
      <w:pPr>
        <w:keepNext w:val="0"/>
        <w:keepLines w:val="0"/>
        <w:pageBreakBefore w:val="0"/>
        <w:kinsoku/>
        <w:wordWrap/>
        <w:overflowPunct/>
        <w:topLinePunct w:val="0"/>
        <w:bidi w:val="0"/>
        <w:adjustRightInd/>
        <w:snapToGrid/>
        <w:spacing w:line="560" w:lineRule="exact"/>
        <w:ind w:firstLine="642" w:firstLineChars="200"/>
        <w:jc w:val="left"/>
        <w:textAlignment w:val="auto"/>
        <w:rPr>
          <w:rFonts w:ascii="仿宋_GB2312" w:eastAsia="仿宋_GB2312"/>
          <w:color w:val="auto"/>
          <w:sz w:val="32"/>
          <w:szCs w:val="32"/>
        </w:rPr>
      </w:pPr>
      <w:r>
        <w:rPr>
          <w:rFonts w:hint="eastAsia" w:ascii="仿宋_GB2312" w:eastAsia="仿宋_GB2312"/>
          <w:b/>
          <w:bCs/>
          <w:color w:val="auto"/>
          <w:sz w:val="32"/>
          <w:szCs w:val="32"/>
        </w:rPr>
        <w:t>本年收入543.11万元，</w:t>
      </w:r>
      <w:r>
        <w:rPr>
          <w:rFonts w:hint="eastAsia" w:ascii="仿宋_GB2312" w:eastAsia="仿宋_GB2312"/>
          <w:color w:val="auto"/>
          <w:sz w:val="32"/>
          <w:szCs w:val="32"/>
        </w:rPr>
        <w:t>其中：财政拨款收入</w:t>
      </w:r>
      <w:r>
        <w:rPr>
          <w:rFonts w:hint="eastAsia" w:ascii="仿宋_GB2312" w:eastAsia="仿宋_GB2312"/>
          <w:color w:val="auto"/>
          <w:sz w:val="32"/>
          <w:szCs w:val="32"/>
          <w:lang w:val="zh-CN"/>
        </w:rPr>
        <w:t>542.96</w:t>
      </w:r>
      <w:r>
        <w:rPr>
          <w:rFonts w:hint="eastAsia" w:ascii="仿宋_GB2312" w:eastAsia="仿宋_GB2312"/>
          <w:color w:val="auto"/>
          <w:sz w:val="32"/>
          <w:szCs w:val="32"/>
        </w:rPr>
        <w:t>万元，占</w:t>
      </w:r>
      <w:r>
        <w:rPr>
          <w:rFonts w:hint="eastAsia" w:ascii="仿宋_GB2312" w:eastAsia="仿宋_GB2312"/>
          <w:color w:val="auto"/>
          <w:sz w:val="32"/>
          <w:szCs w:val="32"/>
          <w:lang w:val="zh-CN"/>
        </w:rPr>
        <w:t>99.97</w:t>
      </w:r>
      <w:r>
        <w:rPr>
          <w:rFonts w:hint="eastAsia" w:ascii="仿宋_GB2312" w:eastAsia="仿宋_GB2312"/>
          <w:color w:val="auto"/>
          <w:sz w:val="32"/>
          <w:szCs w:val="32"/>
        </w:rPr>
        <w:t>%；上级补助收入</w:t>
      </w:r>
      <w:r>
        <w:rPr>
          <w:rFonts w:hint="eastAsia" w:ascii="仿宋_GB2312" w:eastAsia="仿宋_GB2312"/>
          <w:color w:val="auto"/>
          <w:sz w:val="32"/>
          <w:szCs w:val="32"/>
          <w:lang w:val="zh-CN"/>
        </w:rPr>
        <w:t>0.00</w:t>
      </w:r>
      <w:r>
        <w:rPr>
          <w:rFonts w:hint="eastAsia" w:ascii="仿宋_GB2312" w:eastAsia="仿宋_GB2312"/>
          <w:color w:val="auto"/>
          <w:sz w:val="32"/>
          <w:szCs w:val="32"/>
        </w:rPr>
        <w:t>万元，占</w:t>
      </w:r>
      <w:r>
        <w:rPr>
          <w:rFonts w:hint="eastAsia" w:ascii="仿宋_GB2312" w:eastAsia="仿宋_GB2312"/>
          <w:color w:val="auto"/>
          <w:sz w:val="32"/>
          <w:szCs w:val="32"/>
          <w:lang w:val="zh-CN"/>
        </w:rPr>
        <w:t>0.00</w:t>
      </w:r>
      <w:r>
        <w:rPr>
          <w:rFonts w:hint="eastAsia" w:ascii="仿宋_GB2312" w:eastAsia="仿宋_GB2312"/>
          <w:color w:val="auto"/>
          <w:sz w:val="32"/>
          <w:szCs w:val="32"/>
        </w:rPr>
        <w:t>%；事业收入</w:t>
      </w:r>
      <w:r>
        <w:rPr>
          <w:rFonts w:hint="eastAsia" w:ascii="仿宋_GB2312" w:eastAsia="仿宋_GB2312"/>
          <w:color w:val="auto"/>
          <w:sz w:val="32"/>
          <w:szCs w:val="32"/>
          <w:lang w:val="zh-CN"/>
        </w:rPr>
        <w:t>0.00</w:t>
      </w:r>
      <w:r>
        <w:rPr>
          <w:rFonts w:hint="eastAsia" w:ascii="仿宋_GB2312" w:eastAsia="仿宋_GB2312"/>
          <w:color w:val="auto"/>
          <w:sz w:val="32"/>
          <w:szCs w:val="32"/>
        </w:rPr>
        <w:t>万元，占</w:t>
      </w:r>
      <w:r>
        <w:rPr>
          <w:rFonts w:hint="eastAsia" w:ascii="仿宋_GB2312" w:eastAsia="仿宋_GB2312"/>
          <w:color w:val="auto"/>
          <w:sz w:val="32"/>
          <w:szCs w:val="32"/>
          <w:lang w:val="zh-CN"/>
        </w:rPr>
        <w:t>0.00</w:t>
      </w:r>
      <w:r>
        <w:rPr>
          <w:rFonts w:hint="eastAsia" w:ascii="仿宋_GB2312" w:eastAsia="仿宋_GB2312"/>
          <w:color w:val="auto"/>
          <w:sz w:val="32"/>
          <w:szCs w:val="32"/>
        </w:rPr>
        <w:t>%；经营收入</w:t>
      </w:r>
      <w:r>
        <w:rPr>
          <w:rFonts w:hint="eastAsia" w:ascii="仿宋_GB2312" w:eastAsia="仿宋_GB2312"/>
          <w:color w:val="auto"/>
          <w:sz w:val="32"/>
          <w:szCs w:val="32"/>
          <w:lang w:val="zh-CN"/>
        </w:rPr>
        <w:t>0.00</w:t>
      </w:r>
      <w:r>
        <w:rPr>
          <w:rFonts w:hint="eastAsia" w:ascii="仿宋_GB2312" w:eastAsia="仿宋_GB2312"/>
          <w:color w:val="auto"/>
          <w:sz w:val="32"/>
          <w:szCs w:val="32"/>
        </w:rPr>
        <w:t>万元，占</w:t>
      </w:r>
      <w:r>
        <w:rPr>
          <w:rFonts w:hint="eastAsia" w:ascii="仿宋_GB2312" w:eastAsia="仿宋_GB2312"/>
          <w:color w:val="auto"/>
          <w:sz w:val="32"/>
          <w:szCs w:val="32"/>
          <w:lang w:val="zh-CN"/>
        </w:rPr>
        <w:t>0.00</w:t>
      </w:r>
      <w:r>
        <w:rPr>
          <w:rFonts w:hint="eastAsia" w:ascii="仿宋_GB2312" w:eastAsia="仿宋_GB2312"/>
          <w:color w:val="auto"/>
          <w:sz w:val="32"/>
          <w:szCs w:val="32"/>
        </w:rPr>
        <w:t>%；附属单位上缴收入</w:t>
      </w:r>
      <w:r>
        <w:rPr>
          <w:rFonts w:hint="eastAsia" w:ascii="仿宋_GB2312" w:eastAsia="仿宋_GB2312"/>
          <w:color w:val="auto"/>
          <w:sz w:val="32"/>
          <w:szCs w:val="32"/>
          <w:lang w:val="zh-CN"/>
        </w:rPr>
        <w:t>0.00</w:t>
      </w:r>
      <w:r>
        <w:rPr>
          <w:rFonts w:hint="eastAsia" w:ascii="仿宋_GB2312" w:eastAsia="仿宋_GB2312"/>
          <w:color w:val="auto"/>
          <w:sz w:val="32"/>
          <w:szCs w:val="32"/>
        </w:rPr>
        <w:t>万元，占</w:t>
      </w:r>
      <w:r>
        <w:rPr>
          <w:rFonts w:hint="eastAsia" w:ascii="仿宋_GB2312" w:eastAsia="仿宋_GB2312"/>
          <w:color w:val="auto"/>
          <w:sz w:val="32"/>
          <w:szCs w:val="32"/>
          <w:lang w:val="zh-CN"/>
        </w:rPr>
        <w:t>0.00</w:t>
      </w:r>
      <w:r>
        <w:rPr>
          <w:rFonts w:hint="eastAsia" w:ascii="仿宋_GB2312" w:eastAsia="仿宋_GB2312"/>
          <w:color w:val="auto"/>
          <w:sz w:val="32"/>
          <w:szCs w:val="32"/>
        </w:rPr>
        <w:t>%；其他收入</w:t>
      </w:r>
      <w:r>
        <w:rPr>
          <w:rFonts w:hint="eastAsia" w:ascii="仿宋_GB2312" w:eastAsia="仿宋_GB2312"/>
          <w:color w:val="auto"/>
          <w:sz w:val="32"/>
          <w:szCs w:val="32"/>
          <w:lang w:val="zh-CN"/>
        </w:rPr>
        <w:t>0.15</w:t>
      </w:r>
      <w:r>
        <w:rPr>
          <w:rFonts w:hint="eastAsia" w:ascii="仿宋_GB2312" w:eastAsia="仿宋_GB2312"/>
          <w:color w:val="auto"/>
          <w:sz w:val="32"/>
          <w:szCs w:val="32"/>
        </w:rPr>
        <w:t>万元，占</w:t>
      </w:r>
      <w:r>
        <w:rPr>
          <w:rFonts w:hint="eastAsia" w:ascii="仿宋_GB2312" w:eastAsia="仿宋_GB2312"/>
          <w:color w:val="auto"/>
          <w:sz w:val="32"/>
          <w:szCs w:val="32"/>
          <w:lang w:val="zh-CN"/>
        </w:rPr>
        <w:t>0.03</w:t>
      </w:r>
      <w:r>
        <w:rPr>
          <w:rFonts w:hint="eastAsia" w:ascii="仿宋_GB2312" w:eastAsia="仿宋_GB2312"/>
          <w:color w:val="auto"/>
          <w:sz w:val="32"/>
          <w:szCs w:val="32"/>
        </w:rPr>
        <w:t>%。</w:t>
      </w:r>
    </w:p>
    <w:p>
      <w:pPr>
        <w:keepNext w:val="0"/>
        <w:keepLines w:val="0"/>
        <w:pageBreakBefore w:val="0"/>
        <w:kinsoku/>
        <w:wordWrap/>
        <w:overflowPunct/>
        <w:topLinePunct w:val="0"/>
        <w:bidi w:val="0"/>
        <w:adjustRightInd/>
        <w:snapToGrid/>
        <w:spacing w:line="560" w:lineRule="exact"/>
        <w:ind w:firstLine="640" w:firstLineChars="200"/>
        <w:jc w:val="left"/>
        <w:textAlignment w:val="auto"/>
        <w:outlineLvl w:val="1"/>
        <w:rPr>
          <w:rFonts w:ascii="黑体" w:hAnsi="黑体" w:eastAsia="黑体" w:cs="宋体"/>
          <w:bCs/>
          <w:color w:val="auto"/>
          <w:kern w:val="0"/>
          <w:sz w:val="32"/>
          <w:szCs w:val="32"/>
        </w:rPr>
      </w:pPr>
      <w:bookmarkStart w:id="12" w:name="_Toc13201"/>
      <w:bookmarkStart w:id="13" w:name="_Toc27961"/>
      <w:r>
        <w:rPr>
          <w:rFonts w:hint="eastAsia" w:ascii="黑体" w:hAnsi="黑体" w:eastAsia="黑体" w:cs="宋体"/>
          <w:bCs/>
          <w:color w:val="auto"/>
          <w:kern w:val="0"/>
          <w:sz w:val="32"/>
          <w:szCs w:val="32"/>
        </w:rPr>
        <w:t>三、支出决算情况说明</w:t>
      </w:r>
      <w:bookmarkEnd w:id="12"/>
      <w:bookmarkEnd w:id="13"/>
    </w:p>
    <w:p>
      <w:pPr>
        <w:keepNext w:val="0"/>
        <w:keepLines w:val="0"/>
        <w:pageBreakBefore w:val="0"/>
        <w:kinsoku/>
        <w:wordWrap/>
        <w:overflowPunct/>
        <w:topLinePunct w:val="0"/>
        <w:bidi w:val="0"/>
        <w:adjustRightInd/>
        <w:snapToGrid/>
        <w:spacing w:line="560" w:lineRule="exact"/>
        <w:ind w:firstLine="642" w:firstLineChars="200"/>
        <w:jc w:val="both"/>
        <w:textAlignment w:val="auto"/>
        <w:rPr>
          <w:rFonts w:eastAsia="仿宋_GB2312" w:cs="仿宋_GB2312"/>
          <w:color w:val="auto"/>
          <w:sz w:val="30"/>
          <w:szCs w:val="30"/>
          <w:lang w:val="zh-CN"/>
        </w:rPr>
      </w:pPr>
      <w:r>
        <w:rPr>
          <w:rFonts w:hint="eastAsia" w:eastAsia="仿宋_GB2312" w:cs="仿宋_GB2312"/>
          <w:b/>
          <w:bCs/>
          <w:color w:val="auto"/>
          <w:sz w:val="32"/>
          <w:szCs w:val="32"/>
          <w:lang w:val="zh-CN"/>
        </w:rPr>
        <w:t>本年支出565.88万元，</w:t>
      </w:r>
      <w:r>
        <w:rPr>
          <w:rFonts w:hint="eastAsia" w:eastAsia="仿宋_GB2312" w:cs="仿宋_GB2312"/>
          <w:color w:val="auto"/>
          <w:sz w:val="32"/>
          <w:szCs w:val="32"/>
          <w:lang w:val="zh-CN"/>
        </w:rPr>
        <w:t>其中：基本支出536.29万元，占94.77%；项目支出29.59万元，占5.23%；上缴上级支出0.00万元，占0.00%；经营支出0.00万元，占0.00%；对附属单位补助支出0.00万元，占0.00%。</w:t>
      </w:r>
    </w:p>
    <w:p>
      <w:pPr>
        <w:keepNext w:val="0"/>
        <w:keepLines w:val="0"/>
        <w:pageBreakBefore w:val="0"/>
        <w:kinsoku/>
        <w:wordWrap/>
        <w:overflowPunct/>
        <w:topLinePunct w:val="0"/>
        <w:bidi w:val="0"/>
        <w:adjustRightInd/>
        <w:snapToGrid/>
        <w:spacing w:line="560" w:lineRule="exact"/>
        <w:ind w:firstLine="640" w:firstLineChars="200"/>
        <w:jc w:val="left"/>
        <w:textAlignment w:val="auto"/>
        <w:outlineLvl w:val="1"/>
        <w:rPr>
          <w:rFonts w:ascii="黑体" w:hAnsi="黑体" w:eastAsia="黑体" w:cs="宋体"/>
          <w:bCs/>
          <w:color w:val="auto"/>
          <w:kern w:val="0"/>
          <w:sz w:val="32"/>
          <w:szCs w:val="32"/>
        </w:rPr>
      </w:pPr>
      <w:bookmarkStart w:id="14" w:name="_Toc26564"/>
      <w:bookmarkStart w:id="15" w:name="_Toc4393"/>
      <w:r>
        <w:rPr>
          <w:rFonts w:hint="eastAsia" w:ascii="黑体" w:hAnsi="黑体" w:eastAsia="黑体" w:cs="宋体"/>
          <w:bCs/>
          <w:color w:val="auto"/>
          <w:kern w:val="0"/>
          <w:sz w:val="32"/>
          <w:szCs w:val="32"/>
        </w:rPr>
        <w:t>四、财政拨款收入支出决算总体情况说明</w:t>
      </w:r>
      <w:bookmarkEnd w:id="14"/>
      <w:bookmarkEnd w:id="15"/>
    </w:p>
    <w:p>
      <w:pPr>
        <w:keepNext w:val="0"/>
        <w:keepLines w:val="0"/>
        <w:pageBreakBefore w:val="0"/>
        <w:kinsoku/>
        <w:wordWrap/>
        <w:overflowPunct/>
        <w:topLinePunct w:val="0"/>
        <w:bidi w:val="0"/>
        <w:adjustRightInd/>
        <w:snapToGrid/>
        <w:spacing w:line="560" w:lineRule="exact"/>
        <w:ind w:firstLine="642" w:firstLineChars="200"/>
        <w:jc w:val="left"/>
        <w:textAlignment w:val="auto"/>
        <w:rPr>
          <w:rFonts w:ascii="仿宋_GB2312" w:eastAsia="仿宋_GB2312"/>
          <w:color w:val="auto"/>
          <w:sz w:val="32"/>
          <w:szCs w:val="32"/>
        </w:rPr>
      </w:pPr>
      <w:r>
        <w:rPr>
          <w:rFonts w:hint="eastAsia" w:ascii="仿宋_GB2312" w:eastAsia="仿宋_GB2312"/>
          <w:b/>
          <w:bCs/>
          <w:color w:val="auto"/>
          <w:sz w:val="32"/>
          <w:szCs w:val="32"/>
        </w:rPr>
        <w:t>2023年度财政拨款收入总计</w:t>
      </w:r>
      <w:r>
        <w:rPr>
          <w:rFonts w:hint="eastAsia" w:ascii="仿宋_GB2312" w:eastAsia="仿宋_GB2312"/>
          <w:b/>
          <w:bCs/>
          <w:color w:val="auto"/>
          <w:sz w:val="32"/>
          <w:szCs w:val="32"/>
          <w:lang w:val="zh-CN"/>
        </w:rPr>
        <w:t>548.84</w:t>
      </w:r>
      <w:r>
        <w:rPr>
          <w:rFonts w:hint="eastAsia" w:ascii="仿宋_GB2312" w:eastAsia="仿宋_GB2312"/>
          <w:b/>
          <w:bCs/>
          <w:color w:val="auto"/>
          <w:sz w:val="32"/>
          <w:szCs w:val="32"/>
        </w:rPr>
        <w:t>万元，</w:t>
      </w:r>
      <w:r>
        <w:rPr>
          <w:rFonts w:hint="eastAsia" w:ascii="仿宋_GB2312" w:eastAsia="仿宋_GB2312"/>
          <w:color w:val="auto"/>
          <w:sz w:val="32"/>
          <w:szCs w:val="32"/>
        </w:rPr>
        <w:t>其中：年初财政拨款结转和结余</w:t>
      </w:r>
      <w:r>
        <w:rPr>
          <w:rFonts w:hint="eastAsia" w:ascii="仿宋_GB2312" w:eastAsia="仿宋_GB2312"/>
          <w:color w:val="auto"/>
          <w:sz w:val="32"/>
          <w:szCs w:val="32"/>
          <w:lang w:val="zh-CN"/>
        </w:rPr>
        <w:t>5.88</w:t>
      </w:r>
      <w:r>
        <w:rPr>
          <w:rFonts w:hint="eastAsia" w:ascii="仿宋_GB2312" w:eastAsia="仿宋_GB2312"/>
          <w:color w:val="auto"/>
          <w:sz w:val="32"/>
          <w:szCs w:val="32"/>
        </w:rPr>
        <w:t>万元，本年财政拨款收入</w:t>
      </w:r>
      <w:r>
        <w:rPr>
          <w:rFonts w:hint="eastAsia" w:ascii="仿宋_GB2312" w:eastAsia="仿宋_GB2312"/>
          <w:color w:val="auto"/>
          <w:sz w:val="32"/>
          <w:szCs w:val="32"/>
          <w:lang w:val="zh-CN"/>
        </w:rPr>
        <w:t>542.96</w:t>
      </w:r>
      <w:r>
        <w:rPr>
          <w:rFonts w:hint="eastAsia" w:ascii="仿宋_GB2312" w:eastAsia="仿宋_GB2312"/>
          <w:color w:val="auto"/>
          <w:sz w:val="32"/>
          <w:szCs w:val="32"/>
        </w:rPr>
        <w:t>万元。</w:t>
      </w:r>
      <w:r>
        <w:rPr>
          <w:rFonts w:hint="eastAsia" w:ascii="仿宋_GB2312" w:eastAsia="仿宋_GB2312"/>
          <w:b/>
          <w:bCs/>
          <w:color w:val="auto"/>
          <w:sz w:val="32"/>
          <w:szCs w:val="32"/>
        </w:rPr>
        <w:t>财政拨款支出总计</w:t>
      </w:r>
      <w:r>
        <w:rPr>
          <w:rFonts w:hint="eastAsia" w:ascii="仿宋_GB2312" w:eastAsia="仿宋_GB2312"/>
          <w:b/>
          <w:bCs/>
          <w:color w:val="auto"/>
          <w:sz w:val="32"/>
          <w:szCs w:val="32"/>
          <w:lang w:val="zh-CN"/>
        </w:rPr>
        <w:t>548.84</w:t>
      </w:r>
      <w:r>
        <w:rPr>
          <w:rFonts w:hint="eastAsia" w:ascii="仿宋_GB2312" w:eastAsia="仿宋_GB2312"/>
          <w:b/>
          <w:bCs/>
          <w:color w:val="auto"/>
          <w:sz w:val="32"/>
          <w:szCs w:val="32"/>
        </w:rPr>
        <w:t>万元，</w:t>
      </w:r>
      <w:r>
        <w:rPr>
          <w:rFonts w:hint="eastAsia" w:ascii="仿宋_GB2312" w:eastAsia="仿宋_GB2312"/>
          <w:color w:val="auto"/>
          <w:sz w:val="32"/>
          <w:szCs w:val="32"/>
        </w:rPr>
        <w:t>其中：年末财政拨款结转和结余</w:t>
      </w:r>
      <w:r>
        <w:rPr>
          <w:rFonts w:hint="eastAsia" w:ascii="仿宋_GB2312" w:eastAsia="仿宋_GB2312"/>
          <w:color w:val="auto"/>
          <w:sz w:val="32"/>
          <w:szCs w:val="32"/>
          <w:lang w:val="zh-CN"/>
        </w:rPr>
        <w:t>2.55</w:t>
      </w:r>
      <w:r>
        <w:rPr>
          <w:rFonts w:hint="eastAsia" w:ascii="仿宋_GB2312" w:eastAsia="仿宋_GB2312"/>
          <w:color w:val="auto"/>
          <w:sz w:val="32"/>
          <w:szCs w:val="32"/>
        </w:rPr>
        <w:t>万元，本年财政拨款支出</w:t>
      </w:r>
      <w:r>
        <w:rPr>
          <w:rFonts w:hint="eastAsia" w:ascii="仿宋_GB2312" w:eastAsia="仿宋_GB2312"/>
          <w:color w:val="auto"/>
          <w:sz w:val="32"/>
          <w:szCs w:val="32"/>
          <w:lang w:val="zh-CN"/>
        </w:rPr>
        <w:t>546.29</w:t>
      </w:r>
      <w:r>
        <w:rPr>
          <w:rFonts w:hint="eastAsia" w:ascii="仿宋_GB2312" w:eastAsia="仿宋_GB2312"/>
          <w:color w:val="auto"/>
          <w:sz w:val="32"/>
          <w:szCs w:val="32"/>
        </w:rPr>
        <w:t>万元。</w:t>
      </w:r>
    </w:p>
    <w:p>
      <w:pPr>
        <w:keepNext w:val="0"/>
        <w:keepLines w:val="0"/>
        <w:pageBreakBefore w:val="0"/>
        <w:kinsoku/>
        <w:wordWrap/>
        <w:overflowPunct/>
        <w:topLinePunct w:val="0"/>
        <w:bidi w:val="0"/>
        <w:adjustRightInd/>
        <w:snapToGrid/>
        <w:spacing w:line="560" w:lineRule="exact"/>
        <w:ind w:firstLine="642" w:firstLineChars="200"/>
        <w:jc w:val="left"/>
        <w:textAlignment w:val="auto"/>
        <w:rPr>
          <w:rFonts w:ascii="仿宋_GB2312" w:eastAsia="仿宋_GB2312"/>
          <w:color w:val="auto"/>
          <w:sz w:val="32"/>
          <w:szCs w:val="32"/>
        </w:rPr>
      </w:pPr>
      <w:r>
        <w:rPr>
          <w:rFonts w:hint="eastAsia" w:ascii="仿宋_GB2312" w:eastAsia="仿宋_GB2312"/>
          <w:b/>
          <w:bCs/>
          <w:color w:val="auto"/>
          <w:sz w:val="32"/>
          <w:szCs w:val="32"/>
        </w:rPr>
        <w:t>财政拨款收入支出总体与上年相比,</w:t>
      </w:r>
      <w:r>
        <w:rPr>
          <w:rFonts w:hint="eastAsia" w:ascii="仿宋_GB2312" w:eastAsia="仿宋_GB2312"/>
          <w:color w:val="auto"/>
          <w:sz w:val="32"/>
          <w:szCs w:val="32"/>
          <w:lang w:val="zh-CN"/>
        </w:rPr>
        <w:t>增加44.46万元</w:t>
      </w:r>
      <w:r>
        <w:rPr>
          <w:rFonts w:hint="eastAsia" w:ascii="仿宋_GB2312" w:eastAsia="仿宋_GB2312"/>
          <w:color w:val="auto"/>
          <w:sz w:val="32"/>
          <w:szCs w:val="32"/>
        </w:rPr>
        <w:t>，</w:t>
      </w:r>
      <w:r>
        <w:rPr>
          <w:rFonts w:hint="eastAsia" w:ascii="仿宋_GB2312" w:eastAsia="仿宋_GB2312"/>
          <w:color w:val="auto"/>
          <w:sz w:val="32"/>
          <w:szCs w:val="32"/>
          <w:lang w:val="zh-CN"/>
        </w:rPr>
        <w:t>增长8.81%，</w:t>
      </w:r>
      <w:r>
        <w:rPr>
          <w:rFonts w:hint="eastAsia" w:ascii="仿宋_GB2312" w:eastAsia="仿宋_GB2312"/>
          <w:color w:val="auto"/>
          <w:sz w:val="32"/>
          <w:szCs w:val="32"/>
        </w:rPr>
        <w:t>主要原因是</w:t>
      </w:r>
      <w:r>
        <w:rPr>
          <w:rFonts w:hint="eastAsia" w:ascii="仿宋_GB2312" w:eastAsia="仿宋_GB2312"/>
          <w:color w:val="auto"/>
          <w:sz w:val="32"/>
          <w:szCs w:val="32"/>
          <w:lang w:eastAsia="zh-CN"/>
        </w:rPr>
        <w:t>：</w:t>
      </w:r>
      <w:r>
        <w:rPr>
          <w:rFonts w:hint="eastAsia" w:ascii="仿宋_GB2312" w:eastAsia="仿宋_GB2312"/>
          <w:color w:val="auto"/>
          <w:sz w:val="32"/>
          <w:szCs w:val="32"/>
        </w:rPr>
        <w:t>在职人员调资增资</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新增地名标准化专项业务项目经费</w:t>
      </w:r>
      <w:r>
        <w:rPr>
          <w:rFonts w:hint="eastAsia" w:ascii="仿宋_GB2312" w:eastAsia="仿宋_GB2312"/>
          <w:color w:val="auto"/>
          <w:sz w:val="32"/>
          <w:szCs w:val="32"/>
        </w:rPr>
        <w:t>。</w:t>
      </w:r>
      <w:r>
        <w:rPr>
          <w:rFonts w:hint="eastAsia" w:ascii="仿宋_GB2312" w:eastAsia="仿宋_GB2312"/>
          <w:b/>
          <w:bCs/>
          <w:color w:val="auto"/>
          <w:sz w:val="32"/>
          <w:szCs w:val="32"/>
        </w:rPr>
        <w:t>与年初预算相比，</w:t>
      </w:r>
      <w:r>
        <w:rPr>
          <w:rFonts w:hint="eastAsia" w:ascii="仿宋_GB2312" w:eastAsia="仿宋_GB2312"/>
          <w:color w:val="auto"/>
          <w:sz w:val="32"/>
          <w:szCs w:val="32"/>
        </w:rPr>
        <w:t>年初预算数</w:t>
      </w:r>
      <w:r>
        <w:rPr>
          <w:rFonts w:hint="eastAsia" w:ascii="仿宋_GB2312" w:eastAsia="仿宋_GB2312"/>
          <w:color w:val="auto"/>
          <w:sz w:val="32"/>
          <w:szCs w:val="32"/>
          <w:lang w:val="zh-CN"/>
        </w:rPr>
        <w:t>493.96</w:t>
      </w:r>
      <w:r>
        <w:rPr>
          <w:rFonts w:hint="eastAsia" w:ascii="仿宋_GB2312" w:eastAsia="仿宋_GB2312"/>
          <w:color w:val="auto"/>
          <w:sz w:val="32"/>
          <w:szCs w:val="32"/>
        </w:rPr>
        <w:t>万元，决算数</w:t>
      </w:r>
      <w:r>
        <w:rPr>
          <w:rFonts w:hint="eastAsia" w:ascii="仿宋_GB2312" w:eastAsia="仿宋_GB2312"/>
          <w:color w:val="auto"/>
          <w:sz w:val="32"/>
          <w:szCs w:val="32"/>
          <w:lang w:val="zh-CN"/>
        </w:rPr>
        <w:t>548.84</w:t>
      </w:r>
      <w:r>
        <w:rPr>
          <w:rFonts w:hint="eastAsia" w:ascii="仿宋_GB2312" w:eastAsia="仿宋_GB2312"/>
          <w:color w:val="auto"/>
          <w:sz w:val="32"/>
          <w:szCs w:val="32"/>
        </w:rPr>
        <w:t>万元，预决算差异率11.11%，主要原因是：在职人员调资增资</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申请追加单位职业年金，支出较上年增加</w:t>
      </w:r>
      <w:r>
        <w:rPr>
          <w:rFonts w:hint="eastAsia" w:ascii="仿宋_GB2312" w:eastAsia="仿宋_GB2312"/>
          <w:color w:val="auto"/>
          <w:sz w:val="32"/>
          <w:szCs w:val="32"/>
        </w:rPr>
        <w:t>。</w:t>
      </w:r>
    </w:p>
    <w:p>
      <w:pPr>
        <w:keepNext w:val="0"/>
        <w:keepLines w:val="0"/>
        <w:pageBreakBefore w:val="0"/>
        <w:kinsoku/>
        <w:wordWrap/>
        <w:overflowPunct/>
        <w:topLinePunct w:val="0"/>
        <w:bidi w:val="0"/>
        <w:adjustRightInd/>
        <w:snapToGrid/>
        <w:spacing w:line="560" w:lineRule="exact"/>
        <w:ind w:firstLine="640" w:firstLineChars="200"/>
        <w:jc w:val="left"/>
        <w:textAlignment w:val="auto"/>
        <w:outlineLvl w:val="1"/>
        <w:rPr>
          <w:rFonts w:ascii="黑体" w:hAnsi="黑体" w:eastAsia="黑体" w:cs="宋体"/>
          <w:bCs/>
          <w:color w:val="auto"/>
          <w:kern w:val="0"/>
          <w:sz w:val="32"/>
          <w:szCs w:val="32"/>
        </w:rPr>
      </w:pPr>
      <w:bookmarkStart w:id="16" w:name="_Toc13833"/>
      <w:bookmarkStart w:id="17" w:name="_Toc20360"/>
      <w:r>
        <w:rPr>
          <w:rFonts w:hint="eastAsia" w:ascii="黑体" w:hAnsi="黑体" w:eastAsia="黑体" w:cs="宋体"/>
          <w:bCs/>
          <w:color w:val="auto"/>
          <w:kern w:val="0"/>
          <w:sz w:val="32"/>
          <w:szCs w:val="32"/>
        </w:rPr>
        <w:t>五、一般公共预算财政拨款支出决算情况说明</w:t>
      </w:r>
      <w:bookmarkEnd w:id="16"/>
      <w:bookmarkEnd w:id="17"/>
    </w:p>
    <w:p>
      <w:pPr>
        <w:keepNext w:val="0"/>
        <w:keepLines w:val="0"/>
        <w:pageBreakBefore w:val="0"/>
        <w:kinsoku/>
        <w:wordWrap/>
        <w:overflowPunct/>
        <w:topLinePunct w:val="0"/>
        <w:bidi w:val="0"/>
        <w:adjustRightInd/>
        <w:snapToGrid/>
        <w:spacing w:line="560" w:lineRule="exact"/>
        <w:ind w:firstLine="640" w:firstLineChars="200"/>
        <w:jc w:val="left"/>
        <w:textAlignment w:val="auto"/>
        <w:outlineLvl w:val="2"/>
        <w:rPr>
          <w:rFonts w:hint="eastAsia" w:ascii="楷体" w:hAnsi="楷体" w:eastAsia="楷体" w:cs="楷体"/>
          <w:color w:val="auto"/>
          <w:sz w:val="32"/>
          <w:szCs w:val="32"/>
        </w:rPr>
      </w:pPr>
      <w:r>
        <w:rPr>
          <w:rFonts w:hint="eastAsia" w:ascii="楷体" w:hAnsi="楷体" w:eastAsia="楷体" w:cs="楷体"/>
          <w:color w:val="auto"/>
          <w:sz w:val="32"/>
          <w:szCs w:val="32"/>
        </w:rPr>
        <w:t>（一）一般公共预算财政拨款支出决算总体情况</w:t>
      </w:r>
    </w:p>
    <w:p>
      <w:pPr>
        <w:keepNext w:val="0"/>
        <w:keepLines w:val="0"/>
        <w:pageBreakBefore w:val="0"/>
        <w:kinsoku/>
        <w:wordWrap/>
        <w:overflowPunct/>
        <w:topLinePunct w:val="0"/>
        <w:bidi w:val="0"/>
        <w:adjustRightInd/>
        <w:snapToGrid/>
        <w:spacing w:line="560" w:lineRule="exact"/>
        <w:ind w:firstLine="642" w:firstLineChars="200"/>
        <w:jc w:val="left"/>
        <w:textAlignment w:val="auto"/>
        <w:rPr>
          <w:rFonts w:ascii="仿宋_GB2312" w:eastAsia="仿宋_GB2312"/>
          <w:color w:val="auto"/>
          <w:sz w:val="32"/>
          <w:szCs w:val="32"/>
        </w:rPr>
      </w:pPr>
      <w:r>
        <w:rPr>
          <w:rFonts w:hint="eastAsia" w:ascii="仿宋_GB2312" w:eastAsia="仿宋_GB2312"/>
          <w:b/>
          <w:bCs/>
          <w:color w:val="auto"/>
          <w:sz w:val="32"/>
          <w:szCs w:val="32"/>
        </w:rPr>
        <w:t>2023年度一般公共预算财政拨款支出546.29万元，</w:t>
      </w:r>
      <w:r>
        <w:rPr>
          <w:rFonts w:hint="eastAsia" w:ascii="仿宋_GB2312" w:eastAsia="仿宋_GB2312"/>
          <w:color w:val="auto"/>
          <w:sz w:val="32"/>
          <w:szCs w:val="32"/>
        </w:rPr>
        <w:t>占本年支出合计的</w:t>
      </w:r>
      <w:r>
        <w:rPr>
          <w:rFonts w:hint="eastAsia" w:ascii="仿宋_GB2312" w:eastAsia="仿宋_GB2312"/>
          <w:color w:val="auto"/>
          <w:sz w:val="32"/>
          <w:szCs w:val="32"/>
          <w:lang w:val="zh-CN"/>
        </w:rPr>
        <w:t>96.54%</w:t>
      </w:r>
      <w:r>
        <w:rPr>
          <w:rFonts w:hint="eastAsia" w:ascii="仿宋_GB2312" w:eastAsia="仿宋_GB2312"/>
          <w:color w:val="auto"/>
          <w:sz w:val="32"/>
          <w:szCs w:val="32"/>
        </w:rPr>
        <w:t>。与上年相比，</w:t>
      </w:r>
      <w:r>
        <w:rPr>
          <w:rFonts w:hint="eastAsia" w:ascii="仿宋_GB2312" w:eastAsia="仿宋_GB2312"/>
          <w:color w:val="auto"/>
          <w:sz w:val="32"/>
          <w:szCs w:val="32"/>
          <w:lang w:val="zh-CN"/>
        </w:rPr>
        <w:t>增加47.79万元</w:t>
      </w:r>
      <w:r>
        <w:rPr>
          <w:rFonts w:hint="eastAsia" w:ascii="仿宋_GB2312" w:eastAsia="仿宋_GB2312"/>
          <w:color w:val="auto"/>
          <w:sz w:val="32"/>
          <w:szCs w:val="32"/>
        </w:rPr>
        <w:t>，</w:t>
      </w:r>
      <w:r>
        <w:rPr>
          <w:rFonts w:hint="eastAsia" w:ascii="仿宋_GB2312" w:eastAsia="仿宋_GB2312"/>
          <w:color w:val="auto"/>
          <w:sz w:val="32"/>
          <w:szCs w:val="32"/>
          <w:lang w:val="zh-CN"/>
        </w:rPr>
        <w:t>增长9.59%，</w:t>
      </w:r>
      <w:r>
        <w:rPr>
          <w:rFonts w:hint="eastAsia" w:ascii="仿宋_GB2312" w:eastAsia="仿宋_GB2312"/>
          <w:color w:val="auto"/>
          <w:sz w:val="32"/>
          <w:szCs w:val="32"/>
        </w:rPr>
        <w:t>主要原因是：在职人员调资增资</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新增地名标准化专项业务项目经费，支出较上年增加</w:t>
      </w:r>
      <w:r>
        <w:rPr>
          <w:rFonts w:hint="eastAsia" w:ascii="仿宋_GB2312" w:eastAsia="仿宋_GB2312"/>
          <w:color w:val="auto"/>
          <w:sz w:val="32"/>
          <w:szCs w:val="32"/>
        </w:rPr>
        <w:t>。</w:t>
      </w:r>
      <w:r>
        <w:rPr>
          <w:rFonts w:hint="eastAsia" w:ascii="仿宋_GB2312" w:eastAsia="仿宋_GB2312"/>
          <w:b/>
          <w:bCs/>
          <w:color w:val="auto"/>
          <w:sz w:val="32"/>
          <w:szCs w:val="32"/>
        </w:rPr>
        <w:t>与年初预算相比，</w:t>
      </w:r>
      <w:r>
        <w:rPr>
          <w:rFonts w:hint="eastAsia" w:ascii="仿宋_GB2312" w:eastAsia="仿宋_GB2312"/>
          <w:color w:val="auto"/>
          <w:sz w:val="32"/>
          <w:szCs w:val="32"/>
        </w:rPr>
        <w:t>年初预算数</w:t>
      </w:r>
      <w:r>
        <w:rPr>
          <w:rFonts w:hint="eastAsia" w:ascii="仿宋_GB2312" w:eastAsia="仿宋_GB2312"/>
          <w:color w:val="auto"/>
          <w:sz w:val="32"/>
          <w:szCs w:val="32"/>
          <w:lang w:val="zh-CN"/>
        </w:rPr>
        <w:t>493.96</w:t>
      </w:r>
      <w:r>
        <w:rPr>
          <w:rFonts w:hint="eastAsia" w:ascii="仿宋_GB2312" w:eastAsia="仿宋_GB2312"/>
          <w:color w:val="auto"/>
          <w:sz w:val="32"/>
          <w:szCs w:val="32"/>
        </w:rPr>
        <w:t>万元，决算数</w:t>
      </w:r>
      <w:r>
        <w:rPr>
          <w:rFonts w:hint="eastAsia" w:ascii="仿宋_GB2312" w:eastAsia="仿宋_GB2312"/>
          <w:color w:val="auto"/>
          <w:sz w:val="32"/>
          <w:szCs w:val="32"/>
          <w:lang w:val="zh-CN"/>
        </w:rPr>
        <w:t>546.29</w:t>
      </w:r>
      <w:r>
        <w:rPr>
          <w:rFonts w:hint="eastAsia" w:ascii="仿宋_GB2312" w:eastAsia="仿宋_GB2312"/>
          <w:color w:val="auto"/>
          <w:sz w:val="32"/>
          <w:szCs w:val="32"/>
        </w:rPr>
        <w:t>万元，预决算差异率</w:t>
      </w:r>
      <w:r>
        <w:rPr>
          <w:rFonts w:hint="eastAsia" w:ascii="仿宋_GB2312" w:eastAsia="仿宋_GB2312"/>
          <w:color w:val="auto"/>
          <w:sz w:val="32"/>
          <w:szCs w:val="32"/>
          <w:lang w:val="zh-CN"/>
        </w:rPr>
        <w:t>10.59%</w:t>
      </w:r>
      <w:r>
        <w:rPr>
          <w:rFonts w:hint="eastAsia" w:ascii="仿宋_GB2312" w:eastAsia="仿宋_GB2312"/>
          <w:color w:val="auto"/>
          <w:sz w:val="32"/>
          <w:szCs w:val="32"/>
        </w:rPr>
        <w:t>，主要原因是</w:t>
      </w:r>
      <w:r>
        <w:rPr>
          <w:rFonts w:hint="eastAsia" w:ascii="仿宋_GB2312" w:eastAsia="仿宋_GB2312"/>
          <w:color w:val="auto"/>
          <w:sz w:val="32"/>
          <w:szCs w:val="32"/>
          <w:lang w:eastAsia="zh-CN"/>
        </w:rPr>
        <w:t>：</w:t>
      </w:r>
      <w:r>
        <w:rPr>
          <w:rFonts w:hint="eastAsia" w:ascii="仿宋_GB2312" w:eastAsia="仿宋_GB2312"/>
          <w:color w:val="auto"/>
          <w:sz w:val="32"/>
          <w:szCs w:val="32"/>
        </w:rPr>
        <w:t>在职人员调资增资</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申请追加单位职业年金</w:t>
      </w:r>
      <w:r>
        <w:rPr>
          <w:rFonts w:hint="eastAsia" w:ascii="仿宋_GB2312" w:eastAsia="仿宋_GB2312"/>
          <w:color w:val="auto"/>
          <w:sz w:val="32"/>
          <w:szCs w:val="32"/>
        </w:rPr>
        <w:t>。</w:t>
      </w:r>
    </w:p>
    <w:p>
      <w:pPr>
        <w:keepNext w:val="0"/>
        <w:keepLines w:val="0"/>
        <w:pageBreakBefore w:val="0"/>
        <w:numPr>
          <w:ilvl w:val="0"/>
          <w:numId w:val="1"/>
        </w:numPr>
        <w:kinsoku/>
        <w:wordWrap/>
        <w:overflowPunct/>
        <w:topLinePunct w:val="0"/>
        <w:bidi w:val="0"/>
        <w:adjustRightInd/>
        <w:snapToGrid/>
        <w:spacing w:line="560" w:lineRule="exact"/>
        <w:ind w:firstLine="640" w:firstLineChars="200"/>
        <w:jc w:val="left"/>
        <w:textAlignment w:val="auto"/>
        <w:outlineLvl w:val="2"/>
        <w:rPr>
          <w:rFonts w:hint="eastAsia" w:ascii="楷体" w:hAnsi="楷体" w:eastAsia="楷体" w:cs="楷体"/>
          <w:color w:val="auto"/>
          <w:sz w:val="32"/>
          <w:szCs w:val="32"/>
        </w:rPr>
      </w:pPr>
      <w:r>
        <w:rPr>
          <w:rFonts w:hint="eastAsia" w:ascii="楷体" w:hAnsi="楷体" w:eastAsia="楷体" w:cs="楷体"/>
          <w:color w:val="auto"/>
          <w:sz w:val="32"/>
          <w:szCs w:val="32"/>
        </w:rPr>
        <w:t>一般公共预算财政拨款支出决算结构情况</w:t>
      </w:r>
    </w:p>
    <w:p>
      <w:pPr>
        <w:pStyle w:val="8"/>
        <w:keepNext w:val="0"/>
        <w:keepLines w:val="0"/>
        <w:pageBreakBefore w:val="0"/>
        <w:widowControl/>
        <w:kinsoku/>
        <w:wordWrap/>
        <w:overflowPunct/>
        <w:topLinePunct w:val="0"/>
        <w:bidi w:val="0"/>
        <w:adjustRightInd/>
        <w:snapToGrid/>
        <w:spacing w:before="0" w:beforeAutospacing="0" w:after="0" w:afterAutospacing="0" w:line="560" w:lineRule="exact"/>
        <w:ind w:firstLine="640" w:firstLineChars="200"/>
        <w:textAlignment w:val="auto"/>
        <w:rPr>
          <w:rFonts w:ascii="仿宋_GB2312" w:eastAsia="仿宋_GB2312"/>
          <w:color w:val="auto"/>
          <w:kern w:val="2"/>
          <w:sz w:val="32"/>
          <w:szCs w:val="32"/>
          <w:lang w:val="zh-CN"/>
        </w:rPr>
      </w:pPr>
      <w:r>
        <w:rPr>
          <w:rFonts w:hint="eastAsia" w:ascii="仿宋_GB2312" w:eastAsia="仿宋_GB2312"/>
          <w:color w:val="auto"/>
          <w:kern w:val="2"/>
          <w:sz w:val="32"/>
          <w:szCs w:val="32"/>
          <w:lang w:val="en-US" w:eastAsia="zh-CN"/>
        </w:rPr>
        <w:t>1</w:t>
      </w:r>
      <w:r>
        <w:rPr>
          <w:rFonts w:ascii="仿宋_GB2312" w:eastAsia="仿宋_GB2312"/>
          <w:color w:val="auto"/>
          <w:kern w:val="2"/>
          <w:sz w:val="32"/>
          <w:szCs w:val="32"/>
          <w:lang w:val="zh-CN"/>
        </w:rPr>
        <w:t>.社会保障和就业支出（类）</w:t>
      </w:r>
      <w:r>
        <w:rPr>
          <w:rFonts w:hint="eastAsia" w:ascii="仿宋_GB2312" w:eastAsia="仿宋_GB2312"/>
          <w:color w:val="auto"/>
          <w:kern w:val="2"/>
          <w:sz w:val="32"/>
          <w:szCs w:val="32"/>
          <w:lang w:val="zh-CN"/>
        </w:rPr>
        <w:t>470.87</w:t>
      </w:r>
      <w:r>
        <w:rPr>
          <w:rFonts w:ascii="仿宋_GB2312" w:eastAsia="仿宋_GB2312"/>
          <w:color w:val="auto"/>
          <w:kern w:val="2"/>
          <w:sz w:val="32"/>
          <w:szCs w:val="32"/>
          <w:lang w:val="zh-CN"/>
        </w:rPr>
        <w:t>万元，占</w:t>
      </w:r>
      <w:r>
        <w:rPr>
          <w:rFonts w:hint="eastAsia" w:ascii="仿宋_GB2312" w:eastAsia="仿宋_GB2312"/>
          <w:color w:val="auto"/>
          <w:kern w:val="2"/>
          <w:sz w:val="32"/>
          <w:szCs w:val="32"/>
          <w:lang w:val="zh-CN"/>
        </w:rPr>
        <w:t>86.19</w:t>
      </w:r>
      <w:r>
        <w:rPr>
          <w:rFonts w:ascii="仿宋_GB2312" w:eastAsia="仿宋_GB2312"/>
          <w:color w:val="auto"/>
          <w:kern w:val="2"/>
          <w:sz w:val="32"/>
          <w:szCs w:val="32"/>
          <w:lang w:val="zh-CN"/>
        </w:rPr>
        <w:t>%；</w:t>
      </w:r>
    </w:p>
    <w:p>
      <w:pPr>
        <w:pStyle w:val="8"/>
        <w:keepNext w:val="0"/>
        <w:keepLines w:val="0"/>
        <w:pageBreakBefore w:val="0"/>
        <w:widowControl/>
        <w:kinsoku/>
        <w:wordWrap/>
        <w:overflowPunct/>
        <w:topLinePunct w:val="0"/>
        <w:bidi w:val="0"/>
        <w:adjustRightInd/>
        <w:snapToGrid/>
        <w:spacing w:before="0" w:beforeAutospacing="0" w:after="0" w:afterAutospacing="0" w:line="560" w:lineRule="exact"/>
        <w:ind w:firstLine="640" w:firstLineChars="200"/>
        <w:textAlignment w:val="auto"/>
        <w:rPr>
          <w:rFonts w:ascii="仿宋_GB2312" w:eastAsia="仿宋_GB2312"/>
          <w:color w:val="auto"/>
          <w:kern w:val="2"/>
          <w:sz w:val="32"/>
          <w:szCs w:val="32"/>
          <w:lang w:val="zh-CN"/>
        </w:rPr>
      </w:pPr>
      <w:r>
        <w:rPr>
          <w:rFonts w:hint="eastAsia" w:ascii="仿宋_GB2312" w:eastAsia="仿宋_GB2312"/>
          <w:color w:val="auto"/>
          <w:kern w:val="2"/>
          <w:sz w:val="32"/>
          <w:szCs w:val="32"/>
          <w:lang w:val="en-US" w:eastAsia="zh-CN"/>
        </w:rPr>
        <w:t>2</w:t>
      </w:r>
      <w:r>
        <w:rPr>
          <w:rFonts w:ascii="仿宋_GB2312" w:eastAsia="仿宋_GB2312"/>
          <w:color w:val="auto"/>
          <w:kern w:val="2"/>
          <w:sz w:val="32"/>
          <w:szCs w:val="32"/>
          <w:lang w:val="zh-CN"/>
        </w:rPr>
        <w:t>.卫生健康支出（类）</w:t>
      </w:r>
      <w:r>
        <w:rPr>
          <w:rFonts w:hint="eastAsia" w:ascii="仿宋_GB2312" w:eastAsia="仿宋_GB2312"/>
          <w:color w:val="auto"/>
          <w:kern w:val="2"/>
          <w:sz w:val="32"/>
          <w:szCs w:val="32"/>
          <w:lang w:val="zh-CN"/>
        </w:rPr>
        <w:t>42.26</w:t>
      </w:r>
      <w:r>
        <w:rPr>
          <w:rFonts w:ascii="仿宋_GB2312" w:eastAsia="仿宋_GB2312"/>
          <w:color w:val="auto"/>
          <w:kern w:val="2"/>
          <w:sz w:val="32"/>
          <w:szCs w:val="32"/>
          <w:lang w:val="zh-CN"/>
        </w:rPr>
        <w:t>万元，占</w:t>
      </w:r>
      <w:r>
        <w:rPr>
          <w:rFonts w:hint="eastAsia" w:ascii="仿宋_GB2312" w:eastAsia="仿宋_GB2312"/>
          <w:color w:val="auto"/>
          <w:kern w:val="2"/>
          <w:sz w:val="32"/>
          <w:szCs w:val="32"/>
          <w:lang w:val="zh-CN"/>
        </w:rPr>
        <w:t>7.7</w:t>
      </w:r>
      <w:r>
        <w:rPr>
          <w:rFonts w:hint="eastAsia" w:ascii="仿宋_GB2312" w:eastAsia="仿宋_GB2312"/>
          <w:color w:val="auto"/>
          <w:kern w:val="2"/>
          <w:sz w:val="32"/>
          <w:szCs w:val="32"/>
          <w:lang w:val="en-US" w:eastAsia="zh-CN"/>
        </w:rPr>
        <w:t>4</w:t>
      </w:r>
      <w:r>
        <w:rPr>
          <w:rFonts w:ascii="仿宋_GB2312" w:eastAsia="仿宋_GB2312"/>
          <w:color w:val="auto"/>
          <w:kern w:val="2"/>
          <w:sz w:val="32"/>
          <w:szCs w:val="32"/>
          <w:lang w:val="zh-CN"/>
        </w:rPr>
        <w:t>%；</w:t>
      </w:r>
    </w:p>
    <w:p>
      <w:pPr>
        <w:pStyle w:val="8"/>
        <w:keepNext w:val="0"/>
        <w:keepLines w:val="0"/>
        <w:pageBreakBefore w:val="0"/>
        <w:widowControl/>
        <w:kinsoku/>
        <w:wordWrap/>
        <w:overflowPunct/>
        <w:topLinePunct w:val="0"/>
        <w:bidi w:val="0"/>
        <w:adjustRightInd/>
        <w:snapToGrid/>
        <w:spacing w:before="0" w:beforeAutospacing="0" w:after="0" w:afterAutospacing="0" w:line="560" w:lineRule="exact"/>
        <w:ind w:firstLine="640" w:firstLineChars="200"/>
        <w:textAlignment w:val="auto"/>
        <w:rPr>
          <w:rFonts w:ascii="仿宋_GB2312" w:eastAsia="仿宋_GB2312"/>
          <w:color w:val="auto"/>
          <w:kern w:val="2"/>
          <w:sz w:val="32"/>
          <w:szCs w:val="32"/>
          <w:lang w:val="zh-CN"/>
        </w:rPr>
      </w:pPr>
      <w:r>
        <w:rPr>
          <w:rFonts w:hint="eastAsia" w:ascii="仿宋_GB2312" w:eastAsia="仿宋_GB2312"/>
          <w:color w:val="auto"/>
          <w:kern w:val="2"/>
          <w:sz w:val="32"/>
          <w:szCs w:val="32"/>
          <w:lang w:val="en-US" w:eastAsia="zh-CN"/>
        </w:rPr>
        <w:t>3</w:t>
      </w:r>
      <w:r>
        <w:rPr>
          <w:rFonts w:ascii="仿宋_GB2312" w:eastAsia="仿宋_GB2312"/>
          <w:color w:val="auto"/>
          <w:kern w:val="2"/>
          <w:sz w:val="32"/>
          <w:szCs w:val="32"/>
          <w:lang w:val="zh-CN"/>
        </w:rPr>
        <w:t>.住房保障支出（类）</w:t>
      </w:r>
      <w:r>
        <w:rPr>
          <w:rFonts w:hint="eastAsia" w:ascii="仿宋_GB2312" w:eastAsia="仿宋_GB2312"/>
          <w:color w:val="auto"/>
          <w:kern w:val="2"/>
          <w:sz w:val="32"/>
          <w:szCs w:val="32"/>
          <w:lang w:val="zh-CN"/>
        </w:rPr>
        <w:t>33.17</w:t>
      </w:r>
      <w:r>
        <w:rPr>
          <w:rFonts w:ascii="仿宋_GB2312" w:eastAsia="仿宋_GB2312"/>
          <w:color w:val="auto"/>
          <w:kern w:val="2"/>
          <w:sz w:val="32"/>
          <w:szCs w:val="32"/>
          <w:lang w:val="zh-CN"/>
        </w:rPr>
        <w:t>万元，占</w:t>
      </w:r>
      <w:r>
        <w:rPr>
          <w:rFonts w:hint="eastAsia" w:ascii="仿宋_GB2312" w:eastAsia="仿宋_GB2312"/>
          <w:color w:val="auto"/>
          <w:kern w:val="2"/>
          <w:sz w:val="32"/>
          <w:szCs w:val="32"/>
          <w:lang w:val="zh-CN"/>
        </w:rPr>
        <w:t>6.0</w:t>
      </w:r>
      <w:r>
        <w:rPr>
          <w:rFonts w:hint="eastAsia" w:ascii="仿宋_GB2312" w:eastAsia="仿宋_GB2312"/>
          <w:color w:val="auto"/>
          <w:kern w:val="2"/>
          <w:sz w:val="32"/>
          <w:szCs w:val="32"/>
          <w:lang w:val="en-US" w:eastAsia="zh-CN"/>
        </w:rPr>
        <w:t>7</w:t>
      </w:r>
      <w:r>
        <w:rPr>
          <w:rFonts w:ascii="仿宋_GB2312" w:eastAsia="仿宋_GB2312"/>
          <w:color w:val="auto"/>
          <w:kern w:val="2"/>
          <w:sz w:val="32"/>
          <w:szCs w:val="32"/>
          <w:lang w:val="zh-CN"/>
        </w:rPr>
        <w:t>%；</w:t>
      </w:r>
    </w:p>
    <w:p>
      <w:pPr>
        <w:keepNext w:val="0"/>
        <w:keepLines w:val="0"/>
        <w:pageBreakBefore w:val="0"/>
        <w:kinsoku/>
        <w:wordWrap/>
        <w:overflowPunct/>
        <w:topLinePunct w:val="0"/>
        <w:bidi w:val="0"/>
        <w:adjustRightInd/>
        <w:snapToGrid/>
        <w:spacing w:line="560" w:lineRule="exact"/>
        <w:ind w:firstLine="640" w:firstLineChars="200"/>
        <w:jc w:val="left"/>
        <w:textAlignment w:val="auto"/>
        <w:outlineLvl w:val="2"/>
        <w:rPr>
          <w:rFonts w:hint="eastAsia" w:ascii="楷体" w:hAnsi="楷体" w:eastAsia="楷体" w:cs="楷体"/>
          <w:color w:val="auto"/>
          <w:sz w:val="32"/>
          <w:szCs w:val="32"/>
        </w:rPr>
      </w:pPr>
      <w:r>
        <w:rPr>
          <w:rFonts w:hint="eastAsia" w:ascii="楷体" w:hAnsi="楷体" w:eastAsia="楷体" w:cs="楷体"/>
          <w:color w:val="auto"/>
          <w:sz w:val="32"/>
          <w:szCs w:val="32"/>
        </w:rPr>
        <w:t>（三）一般公共预算财政拨款支出决算具体情况</w:t>
      </w:r>
    </w:p>
    <w:p>
      <w:pPr>
        <w:keepNext w:val="0"/>
        <w:keepLines w:val="0"/>
        <w:pageBreakBefore w:val="0"/>
        <w:kinsoku/>
        <w:wordWrap/>
        <w:overflowPunct/>
        <w:topLinePunct w:val="0"/>
        <w:bidi w:val="0"/>
        <w:adjustRightInd/>
        <w:snapToGrid/>
        <w:spacing w:line="560" w:lineRule="exact"/>
        <w:ind w:firstLine="640" w:firstLineChars="200"/>
        <w:textAlignment w:val="auto"/>
        <w:rPr>
          <w:rFonts w:eastAsia="仿宋_GB2312"/>
          <w:color w:val="auto"/>
          <w:sz w:val="32"/>
          <w:szCs w:val="32"/>
          <w:lang w:val="zh-CN"/>
        </w:rPr>
      </w:pPr>
      <w:r>
        <w:rPr>
          <w:rFonts w:hint="eastAsia" w:eastAsia="仿宋_GB2312"/>
          <w:color w:val="auto"/>
          <w:sz w:val="32"/>
          <w:szCs w:val="32"/>
        </w:rPr>
        <w:t>1.卫生健康支出（类）行政事业单位医疗（款）事业单位医疗（项）</w:t>
      </w:r>
      <w:r>
        <w:rPr>
          <w:rFonts w:hint="eastAsia" w:eastAsia="仿宋_GB2312"/>
          <w:color w:val="auto"/>
          <w:sz w:val="32"/>
          <w:szCs w:val="32"/>
          <w:lang w:eastAsia="zh-CN"/>
        </w:rPr>
        <w:t>：</w:t>
      </w:r>
      <w:r>
        <w:rPr>
          <w:rFonts w:hint="eastAsia" w:eastAsia="仿宋_GB2312"/>
          <w:color w:val="auto"/>
          <w:sz w:val="32"/>
          <w:szCs w:val="32"/>
        </w:rPr>
        <w:t>支出决算数为21.86万元，比上年决算增加2.1</w:t>
      </w:r>
      <w:r>
        <w:rPr>
          <w:rFonts w:hint="eastAsia" w:eastAsia="仿宋_GB2312"/>
          <w:color w:val="auto"/>
          <w:sz w:val="32"/>
          <w:szCs w:val="32"/>
          <w:lang w:val="en-US" w:eastAsia="zh-CN"/>
        </w:rPr>
        <w:t>5</w:t>
      </w:r>
      <w:r>
        <w:rPr>
          <w:rFonts w:hint="eastAsia" w:eastAsia="仿宋_GB2312"/>
          <w:color w:val="auto"/>
          <w:sz w:val="32"/>
          <w:szCs w:val="32"/>
        </w:rPr>
        <w:t>万元，增长10.</w:t>
      </w:r>
      <w:r>
        <w:rPr>
          <w:rFonts w:hint="eastAsia" w:eastAsia="仿宋_GB2312"/>
          <w:color w:val="auto"/>
          <w:sz w:val="32"/>
          <w:szCs w:val="32"/>
          <w:lang w:val="en-US" w:eastAsia="zh-CN"/>
        </w:rPr>
        <w:t>91</w:t>
      </w:r>
      <w:r>
        <w:rPr>
          <w:rFonts w:hint="eastAsia" w:eastAsia="仿宋_GB2312"/>
          <w:color w:val="auto"/>
          <w:sz w:val="32"/>
          <w:szCs w:val="32"/>
        </w:rPr>
        <w:t>%，主要原因是：</w:t>
      </w:r>
      <w:r>
        <w:rPr>
          <w:rFonts w:hint="eastAsia" w:eastAsia="仿宋_GB2312"/>
          <w:color w:val="auto"/>
          <w:sz w:val="32"/>
          <w:szCs w:val="32"/>
          <w:lang w:val="zh-CN"/>
        </w:rPr>
        <w:t>调资增资、医疗保险缴费基数提高，支出较上年增加。</w:t>
      </w:r>
    </w:p>
    <w:p>
      <w:pPr>
        <w:keepNext w:val="0"/>
        <w:keepLines w:val="0"/>
        <w:pageBreakBefore w:val="0"/>
        <w:kinsoku/>
        <w:wordWrap/>
        <w:overflowPunct/>
        <w:topLinePunct w:val="0"/>
        <w:bidi w:val="0"/>
        <w:adjustRightInd/>
        <w:snapToGrid/>
        <w:spacing w:line="560" w:lineRule="exact"/>
        <w:ind w:firstLine="640" w:firstLineChars="200"/>
        <w:textAlignment w:val="auto"/>
        <w:rPr>
          <w:rFonts w:eastAsia="仿宋_GB2312"/>
          <w:color w:val="auto"/>
          <w:sz w:val="32"/>
          <w:szCs w:val="32"/>
          <w:lang w:val="zh-CN"/>
        </w:rPr>
      </w:pPr>
      <w:r>
        <w:rPr>
          <w:rFonts w:hint="eastAsia" w:eastAsia="仿宋_GB2312"/>
          <w:color w:val="auto"/>
          <w:sz w:val="32"/>
          <w:szCs w:val="32"/>
        </w:rPr>
        <w:t>2.卫生健康支出（类）行政事业单位医疗（款）公务员医疗补助（项）</w:t>
      </w:r>
      <w:r>
        <w:rPr>
          <w:rFonts w:hint="eastAsia" w:eastAsia="仿宋_GB2312"/>
          <w:color w:val="auto"/>
          <w:sz w:val="32"/>
          <w:szCs w:val="32"/>
          <w:lang w:eastAsia="zh-CN"/>
        </w:rPr>
        <w:t>：</w:t>
      </w:r>
      <w:r>
        <w:rPr>
          <w:rFonts w:hint="eastAsia" w:eastAsia="仿宋_GB2312"/>
          <w:color w:val="auto"/>
          <w:sz w:val="32"/>
          <w:szCs w:val="32"/>
        </w:rPr>
        <w:t>支出决算数为20.40万元，比上年决算增加5.07万元，增长33.0</w:t>
      </w:r>
      <w:r>
        <w:rPr>
          <w:rFonts w:hint="eastAsia" w:eastAsia="仿宋_GB2312"/>
          <w:color w:val="auto"/>
          <w:sz w:val="32"/>
          <w:szCs w:val="32"/>
          <w:lang w:val="en-US" w:eastAsia="zh-CN"/>
        </w:rPr>
        <w:t>7</w:t>
      </w:r>
      <w:r>
        <w:rPr>
          <w:rFonts w:hint="eastAsia" w:eastAsia="仿宋_GB2312"/>
          <w:color w:val="auto"/>
          <w:sz w:val="32"/>
          <w:szCs w:val="32"/>
        </w:rPr>
        <w:t>%，主要原因是</w:t>
      </w:r>
      <w:r>
        <w:rPr>
          <w:rFonts w:hint="eastAsia" w:eastAsia="仿宋_GB2312"/>
          <w:color w:val="auto"/>
          <w:sz w:val="32"/>
          <w:szCs w:val="32"/>
          <w:lang w:eastAsia="zh-CN"/>
        </w:rPr>
        <w:t>：</w:t>
      </w:r>
      <w:r>
        <w:rPr>
          <w:rFonts w:hint="eastAsia" w:eastAsia="仿宋_GB2312"/>
          <w:color w:val="auto"/>
          <w:sz w:val="32"/>
          <w:szCs w:val="32"/>
          <w:lang w:val="zh-CN"/>
        </w:rPr>
        <w:t>调资增资、医疗保险缴费基数提高，支出较上年增加。</w:t>
      </w:r>
    </w:p>
    <w:p>
      <w:pPr>
        <w:keepNext w:val="0"/>
        <w:keepLines w:val="0"/>
        <w:pageBreakBefore w:val="0"/>
        <w:kinsoku/>
        <w:wordWrap/>
        <w:overflowPunct/>
        <w:topLinePunct w:val="0"/>
        <w:bidi w:val="0"/>
        <w:adjustRightInd/>
        <w:snapToGrid/>
        <w:spacing w:line="560" w:lineRule="exact"/>
        <w:ind w:firstLine="640" w:firstLineChars="200"/>
        <w:textAlignment w:val="auto"/>
        <w:rPr>
          <w:rFonts w:eastAsia="仿宋_GB2312"/>
          <w:color w:val="auto"/>
          <w:sz w:val="32"/>
          <w:szCs w:val="32"/>
          <w:lang w:val="zh-CN"/>
        </w:rPr>
      </w:pPr>
      <w:r>
        <w:rPr>
          <w:rFonts w:hint="eastAsia" w:eastAsia="仿宋_GB2312"/>
          <w:color w:val="auto"/>
          <w:sz w:val="32"/>
          <w:szCs w:val="32"/>
        </w:rPr>
        <w:t>3.住房保障支出（类）住房改革支出（款）住房公积金（项）</w:t>
      </w:r>
      <w:r>
        <w:rPr>
          <w:rFonts w:hint="eastAsia" w:eastAsia="仿宋_GB2312"/>
          <w:color w:val="auto"/>
          <w:sz w:val="32"/>
          <w:szCs w:val="32"/>
          <w:lang w:eastAsia="zh-CN"/>
        </w:rPr>
        <w:t>：</w:t>
      </w:r>
      <w:r>
        <w:rPr>
          <w:rFonts w:hint="eastAsia" w:eastAsia="仿宋_GB2312"/>
          <w:color w:val="auto"/>
          <w:sz w:val="32"/>
          <w:szCs w:val="32"/>
        </w:rPr>
        <w:t>支出决算数为33.17万元，比上年决算增加5.78万元，增长21.1</w:t>
      </w:r>
      <w:r>
        <w:rPr>
          <w:rFonts w:hint="eastAsia" w:eastAsia="仿宋_GB2312"/>
          <w:color w:val="auto"/>
          <w:sz w:val="32"/>
          <w:szCs w:val="32"/>
          <w:lang w:val="en-US" w:eastAsia="zh-CN"/>
        </w:rPr>
        <w:t>0</w:t>
      </w:r>
      <w:r>
        <w:rPr>
          <w:rFonts w:hint="eastAsia" w:eastAsia="仿宋_GB2312"/>
          <w:color w:val="auto"/>
          <w:sz w:val="32"/>
          <w:szCs w:val="32"/>
        </w:rPr>
        <w:t>%，主要原因是：</w:t>
      </w:r>
      <w:r>
        <w:rPr>
          <w:rFonts w:hint="eastAsia" w:eastAsia="仿宋_GB2312"/>
          <w:color w:val="auto"/>
          <w:sz w:val="32"/>
          <w:szCs w:val="32"/>
          <w:lang w:val="zh-CN"/>
        </w:rPr>
        <w:t>调资增资、住房公积金缴费基数提高，支出较上年增加。</w:t>
      </w:r>
    </w:p>
    <w:p>
      <w:pPr>
        <w:keepNext w:val="0"/>
        <w:keepLines w:val="0"/>
        <w:pageBreakBefore w:val="0"/>
        <w:kinsoku/>
        <w:wordWrap/>
        <w:overflowPunct/>
        <w:topLinePunct w:val="0"/>
        <w:bidi w:val="0"/>
        <w:adjustRightInd/>
        <w:snapToGrid/>
        <w:spacing w:line="560" w:lineRule="exact"/>
        <w:ind w:firstLine="640" w:firstLineChars="200"/>
        <w:textAlignment w:val="auto"/>
        <w:rPr>
          <w:rFonts w:hint="eastAsia" w:eastAsia="仿宋_GB2312"/>
          <w:color w:val="auto"/>
          <w:sz w:val="32"/>
          <w:szCs w:val="32"/>
          <w:lang w:val="zh-CN"/>
        </w:rPr>
      </w:pPr>
      <w:r>
        <w:rPr>
          <w:rFonts w:hint="eastAsia" w:eastAsia="仿宋_GB2312"/>
          <w:color w:val="auto"/>
          <w:sz w:val="32"/>
          <w:szCs w:val="32"/>
        </w:rPr>
        <w:t>4.社会保障和就业支出（类）民政管理事务（款）行政区划和地名管理（项）</w:t>
      </w:r>
      <w:r>
        <w:rPr>
          <w:rFonts w:hint="eastAsia" w:eastAsia="仿宋_GB2312"/>
          <w:color w:val="auto"/>
          <w:sz w:val="32"/>
          <w:szCs w:val="32"/>
          <w:lang w:eastAsia="zh-CN"/>
        </w:rPr>
        <w:t>：</w:t>
      </w:r>
      <w:r>
        <w:rPr>
          <w:rFonts w:hint="eastAsia" w:eastAsia="仿宋_GB2312"/>
          <w:color w:val="auto"/>
          <w:sz w:val="32"/>
          <w:szCs w:val="32"/>
        </w:rPr>
        <w:t>支出决算数为388.81万元，比上年决算增加9.76万元，增长2.5</w:t>
      </w:r>
      <w:r>
        <w:rPr>
          <w:rFonts w:hint="eastAsia" w:eastAsia="仿宋_GB2312"/>
          <w:color w:val="auto"/>
          <w:sz w:val="32"/>
          <w:szCs w:val="32"/>
          <w:lang w:val="en-US" w:eastAsia="zh-CN"/>
        </w:rPr>
        <w:t>7</w:t>
      </w:r>
      <w:r>
        <w:rPr>
          <w:rFonts w:hint="eastAsia" w:eastAsia="仿宋_GB2312"/>
          <w:color w:val="auto"/>
          <w:sz w:val="32"/>
          <w:szCs w:val="32"/>
        </w:rPr>
        <w:t>%，主要原因是：</w:t>
      </w:r>
      <w:r>
        <w:rPr>
          <w:rFonts w:hint="eastAsia" w:eastAsia="仿宋_GB2312"/>
          <w:color w:val="auto"/>
          <w:sz w:val="32"/>
          <w:szCs w:val="32"/>
          <w:lang w:val="zh-CN"/>
        </w:rPr>
        <w:t>调资增资、其他社会保险缴费基数提高、</w:t>
      </w:r>
      <w:r>
        <w:rPr>
          <w:rFonts w:hint="eastAsia" w:ascii="仿宋_GB2312" w:eastAsia="仿宋_GB2312"/>
          <w:color w:val="auto"/>
          <w:sz w:val="32"/>
          <w:szCs w:val="32"/>
          <w:lang w:val="en-US" w:eastAsia="zh-CN"/>
        </w:rPr>
        <w:t>新增地名标准化专项业务项目经费，</w:t>
      </w:r>
      <w:r>
        <w:rPr>
          <w:rFonts w:hint="eastAsia" w:eastAsia="仿宋_GB2312"/>
          <w:color w:val="auto"/>
          <w:sz w:val="32"/>
          <w:szCs w:val="32"/>
          <w:lang w:val="zh-CN"/>
        </w:rPr>
        <w:t>支出较上年增加。</w:t>
      </w:r>
    </w:p>
    <w:p>
      <w:pPr>
        <w:keepNext w:val="0"/>
        <w:keepLines w:val="0"/>
        <w:pageBreakBefore w:val="0"/>
        <w:kinsoku/>
        <w:wordWrap/>
        <w:overflowPunct/>
        <w:topLinePunct w:val="0"/>
        <w:bidi w:val="0"/>
        <w:adjustRightInd/>
        <w:snapToGrid/>
        <w:spacing w:line="560" w:lineRule="exact"/>
        <w:ind w:firstLine="640" w:firstLineChars="200"/>
        <w:textAlignment w:val="auto"/>
        <w:rPr>
          <w:rFonts w:hint="default" w:eastAsia="仿宋_GB2312"/>
          <w:color w:val="auto"/>
          <w:sz w:val="32"/>
          <w:szCs w:val="32"/>
          <w:lang w:val="en-US" w:eastAsia="zh-CN"/>
        </w:rPr>
      </w:pPr>
      <w:r>
        <w:rPr>
          <w:rFonts w:hint="eastAsia" w:eastAsia="仿宋_GB2312"/>
          <w:color w:val="auto"/>
          <w:sz w:val="32"/>
          <w:szCs w:val="32"/>
        </w:rPr>
        <w:t>5.社会保障和就业支出（类）行政事业单位养老支出（款）事业单位离退休（项）</w:t>
      </w:r>
      <w:r>
        <w:rPr>
          <w:rFonts w:hint="eastAsia" w:eastAsia="仿宋_GB2312"/>
          <w:color w:val="auto"/>
          <w:sz w:val="32"/>
          <w:szCs w:val="32"/>
          <w:lang w:eastAsia="zh-CN"/>
        </w:rPr>
        <w:t>：</w:t>
      </w:r>
      <w:r>
        <w:rPr>
          <w:rFonts w:hint="eastAsia" w:eastAsia="仿宋_GB2312"/>
          <w:color w:val="auto"/>
          <w:sz w:val="32"/>
          <w:szCs w:val="32"/>
        </w:rPr>
        <w:t>支出决算数为13.87万元，比上年决算减少6.64万元，下降32.3</w:t>
      </w:r>
      <w:r>
        <w:rPr>
          <w:rFonts w:hint="eastAsia" w:eastAsia="仿宋_GB2312"/>
          <w:color w:val="auto"/>
          <w:sz w:val="32"/>
          <w:szCs w:val="32"/>
          <w:lang w:val="en-US" w:eastAsia="zh-CN"/>
        </w:rPr>
        <w:t>7</w:t>
      </w:r>
      <w:r>
        <w:rPr>
          <w:rFonts w:hint="eastAsia" w:eastAsia="仿宋_GB2312"/>
          <w:color w:val="auto"/>
          <w:sz w:val="32"/>
          <w:szCs w:val="32"/>
        </w:rPr>
        <w:t>%，主要原因是：</w:t>
      </w:r>
      <w:r>
        <w:rPr>
          <w:rFonts w:hint="eastAsia" w:eastAsia="仿宋_GB2312"/>
          <w:color w:val="auto"/>
          <w:sz w:val="32"/>
          <w:szCs w:val="32"/>
          <w:lang w:val="en-US" w:eastAsia="zh-CN"/>
        </w:rPr>
        <w:t>2023年按自治区财政通知要求退回退休人员医疗补助，支出较上年减少。</w:t>
      </w:r>
    </w:p>
    <w:p>
      <w:pPr>
        <w:keepNext w:val="0"/>
        <w:keepLines w:val="0"/>
        <w:pageBreakBefore w:val="0"/>
        <w:kinsoku/>
        <w:wordWrap/>
        <w:overflowPunct/>
        <w:topLinePunct w:val="0"/>
        <w:bidi w:val="0"/>
        <w:adjustRightInd/>
        <w:snapToGrid/>
        <w:spacing w:line="560" w:lineRule="exact"/>
        <w:ind w:firstLine="640" w:firstLineChars="200"/>
        <w:textAlignment w:val="auto"/>
        <w:rPr>
          <w:rFonts w:hint="eastAsia" w:eastAsia="仿宋_GB2312"/>
          <w:color w:val="auto"/>
          <w:sz w:val="32"/>
          <w:szCs w:val="32"/>
          <w:lang w:val="zh-CN"/>
        </w:rPr>
      </w:pPr>
      <w:r>
        <w:rPr>
          <w:rFonts w:hint="eastAsia" w:eastAsia="仿宋_GB2312"/>
          <w:color w:val="auto"/>
          <w:sz w:val="32"/>
          <w:szCs w:val="32"/>
        </w:rPr>
        <w:t>6.社会保障和就业支出（类）行政事业单位养老支出（款）机关事业单位职业年金缴费支出（项）</w:t>
      </w:r>
      <w:r>
        <w:rPr>
          <w:rFonts w:hint="eastAsia" w:eastAsia="仿宋_GB2312"/>
          <w:color w:val="auto"/>
          <w:sz w:val="32"/>
          <w:szCs w:val="32"/>
          <w:lang w:eastAsia="zh-CN"/>
        </w:rPr>
        <w:t>：</w:t>
      </w:r>
      <w:r>
        <w:rPr>
          <w:rFonts w:hint="eastAsia" w:eastAsia="仿宋_GB2312"/>
          <w:color w:val="auto"/>
          <w:sz w:val="32"/>
          <w:szCs w:val="32"/>
        </w:rPr>
        <w:t>支出决算数为21.57万元，比上年决算增加21.57万元，增长100%，主要原因是：</w:t>
      </w:r>
      <w:r>
        <w:rPr>
          <w:rFonts w:hint="eastAsia" w:eastAsia="仿宋_GB2312"/>
          <w:color w:val="auto"/>
          <w:sz w:val="32"/>
          <w:szCs w:val="32"/>
          <w:lang w:val="en-US" w:eastAsia="zh-CN"/>
        </w:rPr>
        <w:t>2023年有退休人员，追加职业年金预算资金</w:t>
      </w:r>
      <w:r>
        <w:rPr>
          <w:rFonts w:hint="eastAsia" w:eastAsia="仿宋_GB2312"/>
          <w:color w:val="auto"/>
          <w:sz w:val="32"/>
          <w:szCs w:val="32"/>
          <w:lang w:val="zh-CN"/>
        </w:rPr>
        <w:t>，支出较上年增加。</w:t>
      </w:r>
    </w:p>
    <w:p>
      <w:pPr>
        <w:keepNext w:val="0"/>
        <w:keepLines w:val="0"/>
        <w:pageBreakBefore w:val="0"/>
        <w:kinsoku/>
        <w:wordWrap/>
        <w:overflowPunct/>
        <w:topLinePunct w:val="0"/>
        <w:bidi w:val="0"/>
        <w:adjustRightInd/>
        <w:snapToGrid/>
        <w:spacing w:line="560" w:lineRule="exact"/>
        <w:ind w:firstLine="640" w:firstLineChars="200"/>
        <w:textAlignment w:val="auto"/>
        <w:rPr>
          <w:rFonts w:eastAsia="仿宋_GB2312"/>
          <w:color w:val="auto"/>
          <w:sz w:val="32"/>
          <w:szCs w:val="32"/>
          <w:lang w:val="zh-CN"/>
        </w:rPr>
      </w:pPr>
      <w:r>
        <w:rPr>
          <w:rFonts w:hint="eastAsia" w:eastAsia="仿宋_GB2312"/>
          <w:color w:val="auto"/>
          <w:sz w:val="32"/>
          <w:szCs w:val="32"/>
        </w:rPr>
        <w:t>7.社会保障和就业支出（类）行政事业单位养老支出（款）机关事业单位基本养老保险缴费支出（项）</w:t>
      </w:r>
      <w:r>
        <w:rPr>
          <w:rFonts w:hint="eastAsia" w:eastAsia="仿宋_GB2312"/>
          <w:color w:val="auto"/>
          <w:sz w:val="32"/>
          <w:szCs w:val="32"/>
          <w:lang w:eastAsia="zh-CN"/>
        </w:rPr>
        <w:t>：</w:t>
      </w:r>
      <w:r>
        <w:rPr>
          <w:rFonts w:hint="eastAsia" w:eastAsia="仿宋_GB2312"/>
          <w:color w:val="auto"/>
          <w:sz w:val="32"/>
          <w:szCs w:val="32"/>
        </w:rPr>
        <w:t>支出决算数为46.63万元，比上年决算增加10.1</w:t>
      </w:r>
      <w:r>
        <w:rPr>
          <w:rFonts w:hint="eastAsia" w:eastAsia="仿宋_GB2312"/>
          <w:color w:val="auto"/>
          <w:sz w:val="32"/>
          <w:szCs w:val="32"/>
          <w:lang w:val="en-US" w:eastAsia="zh-CN"/>
        </w:rPr>
        <w:t>2</w:t>
      </w:r>
      <w:r>
        <w:rPr>
          <w:rFonts w:hint="eastAsia" w:eastAsia="仿宋_GB2312"/>
          <w:color w:val="auto"/>
          <w:sz w:val="32"/>
          <w:szCs w:val="32"/>
        </w:rPr>
        <w:t>万元，增长27.7</w:t>
      </w:r>
      <w:r>
        <w:rPr>
          <w:rFonts w:hint="eastAsia" w:eastAsia="仿宋_GB2312"/>
          <w:color w:val="auto"/>
          <w:sz w:val="32"/>
          <w:szCs w:val="32"/>
          <w:lang w:val="en-US" w:eastAsia="zh-CN"/>
        </w:rPr>
        <w:t>2</w:t>
      </w:r>
      <w:r>
        <w:rPr>
          <w:rFonts w:hint="eastAsia" w:eastAsia="仿宋_GB2312"/>
          <w:color w:val="auto"/>
          <w:sz w:val="32"/>
          <w:szCs w:val="32"/>
        </w:rPr>
        <w:t>%，主要原因是：</w:t>
      </w:r>
      <w:r>
        <w:rPr>
          <w:rFonts w:hint="eastAsia" w:eastAsia="仿宋_GB2312"/>
          <w:color w:val="auto"/>
          <w:sz w:val="32"/>
          <w:szCs w:val="32"/>
          <w:lang w:val="zh-CN"/>
        </w:rPr>
        <w:t>调资增资、</w:t>
      </w:r>
      <w:r>
        <w:rPr>
          <w:rFonts w:hint="eastAsia" w:eastAsia="仿宋_GB2312"/>
          <w:color w:val="auto"/>
          <w:sz w:val="32"/>
          <w:szCs w:val="32"/>
        </w:rPr>
        <w:t>机关事业单位基本养老保险缴费</w:t>
      </w:r>
      <w:r>
        <w:rPr>
          <w:rFonts w:hint="eastAsia" w:eastAsia="仿宋_GB2312"/>
          <w:color w:val="auto"/>
          <w:sz w:val="32"/>
          <w:szCs w:val="32"/>
          <w:lang w:eastAsia="zh-CN"/>
        </w:rPr>
        <w:t>基数提高，</w:t>
      </w:r>
      <w:r>
        <w:rPr>
          <w:rFonts w:hint="eastAsia" w:eastAsia="仿宋_GB2312"/>
          <w:color w:val="auto"/>
          <w:sz w:val="32"/>
          <w:szCs w:val="32"/>
          <w:lang w:val="zh-CN"/>
        </w:rPr>
        <w:t>支出较上年增加。</w:t>
      </w:r>
    </w:p>
    <w:p>
      <w:pPr>
        <w:keepNext w:val="0"/>
        <w:keepLines w:val="0"/>
        <w:pageBreakBefore w:val="0"/>
        <w:kinsoku/>
        <w:wordWrap/>
        <w:overflowPunct/>
        <w:topLinePunct w:val="0"/>
        <w:bidi w:val="0"/>
        <w:adjustRightInd/>
        <w:snapToGrid/>
        <w:spacing w:line="560" w:lineRule="exact"/>
        <w:ind w:firstLine="640" w:firstLineChars="200"/>
        <w:jc w:val="left"/>
        <w:textAlignment w:val="auto"/>
        <w:outlineLvl w:val="1"/>
        <w:rPr>
          <w:rFonts w:ascii="黑体" w:hAnsi="黑体" w:eastAsia="黑体" w:cs="宋体"/>
          <w:bCs/>
          <w:color w:val="auto"/>
          <w:kern w:val="0"/>
          <w:sz w:val="32"/>
          <w:szCs w:val="32"/>
        </w:rPr>
      </w:pPr>
      <w:r>
        <w:rPr>
          <w:rFonts w:hint="eastAsia" w:ascii="黑体" w:hAnsi="黑体" w:eastAsia="黑体" w:cs="宋体"/>
          <w:bCs/>
          <w:color w:val="auto"/>
          <w:kern w:val="0"/>
          <w:sz w:val="32"/>
          <w:szCs w:val="32"/>
        </w:rPr>
        <w:t>六、一般公共预算财政拨款基本支出决算情况说明</w:t>
      </w:r>
    </w:p>
    <w:p>
      <w:pPr>
        <w:keepNext w:val="0"/>
        <w:keepLines w:val="0"/>
        <w:pageBreakBefore w:val="0"/>
        <w:kinsoku/>
        <w:wordWrap/>
        <w:overflowPunct/>
        <w:topLinePunct w:val="0"/>
        <w:bidi w:val="0"/>
        <w:adjustRightInd/>
        <w:snapToGrid/>
        <w:spacing w:line="560" w:lineRule="exact"/>
        <w:ind w:firstLine="640" w:firstLineChars="200"/>
        <w:jc w:val="both"/>
        <w:textAlignment w:val="auto"/>
        <w:rPr>
          <w:rFonts w:ascii="仿宋_GB2312" w:eastAsia="仿宋_GB2312"/>
          <w:color w:val="auto"/>
          <w:sz w:val="32"/>
          <w:szCs w:val="32"/>
        </w:rPr>
      </w:pPr>
      <w:r>
        <w:rPr>
          <w:rFonts w:hint="eastAsia" w:ascii="仿宋_GB2312" w:eastAsia="仿宋_GB2312"/>
          <w:color w:val="auto"/>
          <w:sz w:val="32"/>
          <w:szCs w:val="32"/>
        </w:rPr>
        <w:t>2023年度一般公共预算财政拨款基本支出536.29万元，其中：</w:t>
      </w:r>
      <w:r>
        <w:rPr>
          <w:rFonts w:hint="eastAsia" w:ascii="仿宋_GB2312" w:eastAsia="仿宋_GB2312"/>
          <w:b/>
          <w:bCs/>
          <w:color w:val="auto"/>
          <w:sz w:val="32"/>
          <w:szCs w:val="32"/>
        </w:rPr>
        <w:t>人员经费513.48万元</w:t>
      </w:r>
      <w:r>
        <w:rPr>
          <w:rFonts w:hint="eastAsia" w:ascii="仿宋_GB2312" w:eastAsia="仿宋_GB2312"/>
          <w:color w:val="auto"/>
          <w:sz w:val="32"/>
          <w:szCs w:val="32"/>
        </w:rPr>
        <w:t>，包括：基本工资、津贴补贴、奖金、绩效工资、机关事业单位基本养老保险缴费、职业年金缴费、职工基本医疗保险缴费、公务员医疗补助缴费、其他社会保障缴费、住房公积金、其他工资福利支出、退休费、生活补助、奖励金、其他对个人和家庭的补助。</w:t>
      </w:r>
    </w:p>
    <w:p>
      <w:pPr>
        <w:keepNext w:val="0"/>
        <w:keepLines w:val="0"/>
        <w:pageBreakBefore w:val="0"/>
        <w:kinsoku/>
        <w:wordWrap/>
        <w:overflowPunct/>
        <w:topLinePunct w:val="0"/>
        <w:bidi w:val="0"/>
        <w:adjustRightInd/>
        <w:snapToGrid/>
        <w:spacing w:line="560" w:lineRule="exact"/>
        <w:ind w:firstLine="642" w:firstLineChars="200"/>
        <w:jc w:val="left"/>
        <w:textAlignment w:val="auto"/>
        <w:rPr>
          <w:rFonts w:ascii="仿宋_GB2312" w:hAnsi="宋体" w:eastAsia="仿宋_GB2312" w:cs="宋体"/>
          <w:color w:val="auto"/>
          <w:kern w:val="0"/>
          <w:sz w:val="32"/>
          <w:szCs w:val="32"/>
        </w:rPr>
      </w:pPr>
      <w:r>
        <w:rPr>
          <w:rFonts w:hint="eastAsia" w:ascii="仿宋_GB2312" w:eastAsia="仿宋_GB2312"/>
          <w:b/>
          <w:bCs/>
          <w:color w:val="auto"/>
          <w:sz w:val="32"/>
          <w:szCs w:val="32"/>
        </w:rPr>
        <w:t>公用经费22.81万元，</w:t>
      </w:r>
      <w:r>
        <w:rPr>
          <w:rFonts w:hint="eastAsia" w:ascii="仿宋_GB2312" w:eastAsia="仿宋_GB2312"/>
          <w:color w:val="auto"/>
          <w:sz w:val="32"/>
          <w:szCs w:val="32"/>
        </w:rPr>
        <w:t>包括：办公费、手续费、水费、电费、邮电费、取暖费、差旅费、维修（护）费、劳务费、工会经费、福利费、公务用车运行维护费、其他交通费用、其他商品和服务支出、办公设备购置、其他资本性支出</w:t>
      </w:r>
      <w:r>
        <w:rPr>
          <w:rFonts w:hint="eastAsia" w:ascii="仿宋_GB2312" w:eastAsia="仿宋_GB2312"/>
          <w:color w:val="auto"/>
          <w:sz w:val="32"/>
          <w:szCs w:val="32"/>
          <w:highlight w:val="none"/>
        </w:rPr>
        <w:t>。</w:t>
      </w:r>
    </w:p>
    <w:p>
      <w:pPr>
        <w:keepNext w:val="0"/>
        <w:keepLines w:val="0"/>
        <w:pageBreakBefore w:val="0"/>
        <w:kinsoku/>
        <w:wordWrap/>
        <w:overflowPunct/>
        <w:topLinePunct w:val="0"/>
        <w:bidi w:val="0"/>
        <w:adjustRightInd/>
        <w:snapToGrid/>
        <w:spacing w:line="560" w:lineRule="exact"/>
        <w:ind w:firstLine="640" w:firstLineChars="200"/>
        <w:jc w:val="left"/>
        <w:textAlignment w:val="auto"/>
        <w:outlineLvl w:val="1"/>
        <w:rPr>
          <w:rFonts w:ascii="黑体" w:hAnsi="黑体" w:eastAsia="黑体" w:cs="宋体"/>
          <w:bCs/>
          <w:color w:val="auto"/>
          <w:kern w:val="0"/>
          <w:sz w:val="32"/>
          <w:szCs w:val="32"/>
        </w:rPr>
      </w:pPr>
      <w:r>
        <w:rPr>
          <w:rFonts w:hint="eastAsia" w:ascii="黑体" w:hAnsi="黑体" w:eastAsia="黑体" w:cs="宋体"/>
          <w:bCs/>
          <w:color w:val="auto"/>
          <w:kern w:val="0"/>
          <w:sz w:val="32"/>
          <w:szCs w:val="32"/>
        </w:rPr>
        <w:t>七、财政拨款“三公”经费支出决算情况说明</w:t>
      </w:r>
    </w:p>
    <w:p>
      <w:pPr>
        <w:keepNext w:val="0"/>
        <w:keepLines w:val="0"/>
        <w:pageBreakBefore w:val="0"/>
        <w:kinsoku/>
        <w:wordWrap/>
        <w:overflowPunct/>
        <w:topLinePunct w:val="0"/>
        <w:bidi w:val="0"/>
        <w:adjustRightInd/>
        <w:snapToGrid/>
        <w:spacing w:line="560" w:lineRule="exact"/>
        <w:ind w:firstLine="642" w:firstLineChars="200"/>
        <w:jc w:val="both"/>
        <w:textAlignment w:val="auto"/>
        <w:rPr>
          <w:rFonts w:ascii="仿宋_GB2312" w:eastAsia="仿宋_GB2312"/>
          <w:color w:val="auto"/>
          <w:sz w:val="32"/>
          <w:szCs w:val="32"/>
          <w:lang w:val="zh-CN"/>
        </w:rPr>
      </w:pPr>
      <w:r>
        <w:rPr>
          <w:rFonts w:hint="eastAsia" w:ascii="仿宋_GB2312" w:eastAsia="仿宋_GB2312"/>
          <w:b/>
          <w:bCs/>
          <w:color w:val="auto"/>
          <w:sz w:val="32"/>
          <w:szCs w:val="32"/>
          <w:lang w:val="zh-CN"/>
        </w:rPr>
        <w:t>2023年度</w:t>
      </w:r>
      <w:r>
        <w:rPr>
          <w:rFonts w:hint="eastAsia" w:ascii="仿宋_GB2312" w:eastAsia="仿宋_GB2312"/>
          <w:b/>
          <w:bCs/>
          <w:color w:val="auto"/>
          <w:sz w:val="32"/>
          <w:szCs w:val="32"/>
        </w:rPr>
        <w:t>财政拨款</w:t>
      </w:r>
      <w:r>
        <w:rPr>
          <w:rFonts w:hint="eastAsia" w:ascii="仿宋_GB2312" w:eastAsia="仿宋_GB2312"/>
          <w:b/>
          <w:bCs/>
          <w:color w:val="auto"/>
          <w:sz w:val="32"/>
          <w:szCs w:val="32"/>
          <w:lang w:val="zh-CN"/>
        </w:rPr>
        <w:t>“三公”经费支出0.46万元，</w:t>
      </w:r>
      <w:r>
        <w:rPr>
          <w:rFonts w:hint="eastAsia" w:ascii="仿宋_GB2312" w:eastAsia="仿宋_GB2312"/>
          <w:color w:val="auto"/>
          <w:sz w:val="32"/>
          <w:szCs w:val="32"/>
        </w:rPr>
        <w:t>比上年</w:t>
      </w:r>
      <w:r>
        <w:rPr>
          <w:rFonts w:hint="eastAsia" w:ascii="仿宋_GB2312" w:eastAsia="仿宋_GB2312"/>
          <w:color w:val="auto"/>
          <w:sz w:val="32"/>
          <w:szCs w:val="32"/>
          <w:lang w:val="zh-CN"/>
        </w:rPr>
        <w:t>增加</w:t>
      </w:r>
      <w:r>
        <w:rPr>
          <w:rFonts w:hint="eastAsia" w:ascii="仿宋_GB2312" w:eastAsia="仿宋_GB2312"/>
          <w:color w:val="auto"/>
          <w:sz w:val="32"/>
          <w:szCs w:val="32"/>
          <w:lang w:val="en-US" w:eastAsia="zh-CN"/>
        </w:rPr>
        <w:t>0.00</w:t>
      </w:r>
      <w:r>
        <w:rPr>
          <w:rFonts w:hint="eastAsia" w:ascii="仿宋_GB2312" w:eastAsia="仿宋_GB2312"/>
          <w:color w:val="auto"/>
          <w:sz w:val="32"/>
          <w:szCs w:val="32"/>
          <w:lang w:val="zh-CN"/>
        </w:rPr>
        <w:t>万元，增长</w:t>
      </w:r>
      <w:r>
        <w:rPr>
          <w:rFonts w:hint="eastAsia" w:ascii="仿宋_GB2312" w:eastAsia="仿宋_GB2312"/>
          <w:color w:val="auto"/>
          <w:sz w:val="32"/>
          <w:szCs w:val="32"/>
          <w:lang w:val="en-US" w:eastAsia="zh-CN"/>
        </w:rPr>
        <w:t>0.00%</w:t>
      </w:r>
      <w:r>
        <w:rPr>
          <w:rFonts w:hint="eastAsia" w:ascii="仿宋_GB2312" w:eastAsia="仿宋_GB2312"/>
          <w:color w:val="auto"/>
          <w:sz w:val="32"/>
          <w:szCs w:val="32"/>
          <w:lang w:val="zh-CN"/>
        </w:rPr>
        <w:t>，主要原因是：</w:t>
      </w:r>
      <w:r>
        <w:rPr>
          <w:rFonts w:hint="eastAsia" w:ascii="仿宋_GB2312" w:eastAsia="仿宋_GB2312"/>
          <w:color w:val="auto"/>
          <w:sz w:val="32"/>
          <w:szCs w:val="32"/>
          <w:lang w:val="zh-CN" w:eastAsia="zh-CN"/>
        </w:rPr>
        <w:t>本年与上年费用支出一致</w:t>
      </w:r>
      <w:r>
        <w:rPr>
          <w:rFonts w:hint="eastAsia" w:ascii="仿宋_GB2312" w:eastAsia="仿宋_GB2312"/>
          <w:color w:val="auto"/>
          <w:sz w:val="32"/>
          <w:szCs w:val="32"/>
          <w:lang w:val="zh-CN"/>
        </w:rPr>
        <w:t>。其中：因公出国（境）费支出0.00万元，占0.00%，比上年增加0.00万元，增长0.00%，主要原因是：</w:t>
      </w:r>
      <w:r>
        <w:rPr>
          <w:rFonts w:hint="eastAsia" w:ascii="仿宋_GB2312" w:eastAsia="仿宋_GB2312"/>
          <w:color w:val="auto"/>
          <w:sz w:val="32"/>
          <w:szCs w:val="32"/>
          <w:lang w:val="en-US" w:eastAsia="zh-CN"/>
        </w:rPr>
        <w:t>我单位无因</w:t>
      </w:r>
      <w:r>
        <w:rPr>
          <w:rFonts w:ascii="仿宋_GB2312" w:eastAsia="仿宋_GB2312"/>
          <w:color w:val="auto"/>
          <w:sz w:val="32"/>
          <w:szCs w:val="32"/>
        </w:rPr>
        <w:t>公出国（境）</w:t>
      </w:r>
      <w:r>
        <w:rPr>
          <w:rFonts w:hint="eastAsia" w:ascii="仿宋_GB2312" w:eastAsia="仿宋_GB2312"/>
          <w:color w:val="auto"/>
          <w:sz w:val="32"/>
          <w:szCs w:val="32"/>
          <w:lang w:eastAsia="zh-CN"/>
        </w:rPr>
        <w:t>费支出</w:t>
      </w:r>
      <w:r>
        <w:rPr>
          <w:rFonts w:hint="eastAsia" w:ascii="仿宋_GB2312" w:eastAsia="仿宋_GB2312"/>
          <w:color w:val="auto"/>
          <w:sz w:val="32"/>
          <w:szCs w:val="32"/>
          <w:lang w:val="zh-CN"/>
        </w:rPr>
        <w:t>；公务用车购置及运行维护费支出0.46万元，占100.00%，比上年增加</w:t>
      </w:r>
      <w:r>
        <w:rPr>
          <w:rFonts w:hint="eastAsia" w:ascii="仿宋_GB2312" w:eastAsia="仿宋_GB2312"/>
          <w:color w:val="auto"/>
          <w:sz w:val="32"/>
          <w:szCs w:val="32"/>
          <w:lang w:val="en-US" w:eastAsia="zh-CN"/>
        </w:rPr>
        <w:t>0.00</w:t>
      </w:r>
      <w:r>
        <w:rPr>
          <w:rFonts w:hint="eastAsia" w:ascii="仿宋_GB2312" w:eastAsia="仿宋_GB2312"/>
          <w:color w:val="auto"/>
          <w:sz w:val="32"/>
          <w:szCs w:val="32"/>
          <w:lang w:val="zh-CN"/>
        </w:rPr>
        <w:t>万元，增长</w:t>
      </w:r>
      <w:r>
        <w:rPr>
          <w:rFonts w:hint="eastAsia" w:ascii="仿宋_GB2312" w:eastAsia="仿宋_GB2312"/>
          <w:color w:val="auto"/>
          <w:sz w:val="32"/>
          <w:szCs w:val="32"/>
          <w:lang w:val="en-US" w:eastAsia="zh-CN"/>
        </w:rPr>
        <w:t>0.00</w:t>
      </w:r>
      <w:r>
        <w:rPr>
          <w:rFonts w:hint="eastAsia" w:ascii="仿宋_GB2312" w:eastAsia="仿宋_GB2312"/>
          <w:color w:val="auto"/>
          <w:sz w:val="32"/>
          <w:szCs w:val="32"/>
          <w:lang w:val="zh-CN"/>
        </w:rPr>
        <w:t>%，主要原因是：</w:t>
      </w:r>
      <w:r>
        <w:rPr>
          <w:rFonts w:hint="eastAsia" w:ascii="仿宋_GB2312" w:eastAsia="仿宋_GB2312"/>
          <w:color w:val="auto"/>
          <w:sz w:val="32"/>
          <w:szCs w:val="32"/>
          <w:lang w:val="zh-CN" w:eastAsia="zh-CN"/>
        </w:rPr>
        <w:t>本年与上年费用支出一致</w:t>
      </w:r>
      <w:r>
        <w:rPr>
          <w:rFonts w:hint="eastAsia" w:ascii="仿宋_GB2312" w:eastAsia="仿宋_GB2312"/>
          <w:color w:val="auto"/>
          <w:sz w:val="32"/>
          <w:szCs w:val="32"/>
          <w:lang w:val="zh-CN"/>
        </w:rPr>
        <w:t>；公务接待费支出0.00万元，占0.00%，比上年增加0.00万元，增长0.00%，主要原因是：</w:t>
      </w:r>
      <w:r>
        <w:rPr>
          <w:rFonts w:hint="eastAsia" w:ascii="仿宋_GB2312" w:eastAsia="仿宋_GB2312"/>
          <w:color w:val="auto"/>
          <w:sz w:val="32"/>
          <w:szCs w:val="32"/>
          <w:lang w:val="en-US" w:eastAsia="zh-CN"/>
        </w:rPr>
        <w:t>我单位无</w:t>
      </w:r>
      <w:r>
        <w:rPr>
          <w:rFonts w:ascii="仿宋_GB2312" w:eastAsia="仿宋_GB2312"/>
          <w:color w:val="auto"/>
          <w:sz w:val="32"/>
          <w:szCs w:val="32"/>
        </w:rPr>
        <w:t>公务接待</w:t>
      </w:r>
      <w:r>
        <w:rPr>
          <w:rFonts w:hint="eastAsia" w:ascii="仿宋_GB2312" w:eastAsia="仿宋_GB2312"/>
          <w:color w:val="auto"/>
          <w:sz w:val="32"/>
          <w:szCs w:val="32"/>
          <w:lang w:eastAsia="zh-CN"/>
        </w:rPr>
        <w:t>费支出</w:t>
      </w:r>
      <w:r>
        <w:rPr>
          <w:rFonts w:hint="eastAsia" w:ascii="仿宋_GB2312" w:eastAsia="仿宋_GB2312"/>
          <w:color w:val="auto"/>
          <w:sz w:val="32"/>
          <w:szCs w:val="32"/>
          <w:lang w:val="zh-CN"/>
        </w:rPr>
        <w:t>。</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rPr>
          <w:rFonts w:ascii="仿宋_GB2312" w:eastAsia="仿宋_GB2312"/>
          <w:color w:val="auto"/>
          <w:sz w:val="32"/>
          <w:szCs w:val="32"/>
          <w:lang w:val="zh-CN"/>
        </w:rPr>
      </w:pPr>
      <w:r>
        <w:rPr>
          <w:rFonts w:hint="eastAsia" w:ascii="仿宋_GB2312" w:eastAsia="仿宋_GB2312"/>
          <w:b/>
          <w:bCs/>
          <w:color w:val="auto"/>
          <w:sz w:val="32"/>
          <w:szCs w:val="32"/>
          <w:lang w:val="zh-CN"/>
        </w:rPr>
        <w:t>具体情况如下：</w:t>
      </w:r>
    </w:p>
    <w:p>
      <w:pPr>
        <w:keepNext w:val="0"/>
        <w:keepLines w:val="0"/>
        <w:pageBreakBefore w:val="0"/>
        <w:kinsoku/>
        <w:wordWrap/>
        <w:overflowPunct/>
        <w:topLinePunct w:val="0"/>
        <w:bidi w:val="0"/>
        <w:adjustRightInd/>
        <w:snapToGrid/>
        <w:spacing w:line="560" w:lineRule="exact"/>
        <w:ind w:firstLine="640" w:firstLineChars="200"/>
        <w:jc w:val="both"/>
        <w:textAlignment w:val="auto"/>
        <w:rPr>
          <w:rFonts w:ascii="仿宋_GB2312" w:eastAsia="仿宋_GB2312"/>
          <w:color w:val="auto"/>
          <w:sz w:val="32"/>
          <w:szCs w:val="32"/>
          <w:lang w:val="zh-CN"/>
        </w:rPr>
      </w:pPr>
      <w:r>
        <w:rPr>
          <w:rFonts w:hint="eastAsia" w:ascii="仿宋_GB2312" w:eastAsia="仿宋_GB2312"/>
          <w:color w:val="auto"/>
          <w:sz w:val="32"/>
          <w:szCs w:val="32"/>
          <w:lang w:val="zh-CN"/>
        </w:rPr>
        <w:t>因公出国（境）费支出0.00万元，开支内容包括</w:t>
      </w:r>
      <w:r>
        <w:rPr>
          <w:rFonts w:ascii="仿宋_GB2312" w:eastAsia="仿宋_GB2312"/>
          <w:color w:val="auto"/>
          <w:sz w:val="32"/>
          <w:szCs w:val="32"/>
        </w:rPr>
        <w:t>我单位</w:t>
      </w:r>
      <w:r>
        <w:rPr>
          <w:rFonts w:hint="eastAsia" w:ascii="仿宋_GB2312" w:eastAsia="仿宋_GB2312"/>
          <w:color w:val="auto"/>
          <w:sz w:val="32"/>
          <w:szCs w:val="32"/>
          <w:lang w:eastAsia="zh-CN"/>
        </w:rPr>
        <w:t>无</w:t>
      </w:r>
      <w:r>
        <w:rPr>
          <w:rFonts w:ascii="仿宋_GB2312" w:eastAsia="仿宋_GB2312"/>
          <w:color w:val="auto"/>
          <w:sz w:val="32"/>
          <w:szCs w:val="32"/>
        </w:rPr>
        <w:t>因公出国（境）</w:t>
      </w:r>
      <w:r>
        <w:rPr>
          <w:rFonts w:hint="eastAsia" w:ascii="仿宋_GB2312" w:eastAsia="仿宋_GB2312"/>
          <w:color w:val="auto"/>
          <w:sz w:val="32"/>
          <w:szCs w:val="32"/>
          <w:lang w:eastAsia="zh-CN"/>
        </w:rPr>
        <w:t>费支出</w:t>
      </w:r>
      <w:r>
        <w:rPr>
          <w:rFonts w:hint="eastAsia" w:ascii="仿宋_GB2312" w:eastAsia="仿宋_GB2312"/>
          <w:color w:val="auto"/>
          <w:sz w:val="32"/>
          <w:szCs w:val="32"/>
          <w:lang w:val="zh-CN"/>
        </w:rPr>
        <w:t>。单位全年安排的因公出国（境）团组0个，因公出国（境）0人次。</w:t>
      </w:r>
    </w:p>
    <w:p>
      <w:pPr>
        <w:keepNext w:val="0"/>
        <w:keepLines w:val="0"/>
        <w:pageBreakBefore w:val="0"/>
        <w:kinsoku/>
        <w:wordWrap/>
        <w:overflowPunct/>
        <w:topLinePunct w:val="0"/>
        <w:bidi w:val="0"/>
        <w:adjustRightInd/>
        <w:snapToGrid/>
        <w:spacing w:line="560" w:lineRule="exact"/>
        <w:ind w:firstLine="640" w:firstLineChars="200"/>
        <w:jc w:val="both"/>
        <w:textAlignment w:val="auto"/>
        <w:rPr>
          <w:rFonts w:hint="eastAsia" w:ascii="仿宋_GB2312" w:eastAsia="仿宋_GB2312"/>
          <w:color w:val="auto"/>
          <w:sz w:val="32"/>
          <w:szCs w:val="32"/>
          <w:lang w:val="en-US" w:eastAsia="zh-CN"/>
        </w:rPr>
      </w:pPr>
      <w:r>
        <w:rPr>
          <w:rFonts w:hint="eastAsia" w:ascii="仿宋_GB2312" w:eastAsia="仿宋_GB2312"/>
          <w:color w:val="auto"/>
          <w:sz w:val="32"/>
          <w:szCs w:val="32"/>
          <w:lang w:val="zh-CN"/>
        </w:rPr>
        <w:t>公务用车购置及运行维护费0.46万元，其中：公务用车购置费0.00万元，公务用车运行维护费0.46万元。公务用车运行维护费开支内容包括单位按规定保留的公务用车燃料费、维修费、过路过桥费、保险费、安全奖励费用等支出。公务用车购置数0辆，公务用车保有量2辆。国有资产占用情况中固定资产车辆2辆，与公务用车保有量差异原因是</w:t>
      </w:r>
      <w:r>
        <w:rPr>
          <w:rFonts w:hint="eastAsia" w:ascii="仿宋_GB2312" w:eastAsia="仿宋_GB2312"/>
          <w:color w:val="auto"/>
          <w:sz w:val="32"/>
          <w:szCs w:val="32"/>
          <w:lang w:val="en-US" w:eastAsia="zh-CN"/>
        </w:rPr>
        <w:t>:公务用车保有量和固定资产数据一致，不存在差异。</w:t>
      </w:r>
    </w:p>
    <w:p>
      <w:pPr>
        <w:keepNext w:val="0"/>
        <w:keepLines w:val="0"/>
        <w:pageBreakBefore w:val="0"/>
        <w:kinsoku/>
        <w:wordWrap/>
        <w:overflowPunct/>
        <w:topLinePunct w:val="0"/>
        <w:bidi w:val="0"/>
        <w:adjustRightInd/>
        <w:snapToGrid/>
        <w:spacing w:line="560" w:lineRule="exact"/>
        <w:ind w:firstLine="640" w:firstLineChars="200"/>
        <w:jc w:val="both"/>
        <w:textAlignment w:val="auto"/>
        <w:rPr>
          <w:rFonts w:ascii="仿宋_GB2312" w:eastAsia="仿宋_GB2312"/>
          <w:color w:val="auto"/>
          <w:sz w:val="32"/>
          <w:szCs w:val="32"/>
          <w:lang w:val="zh-CN"/>
        </w:rPr>
      </w:pPr>
      <w:r>
        <w:rPr>
          <w:rFonts w:hint="eastAsia" w:ascii="仿宋_GB2312" w:eastAsia="仿宋_GB2312"/>
          <w:color w:val="auto"/>
          <w:sz w:val="32"/>
          <w:szCs w:val="32"/>
          <w:lang w:val="zh-CN"/>
        </w:rPr>
        <w:t>公务接待费0.00万元，开支内容包括</w:t>
      </w:r>
      <w:r>
        <w:rPr>
          <w:rFonts w:hint="eastAsia" w:ascii="仿宋_GB2312" w:eastAsia="仿宋_GB2312"/>
          <w:color w:val="auto"/>
          <w:sz w:val="32"/>
          <w:szCs w:val="32"/>
        </w:rPr>
        <w:t>我单位无公务接待费</w:t>
      </w:r>
      <w:r>
        <w:rPr>
          <w:rFonts w:hint="eastAsia" w:ascii="仿宋_GB2312" w:eastAsia="仿宋_GB2312"/>
          <w:color w:val="auto"/>
          <w:sz w:val="32"/>
          <w:szCs w:val="32"/>
          <w:lang w:eastAsia="zh-CN"/>
        </w:rPr>
        <w:t>支出</w:t>
      </w:r>
      <w:r>
        <w:rPr>
          <w:rFonts w:hint="eastAsia" w:ascii="仿宋_GB2312" w:eastAsia="仿宋_GB2312"/>
          <w:color w:val="auto"/>
          <w:sz w:val="32"/>
          <w:szCs w:val="32"/>
          <w:lang w:val="zh-CN"/>
        </w:rPr>
        <w:t>。单位全年安排的国内公务接待0批次，0人次。</w:t>
      </w:r>
    </w:p>
    <w:p>
      <w:pPr>
        <w:keepNext w:val="0"/>
        <w:keepLines w:val="0"/>
        <w:pageBreakBefore w:val="0"/>
        <w:kinsoku/>
        <w:wordWrap/>
        <w:overflowPunct/>
        <w:topLinePunct w:val="0"/>
        <w:bidi w:val="0"/>
        <w:adjustRightInd/>
        <w:snapToGrid/>
        <w:spacing w:line="560" w:lineRule="exact"/>
        <w:ind w:firstLine="642" w:firstLineChars="200"/>
        <w:jc w:val="both"/>
        <w:textAlignment w:val="auto"/>
        <w:rPr>
          <w:rFonts w:ascii="仿宋_GB2312" w:eastAsia="仿宋_GB2312"/>
          <w:color w:val="auto"/>
          <w:sz w:val="32"/>
          <w:szCs w:val="32"/>
          <w:lang w:val="zh-CN"/>
        </w:rPr>
      </w:pPr>
      <w:r>
        <w:rPr>
          <w:rFonts w:hint="eastAsia" w:ascii="仿宋_GB2312" w:eastAsia="仿宋_GB2312"/>
          <w:b/>
          <w:bCs/>
          <w:color w:val="auto"/>
          <w:sz w:val="32"/>
          <w:szCs w:val="32"/>
          <w:lang w:val="zh-CN"/>
        </w:rPr>
        <w:t>与</w:t>
      </w:r>
      <w:r>
        <w:rPr>
          <w:rFonts w:hint="eastAsia" w:ascii="仿宋_GB2312" w:eastAsia="仿宋_GB2312"/>
          <w:b/>
          <w:bCs/>
          <w:color w:val="auto"/>
          <w:sz w:val="32"/>
          <w:szCs w:val="32"/>
        </w:rPr>
        <w:t>全年</w:t>
      </w:r>
      <w:r>
        <w:rPr>
          <w:rFonts w:hint="eastAsia" w:ascii="仿宋_GB2312" w:eastAsia="仿宋_GB2312"/>
          <w:b/>
          <w:bCs/>
          <w:color w:val="auto"/>
          <w:sz w:val="32"/>
          <w:szCs w:val="32"/>
          <w:lang w:val="zh-CN"/>
        </w:rPr>
        <w:t>预算相比</w:t>
      </w:r>
      <w:r>
        <w:rPr>
          <w:rFonts w:hint="eastAsia" w:ascii="仿宋_GB2312" w:eastAsia="仿宋_GB2312"/>
          <w:b/>
          <w:bCs/>
          <w:color w:val="auto"/>
          <w:sz w:val="32"/>
          <w:szCs w:val="32"/>
        </w:rPr>
        <w:t>,</w:t>
      </w:r>
      <w:r>
        <w:rPr>
          <w:rFonts w:hint="eastAsia" w:ascii="仿宋_GB2312" w:eastAsia="仿宋_GB2312"/>
          <w:color w:val="auto"/>
          <w:sz w:val="32"/>
          <w:szCs w:val="32"/>
          <w:lang w:val="zh-CN"/>
        </w:rPr>
        <w:t>财政拨款“三公”经费支出</w:t>
      </w:r>
      <w:r>
        <w:rPr>
          <w:rFonts w:hint="eastAsia" w:ascii="仿宋_GB2312" w:eastAsia="仿宋_GB2312"/>
          <w:color w:val="auto"/>
          <w:sz w:val="32"/>
          <w:szCs w:val="32"/>
        </w:rPr>
        <w:t>全年</w:t>
      </w:r>
      <w:r>
        <w:rPr>
          <w:rFonts w:hint="eastAsia" w:ascii="仿宋_GB2312" w:eastAsia="仿宋_GB2312"/>
          <w:color w:val="auto"/>
          <w:sz w:val="32"/>
          <w:szCs w:val="32"/>
          <w:lang w:val="zh-CN"/>
        </w:rPr>
        <w:t>预算数0.46万元，决算数0.46万元，预决算差异率0.00%，主要原因是：厉行节约，严格按照预算执行。其中：因公出国（境）费</w:t>
      </w:r>
      <w:r>
        <w:rPr>
          <w:rFonts w:hint="eastAsia" w:ascii="仿宋_GB2312" w:eastAsia="仿宋_GB2312"/>
          <w:color w:val="auto"/>
          <w:sz w:val="32"/>
          <w:szCs w:val="32"/>
        </w:rPr>
        <w:t>全年预算数</w:t>
      </w:r>
      <w:r>
        <w:rPr>
          <w:rFonts w:hint="eastAsia" w:ascii="仿宋_GB2312" w:eastAsia="仿宋_GB2312"/>
          <w:color w:val="auto"/>
          <w:sz w:val="32"/>
          <w:szCs w:val="32"/>
          <w:lang w:val="zh-CN"/>
        </w:rPr>
        <w:t>0.00万元，决算数0.00万元，预决算差异率0.00%，主要原因是：</w:t>
      </w:r>
      <w:r>
        <w:rPr>
          <w:rFonts w:hint="eastAsia" w:ascii="仿宋_GB2312" w:eastAsia="仿宋_GB2312"/>
          <w:color w:val="auto"/>
          <w:sz w:val="32"/>
          <w:szCs w:val="32"/>
        </w:rPr>
        <w:t>我单位</w:t>
      </w:r>
      <w:r>
        <w:rPr>
          <w:rFonts w:hint="eastAsia" w:ascii="仿宋_GB2312" w:eastAsia="仿宋_GB2312"/>
          <w:color w:val="auto"/>
          <w:sz w:val="32"/>
          <w:szCs w:val="32"/>
          <w:lang w:eastAsia="zh-CN"/>
        </w:rPr>
        <w:t>未安排</w:t>
      </w:r>
      <w:r>
        <w:rPr>
          <w:rFonts w:hint="eastAsia" w:ascii="仿宋_GB2312" w:eastAsia="仿宋_GB2312"/>
          <w:color w:val="auto"/>
          <w:sz w:val="32"/>
          <w:szCs w:val="32"/>
        </w:rPr>
        <w:t>因公出国（境）</w:t>
      </w:r>
      <w:r>
        <w:rPr>
          <w:rFonts w:hint="eastAsia" w:ascii="仿宋_GB2312" w:eastAsia="仿宋_GB2312"/>
          <w:color w:val="auto"/>
          <w:sz w:val="32"/>
          <w:szCs w:val="32"/>
          <w:lang w:eastAsia="zh-CN"/>
        </w:rPr>
        <w:t>，与上年一致</w:t>
      </w:r>
      <w:r>
        <w:rPr>
          <w:rFonts w:hint="eastAsia" w:ascii="仿宋_GB2312" w:eastAsia="仿宋_GB2312"/>
          <w:color w:val="auto"/>
          <w:sz w:val="32"/>
          <w:szCs w:val="32"/>
          <w:lang w:val="zh-CN"/>
        </w:rPr>
        <w:t>；公务用车购置费</w:t>
      </w:r>
      <w:r>
        <w:rPr>
          <w:rFonts w:hint="eastAsia" w:ascii="仿宋_GB2312" w:eastAsia="仿宋_GB2312"/>
          <w:color w:val="auto"/>
          <w:sz w:val="32"/>
          <w:szCs w:val="32"/>
        </w:rPr>
        <w:t>全年</w:t>
      </w:r>
      <w:r>
        <w:rPr>
          <w:rFonts w:hint="eastAsia" w:ascii="仿宋_GB2312" w:eastAsia="仿宋_GB2312"/>
          <w:color w:val="auto"/>
          <w:sz w:val="32"/>
          <w:szCs w:val="32"/>
          <w:lang w:val="zh-CN"/>
        </w:rPr>
        <w:t>预算数0.00万元，决算数0.00万元，预决算差异率0.00%，主要原因是：</w:t>
      </w:r>
      <w:r>
        <w:rPr>
          <w:rFonts w:hint="eastAsia" w:ascii="仿宋_GB2312" w:eastAsia="仿宋_GB2312"/>
          <w:color w:val="auto"/>
          <w:sz w:val="32"/>
          <w:szCs w:val="32"/>
        </w:rPr>
        <w:t>我单位无公务用车购置费</w:t>
      </w:r>
      <w:r>
        <w:rPr>
          <w:rFonts w:hint="eastAsia" w:ascii="仿宋_GB2312" w:eastAsia="仿宋_GB2312"/>
          <w:color w:val="auto"/>
          <w:sz w:val="32"/>
          <w:szCs w:val="32"/>
          <w:lang w:val="zh-CN"/>
        </w:rPr>
        <w:t>；公务用车运行费</w:t>
      </w:r>
      <w:r>
        <w:rPr>
          <w:rFonts w:hint="eastAsia" w:ascii="仿宋_GB2312" w:eastAsia="仿宋_GB2312"/>
          <w:color w:val="auto"/>
          <w:sz w:val="32"/>
          <w:szCs w:val="32"/>
        </w:rPr>
        <w:t>全年</w:t>
      </w:r>
      <w:r>
        <w:rPr>
          <w:rFonts w:hint="eastAsia" w:ascii="仿宋_GB2312" w:eastAsia="仿宋_GB2312"/>
          <w:color w:val="auto"/>
          <w:sz w:val="32"/>
          <w:szCs w:val="32"/>
          <w:lang w:val="zh-CN"/>
        </w:rPr>
        <w:t>预算数0.46万元，决算数0.46万元，预决算差异率0.00%，主要原因是：厉行节约，严格按照预算执行；公务接待费</w:t>
      </w:r>
      <w:r>
        <w:rPr>
          <w:rFonts w:hint="eastAsia" w:ascii="仿宋_GB2312" w:eastAsia="仿宋_GB2312"/>
          <w:color w:val="auto"/>
          <w:sz w:val="32"/>
          <w:szCs w:val="32"/>
        </w:rPr>
        <w:t>全年</w:t>
      </w:r>
      <w:r>
        <w:rPr>
          <w:rFonts w:hint="eastAsia" w:ascii="仿宋_GB2312" w:eastAsia="仿宋_GB2312"/>
          <w:color w:val="auto"/>
          <w:sz w:val="32"/>
          <w:szCs w:val="32"/>
          <w:lang w:val="zh-CN"/>
        </w:rPr>
        <w:t>预算数0.00万元，决算数0.00万元，预决算差异率0.00%，主要原因是：</w:t>
      </w:r>
      <w:r>
        <w:rPr>
          <w:rFonts w:hint="eastAsia" w:ascii="仿宋_GB2312" w:eastAsia="仿宋_GB2312"/>
          <w:color w:val="auto"/>
          <w:sz w:val="32"/>
          <w:szCs w:val="32"/>
        </w:rPr>
        <w:t>我单位</w:t>
      </w:r>
      <w:r>
        <w:rPr>
          <w:rFonts w:hint="eastAsia" w:ascii="仿宋_GB2312" w:eastAsia="仿宋_GB2312"/>
          <w:color w:val="auto"/>
          <w:sz w:val="32"/>
          <w:szCs w:val="32"/>
          <w:lang w:eastAsia="zh-CN"/>
        </w:rPr>
        <w:t>未安排</w:t>
      </w:r>
      <w:r>
        <w:rPr>
          <w:rFonts w:hint="eastAsia" w:ascii="仿宋_GB2312" w:eastAsia="仿宋_GB2312"/>
          <w:color w:val="auto"/>
          <w:sz w:val="32"/>
          <w:szCs w:val="32"/>
        </w:rPr>
        <w:t>公务接待</w:t>
      </w:r>
      <w:r>
        <w:rPr>
          <w:rFonts w:hint="eastAsia" w:ascii="仿宋_GB2312" w:eastAsia="仿宋_GB2312"/>
          <w:color w:val="auto"/>
          <w:sz w:val="32"/>
          <w:szCs w:val="32"/>
          <w:lang w:val="zh-CN"/>
        </w:rPr>
        <w:t>。</w:t>
      </w:r>
    </w:p>
    <w:p>
      <w:pPr>
        <w:keepNext w:val="0"/>
        <w:keepLines w:val="0"/>
        <w:pageBreakBefore w:val="0"/>
        <w:kinsoku/>
        <w:wordWrap/>
        <w:overflowPunct/>
        <w:topLinePunct w:val="0"/>
        <w:bidi w:val="0"/>
        <w:adjustRightInd/>
        <w:snapToGrid/>
        <w:spacing w:line="560" w:lineRule="exact"/>
        <w:ind w:firstLine="640" w:firstLineChars="200"/>
        <w:jc w:val="left"/>
        <w:textAlignment w:val="auto"/>
        <w:outlineLvl w:val="1"/>
        <w:rPr>
          <w:rFonts w:ascii="黑体" w:hAnsi="黑体" w:eastAsia="黑体" w:cs="宋体"/>
          <w:bCs/>
          <w:color w:val="auto"/>
          <w:kern w:val="0"/>
          <w:sz w:val="32"/>
          <w:szCs w:val="32"/>
        </w:rPr>
      </w:pPr>
      <w:bookmarkStart w:id="18" w:name="_Toc5810"/>
      <w:bookmarkStart w:id="19" w:name="_Toc7927"/>
      <w:r>
        <w:rPr>
          <w:rFonts w:hint="eastAsia" w:ascii="黑体" w:hAnsi="黑体" w:eastAsia="黑体" w:cs="宋体"/>
          <w:bCs/>
          <w:color w:val="auto"/>
          <w:kern w:val="0"/>
          <w:sz w:val="32"/>
          <w:szCs w:val="32"/>
        </w:rPr>
        <w:t>八、政府性基金预算财政拨款收入支出决算情况说明</w:t>
      </w:r>
      <w:bookmarkEnd w:id="18"/>
      <w:bookmarkEnd w:id="19"/>
    </w:p>
    <w:p>
      <w:pPr>
        <w:keepNext w:val="0"/>
        <w:keepLines w:val="0"/>
        <w:pageBreakBefore w:val="0"/>
        <w:kinsoku/>
        <w:wordWrap/>
        <w:overflowPunct/>
        <w:topLinePunct w:val="0"/>
        <w:bidi w:val="0"/>
        <w:adjustRightInd/>
        <w:snapToGrid/>
        <w:spacing w:line="560" w:lineRule="exact"/>
        <w:ind w:firstLine="640" w:firstLineChars="200"/>
        <w:jc w:val="left"/>
        <w:textAlignment w:val="auto"/>
        <w:rPr>
          <w:rFonts w:hint="eastAsia" w:ascii="仿宋_GB2312" w:eastAsia="仿宋_GB2312"/>
          <w:color w:val="auto"/>
          <w:sz w:val="32"/>
          <w:szCs w:val="32"/>
        </w:rPr>
      </w:pPr>
      <w:r>
        <w:rPr>
          <w:rFonts w:hint="eastAsia" w:ascii="仿宋_GB2312" w:eastAsia="仿宋_GB2312"/>
          <w:color w:val="auto"/>
          <w:sz w:val="32"/>
          <w:szCs w:val="32"/>
        </w:rPr>
        <w:t>我单位本年度无政府性基金预算财政拨款收入、支出及结转和结余，政府性基金预算财政拨款收入支出决算表为空表。</w:t>
      </w:r>
    </w:p>
    <w:p>
      <w:pPr>
        <w:keepNext w:val="0"/>
        <w:keepLines w:val="0"/>
        <w:pageBreakBefore w:val="0"/>
        <w:kinsoku/>
        <w:wordWrap/>
        <w:overflowPunct/>
        <w:topLinePunct w:val="0"/>
        <w:bidi w:val="0"/>
        <w:adjustRightInd/>
        <w:snapToGrid/>
        <w:spacing w:line="560" w:lineRule="exact"/>
        <w:ind w:firstLine="640" w:firstLineChars="200"/>
        <w:jc w:val="left"/>
        <w:textAlignment w:val="auto"/>
        <w:rPr>
          <w:rFonts w:ascii="黑体" w:hAnsi="黑体" w:eastAsia="黑体" w:cs="宋体"/>
          <w:bCs/>
          <w:color w:val="auto"/>
          <w:kern w:val="0"/>
          <w:sz w:val="32"/>
          <w:szCs w:val="32"/>
        </w:rPr>
      </w:pPr>
      <w:r>
        <w:rPr>
          <w:rFonts w:hint="eastAsia" w:ascii="黑体" w:hAnsi="黑体" w:eastAsia="黑体" w:cs="宋体"/>
          <w:bCs/>
          <w:color w:val="auto"/>
          <w:kern w:val="0"/>
          <w:sz w:val="32"/>
          <w:szCs w:val="32"/>
        </w:rPr>
        <w:t>九、国有资本经营预算财政拨款收入支出决算情况说明</w:t>
      </w:r>
    </w:p>
    <w:p>
      <w:pPr>
        <w:keepNext w:val="0"/>
        <w:keepLines w:val="0"/>
        <w:pageBreakBefore w:val="0"/>
        <w:kinsoku/>
        <w:wordWrap/>
        <w:overflowPunct/>
        <w:topLinePunct w:val="0"/>
        <w:bidi w:val="0"/>
        <w:adjustRightInd/>
        <w:snapToGrid/>
        <w:spacing w:line="560" w:lineRule="exact"/>
        <w:ind w:firstLine="640" w:firstLineChars="200"/>
        <w:jc w:val="left"/>
        <w:textAlignment w:val="auto"/>
        <w:rPr>
          <w:rFonts w:ascii="仿宋_GB2312" w:eastAsia="仿宋_GB2312"/>
          <w:color w:val="auto"/>
          <w:sz w:val="32"/>
          <w:szCs w:val="32"/>
        </w:rPr>
      </w:pPr>
      <w:r>
        <w:rPr>
          <w:rFonts w:hint="eastAsia" w:ascii="仿宋_GB2312" w:eastAsia="仿宋_GB2312"/>
          <w:color w:val="auto"/>
          <w:sz w:val="32"/>
          <w:szCs w:val="32"/>
        </w:rPr>
        <w:t>我单位本年度无国有资本经营预算财政拨款收入、支出及结转和结余，国有资本经营预算财政拨款收入支出决算表为空表。</w:t>
      </w:r>
    </w:p>
    <w:p>
      <w:pPr>
        <w:keepNext w:val="0"/>
        <w:keepLines w:val="0"/>
        <w:pageBreakBefore w:val="0"/>
        <w:kinsoku/>
        <w:wordWrap/>
        <w:overflowPunct/>
        <w:topLinePunct w:val="0"/>
        <w:bidi w:val="0"/>
        <w:adjustRightInd/>
        <w:snapToGrid/>
        <w:spacing w:line="560" w:lineRule="exact"/>
        <w:ind w:firstLine="640" w:firstLineChars="200"/>
        <w:jc w:val="left"/>
        <w:textAlignment w:val="auto"/>
        <w:outlineLvl w:val="1"/>
        <w:rPr>
          <w:rFonts w:ascii="黑体" w:hAnsi="黑体" w:eastAsia="黑体" w:cs="宋体"/>
          <w:bCs/>
          <w:color w:val="auto"/>
          <w:kern w:val="0"/>
          <w:sz w:val="32"/>
          <w:szCs w:val="32"/>
        </w:rPr>
      </w:pPr>
      <w:bookmarkStart w:id="20" w:name="_Toc1235"/>
      <w:bookmarkStart w:id="21" w:name="_Toc7314"/>
      <w:r>
        <w:rPr>
          <w:rFonts w:hint="eastAsia" w:ascii="黑体" w:hAnsi="黑体" w:eastAsia="黑体" w:cs="宋体"/>
          <w:bCs/>
          <w:color w:val="auto"/>
          <w:kern w:val="0"/>
          <w:sz w:val="32"/>
          <w:szCs w:val="32"/>
        </w:rPr>
        <w:t>十、其他重要事项的情况说明</w:t>
      </w:r>
      <w:bookmarkEnd w:id="20"/>
      <w:bookmarkEnd w:id="21"/>
    </w:p>
    <w:p>
      <w:pPr>
        <w:keepNext w:val="0"/>
        <w:keepLines w:val="0"/>
        <w:pageBreakBefore w:val="0"/>
        <w:kinsoku/>
        <w:wordWrap/>
        <w:overflowPunct/>
        <w:topLinePunct w:val="0"/>
        <w:bidi w:val="0"/>
        <w:adjustRightInd/>
        <w:snapToGrid/>
        <w:spacing w:line="560" w:lineRule="exact"/>
        <w:ind w:firstLine="640" w:firstLineChars="200"/>
        <w:jc w:val="left"/>
        <w:textAlignment w:val="auto"/>
        <w:outlineLvl w:val="2"/>
        <w:rPr>
          <w:rFonts w:hint="eastAsia" w:ascii="楷体" w:hAnsi="楷体" w:eastAsia="楷体" w:cs="楷体"/>
          <w:color w:val="auto"/>
          <w:sz w:val="32"/>
          <w:szCs w:val="32"/>
        </w:rPr>
      </w:pPr>
      <w:bookmarkStart w:id="22" w:name="_Toc13105"/>
      <w:bookmarkStart w:id="23" w:name="_Toc14519"/>
      <w:r>
        <w:rPr>
          <w:rFonts w:hint="eastAsia" w:ascii="楷体" w:hAnsi="楷体" w:eastAsia="楷体" w:cs="楷体"/>
          <w:color w:val="auto"/>
          <w:sz w:val="32"/>
          <w:szCs w:val="32"/>
        </w:rPr>
        <w:t>（一）机关运行经费支出情况</w:t>
      </w:r>
      <w:bookmarkEnd w:id="22"/>
      <w:bookmarkEnd w:id="23"/>
    </w:p>
    <w:p>
      <w:pPr>
        <w:keepNext w:val="0"/>
        <w:keepLines w:val="0"/>
        <w:pageBreakBefore w:val="0"/>
        <w:kinsoku/>
        <w:wordWrap/>
        <w:overflowPunct/>
        <w:topLinePunct w:val="0"/>
        <w:bidi w:val="0"/>
        <w:adjustRightInd/>
        <w:snapToGrid/>
        <w:spacing w:line="560" w:lineRule="exact"/>
        <w:ind w:firstLine="640" w:firstLineChars="200"/>
        <w:textAlignment w:val="auto"/>
        <w:rPr>
          <w:rFonts w:eastAsia="仿宋_GB2312"/>
          <w:color w:val="auto"/>
          <w:sz w:val="32"/>
          <w:szCs w:val="32"/>
          <w:lang w:val="zh-CN"/>
        </w:rPr>
      </w:pPr>
      <w:bookmarkStart w:id="24" w:name="_Toc227"/>
      <w:bookmarkStart w:id="25" w:name="_Toc26704"/>
      <w:r>
        <w:rPr>
          <w:rFonts w:hint="eastAsia" w:eastAsia="仿宋_GB2312"/>
          <w:color w:val="auto"/>
          <w:sz w:val="32"/>
          <w:szCs w:val="32"/>
          <w:lang w:val="zh-CN"/>
        </w:rPr>
        <w:t>2023年度</w:t>
      </w:r>
      <w:r>
        <w:rPr>
          <w:rFonts w:hint="eastAsia" w:eastAsia="仿宋_GB2312"/>
          <w:color w:val="auto"/>
          <w:sz w:val="32"/>
          <w:szCs w:val="32"/>
        </w:rPr>
        <w:t>新疆维吾尔自治区地名标准化中心</w:t>
      </w:r>
      <w:r>
        <w:rPr>
          <w:rFonts w:hint="eastAsia" w:eastAsia="仿宋_GB2312"/>
          <w:color w:val="auto"/>
          <w:sz w:val="32"/>
          <w:szCs w:val="32"/>
          <w:lang w:val="zh-CN"/>
        </w:rPr>
        <w:t>（事业单位）公用经费22.81万元，比上年减少2.05万元，下降8.25%，主要原因是：人员减少，支出较上年减少。</w:t>
      </w:r>
    </w:p>
    <w:p>
      <w:pPr>
        <w:keepNext w:val="0"/>
        <w:keepLines w:val="0"/>
        <w:pageBreakBefore w:val="0"/>
        <w:kinsoku/>
        <w:wordWrap/>
        <w:overflowPunct/>
        <w:topLinePunct w:val="0"/>
        <w:bidi w:val="0"/>
        <w:adjustRightInd/>
        <w:snapToGrid/>
        <w:spacing w:line="560" w:lineRule="exact"/>
        <w:ind w:firstLine="640" w:firstLineChars="200"/>
        <w:jc w:val="left"/>
        <w:textAlignment w:val="auto"/>
        <w:rPr>
          <w:rFonts w:hint="eastAsia" w:ascii="楷体" w:hAnsi="楷体" w:eastAsia="楷体" w:cs="楷体"/>
          <w:color w:val="auto"/>
          <w:sz w:val="32"/>
          <w:szCs w:val="30"/>
          <w:lang w:val="zh-CN"/>
        </w:rPr>
      </w:pPr>
      <w:r>
        <w:rPr>
          <w:rFonts w:hint="eastAsia" w:ascii="楷体" w:hAnsi="楷体" w:eastAsia="楷体" w:cs="楷体"/>
          <w:color w:val="auto"/>
          <w:sz w:val="32"/>
          <w:szCs w:val="30"/>
          <w:lang w:val="zh-CN"/>
        </w:rPr>
        <w:t>（二）政府采购情况</w:t>
      </w:r>
      <w:bookmarkEnd w:id="24"/>
      <w:bookmarkEnd w:id="25"/>
    </w:p>
    <w:p>
      <w:pPr>
        <w:keepNext w:val="0"/>
        <w:keepLines w:val="0"/>
        <w:pageBreakBefore w:val="0"/>
        <w:kinsoku/>
        <w:wordWrap/>
        <w:overflowPunct/>
        <w:topLinePunct w:val="0"/>
        <w:bidi w:val="0"/>
        <w:adjustRightInd/>
        <w:snapToGrid/>
        <w:spacing w:line="560" w:lineRule="exact"/>
        <w:ind w:firstLine="640" w:firstLineChars="200"/>
        <w:jc w:val="left"/>
        <w:textAlignment w:val="auto"/>
        <w:rPr>
          <w:rFonts w:eastAsia="仿宋_GB2312"/>
          <w:color w:val="auto"/>
          <w:sz w:val="32"/>
          <w:szCs w:val="32"/>
          <w:lang w:val="zh-CN"/>
        </w:rPr>
      </w:pPr>
      <w:r>
        <w:rPr>
          <w:rFonts w:hint="eastAsia" w:eastAsia="仿宋_GB2312"/>
          <w:color w:val="auto"/>
          <w:sz w:val="32"/>
          <w:szCs w:val="32"/>
          <w:lang w:val="zh-CN"/>
        </w:rPr>
        <w:t>2023年度政府采购支出总额13.52万元，其中：政府采购货物支出13.03万元、政府采购工程支出0.00万元、政府采购服务支出0.49万元。</w:t>
      </w:r>
    </w:p>
    <w:p>
      <w:pPr>
        <w:keepNext w:val="0"/>
        <w:keepLines w:val="0"/>
        <w:pageBreakBefore w:val="0"/>
        <w:kinsoku/>
        <w:wordWrap/>
        <w:overflowPunct/>
        <w:topLinePunct w:val="0"/>
        <w:bidi w:val="0"/>
        <w:adjustRightInd/>
        <w:snapToGrid/>
        <w:spacing w:line="560" w:lineRule="exact"/>
        <w:ind w:firstLine="640" w:firstLineChars="200"/>
        <w:jc w:val="left"/>
        <w:textAlignment w:val="auto"/>
        <w:rPr>
          <w:rFonts w:eastAsia="仿宋_GB2312"/>
          <w:color w:val="auto"/>
          <w:sz w:val="32"/>
          <w:szCs w:val="32"/>
        </w:rPr>
      </w:pPr>
      <w:r>
        <w:rPr>
          <w:rFonts w:hint="eastAsia" w:eastAsia="仿宋_GB2312"/>
          <w:color w:val="auto"/>
          <w:sz w:val="32"/>
          <w:szCs w:val="32"/>
          <w:lang w:val="zh-CN"/>
        </w:rPr>
        <w:t>授予中小企业合同</w:t>
      </w:r>
      <w:bookmarkStart w:id="48" w:name="_GoBack"/>
      <w:bookmarkEnd w:id="48"/>
      <w:r>
        <w:rPr>
          <w:rFonts w:hint="eastAsia" w:eastAsia="仿宋_GB2312"/>
          <w:color w:val="auto"/>
          <w:sz w:val="32"/>
          <w:szCs w:val="32"/>
          <w:lang w:val="zh-CN"/>
        </w:rPr>
        <w:t>金额13.15万元，占政府采购支出总额的97.2</w:t>
      </w:r>
      <w:r>
        <w:rPr>
          <w:rFonts w:hint="eastAsia" w:eastAsia="仿宋_GB2312"/>
          <w:color w:val="auto"/>
          <w:sz w:val="32"/>
          <w:szCs w:val="32"/>
          <w:lang w:val="en-US" w:eastAsia="zh-CN"/>
        </w:rPr>
        <w:t>6</w:t>
      </w:r>
      <w:r>
        <w:rPr>
          <w:rFonts w:eastAsia="仿宋_GB2312"/>
          <w:color w:val="auto"/>
          <w:sz w:val="32"/>
          <w:szCs w:val="32"/>
          <w:lang w:val="zh-CN"/>
        </w:rPr>
        <w:t>%</w:t>
      </w:r>
      <w:r>
        <w:rPr>
          <w:rFonts w:hint="eastAsia" w:eastAsia="仿宋_GB2312"/>
          <w:color w:val="auto"/>
          <w:sz w:val="32"/>
          <w:szCs w:val="32"/>
          <w:lang w:val="zh-CN"/>
        </w:rPr>
        <w:t>，其中：授予小微企业合同金额4.81万元，占政府采购支出总额的35.5</w:t>
      </w:r>
      <w:r>
        <w:rPr>
          <w:rFonts w:hint="eastAsia" w:eastAsia="仿宋_GB2312"/>
          <w:color w:val="auto"/>
          <w:sz w:val="32"/>
          <w:szCs w:val="32"/>
          <w:lang w:val="en-US" w:eastAsia="zh-CN"/>
        </w:rPr>
        <w:t>8</w:t>
      </w:r>
      <w:r>
        <w:rPr>
          <w:rFonts w:eastAsia="仿宋_GB2312"/>
          <w:color w:val="auto"/>
          <w:sz w:val="32"/>
          <w:szCs w:val="32"/>
          <w:lang w:val="zh-CN"/>
        </w:rPr>
        <w:t>%</w:t>
      </w:r>
      <w:r>
        <w:rPr>
          <w:rFonts w:hint="eastAsia" w:eastAsia="仿宋_GB2312"/>
          <w:color w:val="auto"/>
          <w:sz w:val="32"/>
          <w:szCs w:val="32"/>
        </w:rPr>
        <w:t>。</w:t>
      </w:r>
    </w:p>
    <w:p>
      <w:pPr>
        <w:keepNext w:val="0"/>
        <w:keepLines w:val="0"/>
        <w:pageBreakBefore w:val="0"/>
        <w:kinsoku/>
        <w:wordWrap/>
        <w:overflowPunct/>
        <w:topLinePunct w:val="0"/>
        <w:bidi w:val="0"/>
        <w:adjustRightInd/>
        <w:snapToGrid/>
        <w:spacing w:line="560" w:lineRule="exact"/>
        <w:ind w:firstLine="640" w:firstLineChars="200"/>
        <w:jc w:val="left"/>
        <w:textAlignment w:val="auto"/>
        <w:rPr>
          <w:rFonts w:hint="eastAsia" w:ascii="楷体" w:hAnsi="楷体" w:eastAsia="楷体" w:cs="楷体"/>
          <w:color w:val="auto"/>
          <w:sz w:val="32"/>
          <w:szCs w:val="30"/>
          <w:lang w:val="zh-CN"/>
        </w:rPr>
      </w:pPr>
      <w:bookmarkStart w:id="26" w:name="_Toc4591"/>
      <w:bookmarkStart w:id="27" w:name="_Toc8391"/>
      <w:r>
        <w:rPr>
          <w:rFonts w:hint="eastAsia" w:ascii="楷体" w:hAnsi="楷体" w:eastAsia="楷体" w:cs="楷体"/>
          <w:color w:val="auto"/>
          <w:sz w:val="32"/>
          <w:szCs w:val="30"/>
          <w:lang w:val="zh-CN"/>
        </w:rPr>
        <w:t>（三）国有资产占用情况说明</w:t>
      </w:r>
      <w:bookmarkEnd w:id="26"/>
      <w:bookmarkEnd w:id="27"/>
    </w:p>
    <w:p>
      <w:pPr>
        <w:keepNext w:val="0"/>
        <w:keepLines w:val="0"/>
        <w:pageBreakBefore w:val="0"/>
        <w:kinsoku/>
        <w:wordWrap/>
        <w:overflowPunct/>
        <w:topLinePunct w:val="0"/>
        <w:bidi w:val="0"/>
        <w:adjustRightInd/>
        <w:snapToGrid/>
        <w:spacing w:line="560" w:lineRule="exact"/>
        <w:ind w:firstLine="640" w:firstLineChars="200"/>
        <w:jc w:val="left"/>
        <w:textAlignment w:val="auto"/>
        <w:rPr>
          <w:rFonts w:eastAsia="仿宋_GB2312"/>
          <w:color w:val="auto"/>
          <w:sz w:val="32"/>
          <w:szCs w:val="32"/>
          <w:lang w:val="zh-CN"/>
        </w:rPr>
      </w:pPr>
      <w:r>
        <w:rPr>
          <w:rFonts w:hint="eastAsia" w:eastAsia="仿宋_GB2312"/>
          <w:color w:val="auto"/>
          <w:sz w:val="32"/>
          <w:szCs w:val="32"/>
        </w:rPr>
        <w:t>截至2023</w:t>
      </w:r>
      <w:r>
        <w:rPr>
          <w:rFonts w:hint="eastAsia" w:eastAsia="仿宋_GB2312"/>
          <w:color w:val="auto"/>
          <w:sz w:val="32"/>
          <w:szCs w:val="32"/>
          <w:lang w:val="zh-CN"/>
        </w:rPr>
        <w:t>年</w:t>
      </w:r>
      <w:r>
        <w:rPr>
          <w:rFonts w:hint="eastAsia" w:eastAsia="仿宋_GB2312"/>
          <w:color w:val="auto"/>
          <w:sz w:val="32"/>
          <w:szCs w:val="32"/>
        </w:rPr>
        <w:t>12月31日</w:t>
      </w:r>
      <w:r>
        <w:rPr>
          <w:rFonts w:hint="eastAsia" w:eastAsia="仿宋_GB2312"/>
          <w:color w:val="auto"/>
          <w:sz w:val="32"/>
          <w:szCs w:val="32"/>
          <w:lang w:val="zh-CN"/>
        </w:rPr>
        <w:t>，</w:t>
      </w:r>
      <w:r>
        <w:rPr>
          <w:rFonts w:hint="eastAsia" w:eastAsia="仿宋_GB2312"/>
          <w:color w:val="auto"/>
          <w:sz w:val="32"/>
          <w:szCs w:val="32"/>
        </w:rPr>
        <w:t>固定资产原值</w:t>
      </w:r>
      <w:r>
        <w:rPr>
          <w:rFonts w:hint="eastAsia" w:eastAsia="仿宋_GB2312"/>
          <w:color w:val="auto"/>
          <w:sz w:val="32"/>
          <w:szCs w:val="32"/>
          <w:lang w:val="zh-CN"/>
        </w:rPr>
        <w:t>861.35</w:t>
      </w:r>
      <w:r>
        <w:rPr>
          <w:rFonts w:hint="eastAsia" w:eastAsia="仿宋_GB2312"/>
          <w:color w:val="auto"/>
          <w:sz w:val="32"/>
          <w:szCs w:val="32"/>
        </w:rPr>
        <w:t>万元，房</w:t>
      </w:r>
      <w:r>
        <w:rPr>
          <w:rFonts w:hint="eastAsia" w:eastAsia="仿宋_GB2312"/>
          <w:color w:val="auto"/>
          <w:sz w:val="32"/>
          <w:szCs w:val="32"/>
          <w:lang w:val="zh-CN"/>
        </w:rPr>
        <w:t>屋4522.0平方米，价值540.69万元。车辆2辆，价值51.97万元，其中：副部（省）级及以上领导用车0辆、主要</w:t>
      </w:r>
      <w:r>
        <w:rPr>
          <w:rFonts w:hint="eastAsia" w:eastAsia="仿宋_GB2312"/>
          <w:color w:val="auto"/>
          <w:sz w:val="32"/>
          <w:szCs w:val="32"/>
        </w:rPr>
        <w:t>负责人</w:t>
      </w:r>
      <w:r>
        <w:rPr>
          <w:rFonts w:hint="eastAsia" w:eastAsia="仿宋_GB2312"/>
          <w:color w:val="auto"/>
          <w:sz w:val="32"/>
          <w:szCs w:val="32"/>
          <w:lang w:val="zh-CN"/>
        </w:rPr>
        <w:t>用车0辆、机要通信用车0辆、应急保障用车0辆、执法执勤用车0辆、特种专业技术用车0辆、离退休干部</w:t>
      </w:r>
      <w:r>
        <w:rPr>
          <w:rFonts w:hint="eastAsia" w:eastAsia="仿宋_GB2312"/>
          <w:color w:val="auto"/>
          <w:sz w:val="32"/>
          <w:szCs w:val="32"/>
        </w:rPr>
        <w:t>服务</w:t>
      </w:r>
      <w:r>
        <w:rPr>
          <w:rFonts w:hint="eastAsia" w:eastAsia="仿宋_GB2312"/>
          <w:color w:val="auto"/>
          <w:sz w:val="32"/>
          <w:szCs w:val="32"/>
          <w:lang w:val="zh-CN"/>
        </w:rPr>
        <w:t>用车0辆、其他用车2辆，其他用车主要是：单位公务用车</w:t>
      </w:r>
      <w:r>
        <w:rPr>
          <w:rFonts w:hint="eastAsia" w:eastAsia="仿宋_GB2312"/>
          <w:color w:val="auto"/>
          <w:sz w:val="32"/>
          <w:szCs w:val="32"/>
          <w:lang w:val="en-US" w:eastAsia="zh-CN"/>
        </w:rPr>
        <w:t>2辆</w:t>
      </w:r>
      <w:r>
        <w:rPr>
          <w:rFonts w:hint="eastAsia" w:eastAsia="仿宋_GB2312"/>
          <w:color w:val="auto"/>
          <w:sz w:val="32"/>
          <w:szCs w:val="32"/>
          <w:lang w:val="zh-CN"/>
        </w:rPr>
        <w:t>；单价100万元（含）以上设备（不含车辆）0</w:t>
      </w:r>
      <w:r>
        <w:rPr>
          <w:rFonts w:hint="eastAsia" w:eastAsia="仿宋_GB2312"/>
          <w:color w:val="auto"/>
          <w:sz w:val="32"/>
          <w:szCs w:val="32"/>
        </w:rPr>
        <w:t>台（</w:t>
      </w:r>
      <w:r>
        <w:rPr>
          <w:rFonts w:hint="eastAsia" w:eastAsia="仿宋_GB2312"/>
          <w:color w:val="auto"/>
          <w:sz w:val="32"/>
          <w:szCs w:val="32"/>
          <w:lang w:val="zh-CN"/>
        </w:rPr>
        <w:t>套）。</w:t>
      </w:r>
    </w:p>
    <w:p>
      <w:pPr>
        <w:keepNext w:val="0"/>
        <w:keepLines w:val="0"/>
        <w:pageBreakBefore w:val="0"/>
        <w:kinsoku/>
        <w:wordWrap/>
        <w:overflowPunct/>
        <w:topLinePunct w:val="0"/>
        <w:bidi w:val="0"/>
        <w:adjustRightInd/>
        <w:snapToGrid/>
        <w:spacing w:line="560" w:lineRule="exact"/>
        <w:ind w:firstLine="640" w:firstLineChars="200"/>
        <w:jc w:val="left"/>
        <w:textAlignment w:val="auto"/>
        <w:outlineLvl w:val="1"/>
        <w:rPr>
          <w:rFonts w:ascii="黑体" w:hAnsi="黑体" w:eastAsia="黑体" w:cs="宋体"/>
          <w:bCs/>
          <w:color w:val="auto"/>
          <w:kern w:val="0"/>
          <w:sz w:val="32"/>
          <w:szCs w:val="32"/>
        </w:rPr>
      </w:pPr>
      <w:bookmarkStart w:id="28" w:name="_Toc11283"/>
      <w:bookmarkStart w:id="29" w:name="_Toc435"/>
      <w:r>
        <w:rPr>
          <w:rFonts w:hint="eastAsia" w:ascii="黑体" w:hAnsi="黑体" w:eastAsia="黑体" w:cs="宋体"/>
          <w:bCs/>
          <w:color w:val="auto"/>
          <w:kern w:val="0"/>
          <w:sz w:val="32"/>
          <w:szCs w:val="32"/>
        </w:rPr>
        <w:t>十一、预算绩效的情况说明</w:t>
      </w:r>
      <w:bookmarkEnd w:id="28"/>
      <w:bookmarkEnd w:id="29"/>
    </w:p>
    <w:p>
      <w:pPr>
        <w:keepNext w:val="0"/>
        <w:keepLines w:val="0"/>
        <w:pageBreakBefore w:val="0"/>
        <w:kinsoku/>
        <w:wordWrap/>
        <w:overflowPunct/>
        <w:topLinePunct w:val="0"/>
        <w:bidi w:val="0"/>
        <w:adjustRightInd/>
        <w:snapToGrid/>
        <w:spacing w:line="560" w:lineRule="exact"/>
        <w:ind w:firstLine="640" w:firstLineChars="200"/>
        <w:jc w:val="left"/>
        <w:textAlignment w:val="auto"/>
        <w:rPr>
          <w:rFonts w:ascii="仿宋_GB2312" w:eastAsia="仿宋_GB2312"/>
          <w:color w:val="auto"/>
          <w:sz w:val="32"/>
          <w:szCs w:val="32"/>
        </w:rPr>
      </w:pPr>
      <w:r>
        <w:rPr>
          <w:rFonts w:hint="eastAsia" w:ascii="仿宋_GB2312" w:eastAsia="仿宋_GB2312"/>
          <w:color w:val="auto"/>
          <w:sz w:val="32"/>
          <w:szCs w:val="32"/>
        </w:rPr>
        <w:t>根据预算绩效管理要求，</w:t>
      </w: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w:t>
      </w:r>
      <w:r>
        <w:rPr>
          <w:rFonts w:hint="eastAsia" w:ascii="仿宋_GB2312" w:hAnsi="仿宋_GB2312" w:eastAsia="仿宋_GB2312" w:cs="仿宋_GB2312"/>
          <w:color w:val="auto"/>
          <w:kern w:val="0"/>
          <w:sz w:val="32"/>
          <w:szCs w:val="32"/>
          <w:highlight w:val="none"/>
        </w:rPr>
        <w:t>整体绩效自评表</w:t>
      </w:r>
      <w:r>
        <w:rPr>
          <w:rFonts w:hint="eastAsia" w:ascii="仿宋_GB2312" w:hAnsi="仿宋_GB2312" w:eastAsia="仿宋_GB2312" w:cs="仿宋_GB2312"/>
          <w:color w:val="auto"/>
          <w:kern w:val="0"/>
          <w:sz w:val="32"/>
          <w:szCs w:val="32"/>
          <w:highlight w:val="none"/>
          <w:lang w:val="en-US" w:eastAsia="zh-CN"/>
        </w:rPr>
        <w:t>0个，全年</w:t>
      </w:r>
      <w:r>
        <w:rPr>
          <w:rFonts w:hint="eastAsia" w:ascii="仿宋_GB2312" w:eastAsia="仿宋_GB2312"/>
          <w:color w:val="auto"/>
          <w:sz w:val="32"/>
          <w:szCs w:val="32"/>
          <w:highlight w:val="none"/>
          <w:lang w:val="en-US" w:eastAsia="zh-CN"/>
        </w:rPr>
        <w:t>预算总额0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我单位整体支出绩效自评表由主管部门编报并公开</w:t>
      </w:r>
      <w:r>
        <w:rPr>
          <w:rFonts w:hint="eastAsia" w:ascii="仿宋_GB2312" w:hAnsi="Times New Roman" w:eastAsia="仿宋_GB2312" w:cs="Times New Roman"/>
          <w:color w:val="auto"/>
          <w:sz w:val="32"/>
          <w:szCs w:val="32"/>
          <w:lang w:val="en-US" w:eastAsia="zh-CN"/>
        </w:rPr>
        <w:t>；预算绩效评价项目2个，全年</w:t>
      </w:r>
      <w:r>
        <w:rPr>
          <w:rFonts w:hint="eastAsia" w:ascii="仿宋_GB2312" w:eastAsia="仿宋_GB2312"/>
          <w:color w:val="auto"/>
          <w:sz w:val="32"/>
          <w:szCs w:val="32"/>
        </w:rPr>
        <w:t>预算数</w:t>
      </w:r>
      <w:r>
        <w:rPr>
          <w:rFonts w:hint="eastAsia" w:ascii="仿宋_GB2312" w:eastAsia="仿宋_GB2312"/>
          <w:color w:val="auto"/>
          <w:sz w:val="32"/>
          <w:szCs w:val="32"/>
          <w:lang w:val="en-US" w:eastAsia="zh-CN"/>
        </w:rPr>
        <w:t>29.59</w:t>
      </w:r>
      <w:r>
        <w:rPr>
          <w:rFonts w:hint="eastAsia" w:ascii="仿宋_GB2312" w:eastAsia="仿宋_GB2312"/>
          <w:color w:val="auto"/>
          <w:sz w:val="32"/>
          <w:szCs w:val="32"/>
        </w:rPr>
        <w:t>万元，全年执行数</w:t>
      </w:r>
      <w:r>
        <w:rPr>
          <w:rFonts w:hint="eastAsia" w:ascii="仿宋_GB2312" w:eastAsia="仿宋_GB2312"/>
          <w:color w:val="auto"/>
          <w:sz w:val="32"/>
          <w:szCs w:val="32"/>
          <w:lang w:val="en-US" w:eastAsia="zh-CN"/>
        </w:rPr>
        <w:t>29.59</w:t>
      </w:r>
      <w:r>
        <w:rPr>
          <w:rFonts w:hint="eastAsia" w:ascii="仿宋_GB2312" w:eastAsia="仿宋_GB2312"/>
          <w:color w:val="auto"/>
          <w:sz w:val="32"/>
          <w:szCs w:val="32"/>
        </w:rPr>
        <w:t>万元。预算绩效管理取得的成效：一是</w:t>
      </w:r>
      <w:r>
        <w:rPr>
          <w:rFonts w:hint="eastAsia" w:ascii="仿宋_GB2312" w:eastAsia="仿宋_GB2312"/>
          <w:color w:val="auto"/>
          <w:sz w:val="32"/>
          <w:szCs w:val="32"/>
          <w:lang w:eastAsia="zh-CN"/>
        </w:rPr>
        <w:t>有效开展了全疆地名资料的保管、更新、地名档案成果转化利用</w:t>
      </w:r>
      <w:r>
        <w:rPr>
          <w:rFonts w:hint="eastAsia" w:ascii="仿宋_GB2312" w:eastAsia="仿宋_GB2312"/>
          <w:color w:val="auto"/>
          <w:sz w:val="32"/>
          <w:szCs w:val="32"/>
        </w:rPr>
        <w:t>；二是</w:t>
      </w:r>
      <w:r>
        <w:rPr>
          <w:rFonts w:hint="eastAsia" w:ascii="仿宋_GB2312" w:eastAsia="仿宋_GB2312"/>
          <w:color w:val="auto"/>
          <w:sz w:val="32"/>
          <w:szCs w:val="32"/>
          <w:lang w:eastAsia="zh-CN"/>
        </w:rPr>
        <w:t>更新现有老化、陈旧地名档案装具，使地名档案治理效果得到提升</w:t>
      </w:r>
      <w:r>
        <w:rPr>
          <w:rFonts w:hint="eastAsia" w:ascii="仿宋_GB2312" w:eastAsia="仿宋_GB2312"/>
          <w:color w:val="auto"/>
          <w:sz w:val="32"/>
          <w:szCs w:val="32"/>
        </w:rPr>
        <w:t>。发现的问题及原因：一是</w:t>
      </w:r>
      <w:r>
        <w:rPr>
          <w:rFonts w:hint="eastAsia" w:ascii="仿宋_GB2312" w:eastAsia="仿宋_GB2312"/>
          <w:color w:val="auto"/>
          <w:sz w:val="32"/>
          <w:szCs w:val="32"/>
          <w:lang w:eastAsia="zh-CN"/>
        </w:rPr>
        <w:t>项目完成进度缓慢</w:t>
      </w:r>
      <w:r>
        <w:rPr>
          <w:rFonts w:hint="eastAsia" w:ascii="仿宋_GB2312" w:eastAsia="仿宋_GB2312"/>
          <w:color w:val="auto"/>
          <w:sz w:val="32"/>
          <w:szCs w:val="32"/>
        </w:rPr>
        <w:t>；二是</w:t>
      </w:r>
      <w:r>
        <w:rPr>
          <w:rFonts w:hint="eastAsia" w:ascii="仿宋_GB2312" w:eastAsia="仿宋_GB2312"/>
          <w:color w:val="auto"/>
          <w:sz w:val="32"/>
          <w:szCs w:val="32"/>
          <w:lang w:eastAsia="zh-CN"/>
        </w:rPr>
        <w:t>绩效分项指标设置不科学</w:t>
      </w:r>
      <w:r>
        <w:rPr>
          <w:rFonts w:hint="eastAsia" w:ascii="仿宋_GB2312" w:eastAsia="仿宋_GB2312"/>
          <w:color w:val="auto"/>
          <w:sz w:val="32"/>
          <w:szCs w:val="32"/>
        </w:rPr>
        <w:t>。下一步改进措施：一是</w:t>
      </w:r>
      <w:r>
        <w:rPr>
          <w:rFonts w:hint="eastAsia" w:ascii="仿宋_GB2312" w:eastAsia="仿宋_GB2312"/>
          <w:color w:val="auto"/>
          <w:sz w:val="32"/>
          <w:szCs w:val="32"/>
          <w:lang w:eastAsia="zh-CN"/>
        </w:rPr>
        <w:t>加强绩效监控节点跟踪管理</w:t>
      </w:r>
      <w:r>
        <w:rPr>
          <w:rFonts w:hint="eastAsia" w:ascii="仿宋_GB2312" w:eastAsia="仿宋_GB2312"/>
          <w:color w:val="auto"/>
          <w:sz w:val="32"/>
          <w:szCs w:val="32"/>
        </w:rPr>
        <w:t>；二是</w:t>
      </w:r>
      <w:r>
        <w:rPr>
          <w:rFonts w:hint="eastAsia" w:ascii="仿宋_GB2312" w:eastAsia="仿宋_GB2312"/>
          <w:color w:val="auto"/>
          <w:sz w:val="32"/>
          <w:szCs w:val="32"/>
          <w:lang w:eastAsia="zh-CN"/>
        </w:rPr>
        <w:t>科学设置绩效目标</w:t>
      </w:r>
      <w:r>
        <w:rPr>
          <w:rFonts w:hint="eastAsia" w:ascii="仿宋_GB2312" w:eastAsia="仿宋_GB2312"/>
          <w:color w:val="auto"/>
          <w:sz w:val="32"/>
          <w:szCs w:val="32"/>
        </w:rPr>
        <w:t>。具体项目自评情况附绩效自评表。</w:t>
      </w:r>
    </w:p>
    <w:p>
      <w:pPr>
        <w:keepNext w:val="0"/>
        <w:keepLines w:val="0"/>
        <w:pageBreakBefore w:val="0"/>
        <w:kinsoku/>
        <w:wordWrap/>
        <w:overflowPunct/>
        <w:topLinePunct w:val="0"/>
        <w:bidi w:val="0"/>
        <w:adjustRightInd/>
        <w:snapToGrid/>
        <w:spacing w:line="560" w:lineRule="exact"/>
        <w:ind w:firstLine="640" w:firstLineChars="200"/>
        <w:jc w:val="left"/>
        <w:textAlignment w:val="auto"/>
        <w:rPr>
          <w:rFonts w:ascii="黑体" w:hAnsi="黑体" w:eastAsia="黑体" w:cs="宋体"/>
          <w:bCs/>
          <w:color w:val="auto"/>
          <w:kern w:val="0"/>
          <w:sz w:val="32"/>
          <w:szCs w:val="32"/>
        </w:rPr>
      </w:pPr>
      <w:r>
        <w:rPr>
          <w:rFonts w:hint="eastAsia" w:ascii="黑体" w:hAnsi="黑体" w:eastAsia="黑体" w:cs="宋体"/>
          <w:bCs/>
          <w:color w:val="auto"/>
          <w:kern w:val="0"/>
          <w:sz w:val="32"/>
          <w:szCs w:val="32"/>
        </w:rPr>
        <w:t>十二、其他需说明的事项</w:t>
      </w:r>
    </w:p>
    <w:p>
      <w:pPr>
        <w:keepNext w:val="0"/>
        <w:keepLines w:val="0"/>
        <w:pageBreakBefore w:val="0"/>
        <w:kinsoku/>
        <w:wordWrap/>
        <w:overflowPunct/>
        <w:topLinePunct w:val="0"/>
        <w:bidi w:val="0"/>
        <w:adjustRightInd/>
        <w:snapToGrid/>
        <w:spacing w:line="560" w:lineRule="exact"/>
        <w:ind w:firstLine="640" w:firstLineChars="200"/>
        <w:jc w:val="left"/>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rPr>
        <w:t>本单位无其他需说明事项</w:t>
      </w:r>
      <w:r>
        <w:rPr>
          <w:rFonts w:hint="eastAsia" w:ascii="仿宋_GB2312" w:hAnsi="仿宋_GB2312" w:eastAsia="仿宋_GB2312" w:cs="仿宋_GB2312"/>
          <w:color w:val="auto"/>
          <w:kern w:val="0"/>
          <w:sz w:val="32"/>
          <w:szCs w:val="32"/>
          <w:lang w:eastAsia="zh-CN"/>
        </w:rPr>
        <w:t>。</w:t>
      </w:r>
    </w:p>
    <w:p>
      <w:pPr>
        <w:keepNext w:val="0"/>
        <w:keepLines w:val="0"/>
        <w:pageBreakBefore w:val="0"/>
        <w:kinsoku/>
        <w:wordWrap/>
        <w:overflowPunct/>
        <w:topLinePunct w:val="0"/>
        <w:bidi w:val="0"/>
        <w:adjustRightInd/>
        <w:snapToGrid/>
        <w:spacing w:line="560" w:lineRule="exact"/>
        <w:ind w:firstLine="640" w:firstLineChars="200"/>
        <w:jc w:val="left"/>
        <w:textAlignment w:val="auto"/>
        <w:rPr>
          <w:rFonts w:ascii="仿宋_GB2312" w:hAnsi="仿宋_GB2312" w:eastAsia="仿宋_GB2312" w:cs="仿宋_GB2312"/>
          <w:color w:val="auto"/>
          <w:kern w:val="0"/>
          <w:sz w:val="32"/>
          <w:szCs w:val="32"/>
        </w:rPr>
      </w:pPr>
    </w:p>
    <w:p>
      <w:pPr>
        <w:keepNext w:val="0"/>
        <w:keepLines w:val="0"/>
        <w:pageBreakBefore w:val="0"/>
        <w:kinsoku/>
        <w:wordWrap/>
        <w:overflowPunct/>
        <w:topLinePunct w:val="0"/>
        <w:bidi w:val="0"/>
        <w:adjustRightInd/>
        <w:snapToGrid/>
        <w:spacing w:line="560" w:lineRule="exact"/>
        <w:jc w:val="center"/>
        <w:textAlignment w:val="auto"/>
        <w:outlineLvl w:val="0"/>
        <w:rPr>
          <w:rFonts w:ascii="黑体" w:hAnsi="黑体" w:eastAsia="黑体"/>
          <w:color w:val="auto"/>
          <w:sz w:val="32"/>
          <w:szCs w:val="32"/>
        </w:rPr>
      </w:pPr>
      <w:bookmarkStart w:id="30" w:name="_Toc3250"/>
      <w:bookmarkStart w:id="31" w:name="_Toc24143"/>
      <w:r>
        <w:rPr>
          <w:rFonts w:hint="eastAsia" w:ascii="黑体" w:hAnsi="黑体" w:eastAsia="黑体"/>
          <w:color w:val="auto"/>
          <w:sz w:val="32"/>
          <w:szCs w:val="32"/>
        </w:rPr>
        <w:br w:type="page"/>
      </w:r>
      <w:r>
        <w:rPr>
          <w:rFonts w:hint="eastAsia" w:ascii="黑体" w:hAnsi="黑体" w:eastAsia="黑体"/>
          <w:color w:val="auto"/>
          <w:sz w:val="32"/>
          <w:szCs w:val="32"/>
        </w:rPr>
        <w:t>第三部分 专业名词解释</w:t>
      </w:r>
      <w:bookmarkEnd w:id="30"/>
      <w:bookmarkEnd w:id="31"/>
    </w:p>
    <w:p>
      <w:pPr>
        <w:keepNext w:val="0"/>
        <w:keepLines w:val="0"/>
        <w:pageBreakBefore w:val="0"/>
        <w:kinsoku/>
        <w:wordWrap/>
        <w:overflowPunct/>
        <w:topLinePunct w:val="0"/>
        <w:autoSpaceDE w:val="0"/>
        <w:autoSpaceDN w:val="0"/>
        <w:bidi w:val="0"/>
        <w:adjustRightInd/>
        <w:snapToGrid/>
        <w:spacing w:line="560" w:lineRule="exact"/>
        <w:ind w:firstLine="642" w:firstLineChars="200"/>
        <w:jc w:val="left"/>
        <w:textAlignment w:val="auto"/>
        <w:rPr>
          <w:rFonts w:ascii="仿宋_GB2312" w:eastAsia="仿宋_GB2312"/>
          <w:color w:val="auto"/>
          <w:sz w:val="32"/>
          <w:szCs w:val="32"/>
        </w:rPr>
      </w:pPr>
      <w:r>
        <w:rPr>
          <w:rFonts w:hint="eastAsia" w:ascii="仿宋_GB2312" w:eastAsia="仿宋_GB2312"/>
          <w:b/>
          <w:bCs/>
          <w:color w:val="auto"/>
          <w:sz w:val="32"/>
          <w:szCs w:val="32"/>
        </w:rPr>
        <w:t>一、财政拨款收入：</w:t>
      </w:r>
      <w:r>
        <w:rPr>
          <w:rFonts w:hint="eastAsia" w:ascii="仿宋_GB2312" w:eastAsia="仿宋_GB2312"/>
          <w:color w:val="auto"/>
          <w:sz w:val="32"/>
          <w:szCs w:val="32"/>
        </w:rPr>
        <w:t>指同级财政当年拨付的资金。</w:t>
      </w:r>
    </w:p>
    <w:p>
      <w:pPr>
        <w:keepNext w:val="0"/>
        <w:keepLines w:val="0"/>
        <w:pageBreakBefore w:val="0"/>
        <w:kinsoku/>
        <w:wordWrap/>
        <w:overflowPunct/>
        <w:topLinePunct w:val="0"/>
        <w:autoSpaceDE w:val="0"/>
        <w:autoSpaceDN w:val="0"/>
        <w:bidi w:val="0"/>
        <w:adjustRightInd/>
        <w:snapToGrid/>
        <w:spacing w:line="560" w:lineRule="exact"/>
        <w:ind w:firstLine="642" w:firstLineChars="200"/>
        <w:jc w:val="left"/>
        <w:textAlignment w:val="auto"/>
        <w:rPr>
          <w:rFonts w:ascii="仿宋_GB2312" w:eastAsia="仿宋_GB2312"/>
          <w:color w:val="auto"/>
          <w:sz w:val="32"/>
          <w:szCs w:val="32"/>
        </w:rPr>
      </w:pPr>
      <w:r>
        <w:rPr>
          <w:rFonts w:hint="eastAsia" w:ascii="仿宋_GB2312" w:eastAsia="仿宋_GB2312"/>
          <w:b/>
          <w:bCs/>
          <w:color w:val="auto"/>
          <w:sz w:val="32"/>
          <w:szCs w:val="32"/>
        </w:rPr>
        <w:t>二、上级补助收入：</w:t>
      </w:r>
      <w:r>
        <w:rPr>
          <w:rFonts w:hint="eastAsia" w:ascii="仿宋_GB2312" w:eastAsia="仿宋_GB2312"/>
          <w:color w:val="auto"/>
          <w:sz w:val="32"/>
          <w:szCs w:val="32"/>
        </w:rPr>
        <w:t>指事业单位从主管部门和上级单位取得的非财政补助收入。</w:t>
      </w:r>
    </w:p>
    <w:p>
      <w:pPr>
        <w:keepNext w:val="0"/>
        <w:keepLines w:val="0"/>
        <w:pageBreakBefore w:val="0"/>
        <w:kinsoku/>
        <w:wordWrap/>
        <w:overflowPunct/>
        <w:topLinePunct w:val="0"/>
        <w:autoSpaceDE w:val="0"/>
        <w:autoSpaceDN w:val="0"/>
        <w:bidi w:val="0"/>
        <w:adjustRightInd/>
        <w:snapToGrid/>
        <w:spacing w:line="560" w:lineRule="exact"/>
        <w:ind w:firstLine="642" w:firstLineChars="200"/>
        <w:jc w:val="left"/>
        <w:textAlignment w:val="auto"/>
        <w:rPr>
          <w:rFonts w:ascii="仿宋_GB2312" w:eastAsia="仿宋_GB2312"/>
          <w:color w:val="auto"/>
          <w:sz w:val="32"/>
          <w:szCs w:val="32"/>
        </w:rPr>
      </w:pPr>
      <w:r>
        <w:rPr>
          <w:rFonts w:hint="eastAsia" w:ascii="仿宋_GB2312" w:eastAsia="仿宋_GB2312"/>
          <w:b/>
          <w:bCs/>
          <w:color w:val="auto"/>
          <w:sz w:val="32"/>
          <w:szCs w:val="32"/>
        </w:rPr>
        <w:t>三、事业收入：</w:t>
      </w:r>
      <w:r>
        <w:rPr>
          <w:rFonts w:hint="eastAsia" w:ascii="仿宋_GB2312" w:eastAsia="仿宋_GB2312"/>
          <w:color w:val="auto"/>
          <w:sz w:val="32"/>
          <w:szCs w:val="32"/>
        </w:rPr>
        <w:t>指事业单位开展专业业务活动及其辅助活动所取得的收入。</w:t>
      </w:r>
    </w:p>
    <w:p>
      <w:pPr>
        <w:keepNext w:val="0"/>
        <w:keepLines w:val="0"/>
        <w:pageBreakBefore w:val="0"/>
        <w:kinsoku/>
        <w:wordWrap/>
        <w:overflowPunct/>
        <w:topLinePunct w:val="0"/>
        <w:autoSpaceDE w:val="0"/>
        <w:autoSpaceDN w:val="0"/>
        <w:bidi w:val="0"/>
        <w:adjustRightInd/>
        <w:snapToGrid/>
        <w:spacing w:line="560" w:lineRule="exact"/>
        <w:ind w:firstLine="642" w:firstLineChars="200"/>
        <w:jc w:val="left"/>
        <w:textAlignment w:val="auto"/>
        <w:rPr>
          <w:rFonts w:ascii="仿宋_GB2312" w:eastAsia="仿宋_GB2312"/>
          <w:color w:val="auto"/>
          <w:sz w:val="32"/>
          <w:szCs w:val="32"/>
        </w:rPr>
      </w:pPr>
      <w:r>
        <w:rPr>
          <w:rFonts w:hint="eastAsia" w:ascii="仿宋_GB2312" w:eastAsia="仿宋_GB2312"/>
          <w:b/>
          <w:bCs/>
          <w:color w:val="auto"/>
          <w:sz w:val="32"/>
          <w:szCs w:val="32"/>
        </w:rPr>
        <w:t>四、经营收入：</w:t>
      </w:r>
      <w:r>
        <w:rPr>
          <w:rFonts w:hint="eastAsia" w:ascii="仿宋_GB2312" w:eastAsia="仿宋_GB2312"/>
          <w:color w:val="auto"/>
          <w:sz w:val="32"/>
          <w:szCs w:val="32"/>
        </w:rPr>
        <w:t>指事业单位在专业业务活动及其辅助活动之外开展非独立核算经营活动取得的收入。</w:t>
      </w:r>
    </w:p>
    <w:p>
      <w:pPr>
        <w:keepNext w:val="0"/>
        <w:keepLines w:val="0"/>
        <w:pageBreakBefore w:val="0"/>
        <w:kinsoku/>
        <w:wordWrap/>
        <w:overflowPunct/>
        <w:topLinePunct w:val="0"/>
        <w:autoSpaceDE w:val="0"/>
        <w:autoSpaceDN w:val="0"/>
        <w:bidi w:val="0"/>
        <w:adjustRightInd/>
        <w:snapToGrid/>
        <w:spacing w:line="560" w:lineRule="exact"/>
        <w:ind w:firstLine="642" w:firstLineChars="200"/>
        <w:jc w:val="left"/>
        <w:textAlignment w:val="auto"/>
        <w:rPr>
          <w:rFonts w:ascii="仿宋_GB2312" w:eastAsia="仿宋_GB2312"/>
          <w:color w:val="auto"/>
          <w:sz w:val="32"/>
          <w:szCs w:val="32"/>
        </w:rPr>
      </w:pPr>
      <w:r>
        <w:rPr>
          <w:rFonts w:hint="eastAsia" w:ascii="仿宋_GB2312" w:eastAsia="仿宋_GB2312"/>
          <w:b/>
          <w:bCs/>
          <w:color w:val="auto"/>
          <w:sz w:val="32"/>
          <w:szCs w:val="32"/>
        </w:rPr>
        <w:t>五、附属单位上缴收入：</w:t>
      </w:r>
      <w:r>
        <w:rPr>
          <w:rFonts w:hint="eastAsia" w:ascii="仿宋_GB2312" w:eastAsia="仿宋_GB2312"/>
          <w:color w:val="auto"/>
          <w:sz w:val="32"/>
          <w:szCs w:val="32"/>
        </w:rPr>
        <w:t>指事业单位附属的独立核算单位按有关规定上缴的收入。</w:t>
      </w:r>
    </w:p>
    <w:p>
      <w:pPr>
        <w:keepNext w:val="0"/>
        <w:keepLines w:val="0"/>
        <w:pageBreakBefore w:val="0"/>
        <w:kinsoku/>
        <w:wordWrap/>
        <w:overflowPunct/>
        <w:topLinePunct w:val="0"/>
        <w:autoSpaceDE w:val="0"/>
        <w:autoSpaceDN w:val="0"/>
        <w:bidi w:val="0"/>
        <w:adjustRightInd/>
        <w:snapToGrid/>
        <w:spacing w:line="560" w:lineRule="exact"/>
        <w:ind w:firstLine="642" w:firstLineChars="200"/>
        <w:jc w:val="left"/>
        <w:textAlignment w:val="auto"/>
        <w:rPr>
          <w:rFonts w:ascii="仿宋_GB2312" w:eastAsia="仿宋_GB2312"/>
          <w:color w:val="auto"/>
          <w:sz w:val="32"/>
          <w:szCs w:val="32"/>
        </w:rPr>
      </w:pPr>
      <w:r>
        <w:rPr>
          <w:rFonts w:hint="eastAsia" w:ascii="仿宋_GB2312" w:eastAsia="仿宋_GB2312"/>
          <w:b/>
          <w:bCs/>
          <w:color w:val="auto"/>
          <w:sz w:val="32"/>
          <w:szCs w:val="32"/>
        </w:rPr>
        <w:t>六、其他收入：</w:t>
      </w:r>
      <w:r>
        <w:rPr>
          <w:rFonts w:hint="eastAsia" w:ascii="仿宋_GB2312" w:eastAsia="仿宋_GB2312"/>
          <w:color w:val="auto"/>
          <w:sz w:val="32"/>
          <w:szCs w:val="32"/>
        </w:rPr>
        <w:t>指除上述“财政拨款收入”、“事业收入”、“经营收入”、“附属单位上缴收入”等之外取得的收入。</w:t>
      </w:r>
    </w:p>
    <w:p>
      <w:pPr>
        <w:keepNext w:val="0"/>
        <w:keepLines w:val="0"/>
        <w:pageBreakBefore w:val="0"/>
        <w:kinsoku/>
        <w:wordWrap/>
        <w:overflowPunct/>
        <w:topLinePunct w:val="0"/>
        <w:autoSpaceDE w:val="0"/>
        <w:autoSpaceDN w:val="0"/>
        <w:bidi w:val="0"/>
        <w:adjustRightInd/>
        <w:snapToGrid/>
        <w:spacing w:line="560" w:lineRule="exact"/>
        <w:ind w:firstLine="642" w:firstLineChars="200"/>
        <w:jc w:val="left"/>
        <w:textAlignment w:val="auto"/>
        <w:rPr>
          <w:rFonts w:ascii="仿宋_GB2312" w:eastAsia="仿宋_GB2312"/>
          <w:color w:val="auto"/>
          <w:sz w:val="32"/>
          <w:szCs w:val="32"/>
        </w:rPr>
      </w:pPr>
      <w:r>
        <w:rPr>
          <w:rFonts w:hint="eastAsia" w:ascii="仿宋_GB2312" w:eastAsia="仿宋_GB2312"/>
          <w:b/>
          <w:bCs/>
          <w:color w:val="auto"/>
          <w:sz w:val="32"/>
          <w:szCs w:val="32"/>
        </w:rPr>
        <w:t>七、年初结转和结余：</w:t>
      </w:r>
      <w:r>
        <w:rPr>
          <w:rFonts w:hint="eastAsia" w:ascii="仿宋_GB2312" w:eastAsia="仿宋_GB2312"/>
          <w:color w:val="auto"/>
          <w:sz w:val="32"/>
          <w:szCs w:val="32"/>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kinsoku/>
        <w:wordWrap/>
        <w:overflowPunct/>
        <w:topLinePunct w:val="0"/>
        <w:autoSpaceDE w:val="0"/>
        <w:autoSpaceDN w:val="0"/>
        <w:bidi w:val="0"/>
        <w:adjustRightInd/>
        <w:snapToGrid/>
        <w:spacing w:line="560" w:lineRule="exact"/>
        <w:ind w:firstLine="642" w:firstLineChars="200"/>
        <w:jc w:val="left"/>
        <w:textAlignment w:val="auto"/>
        <w:rPr>
          <w:rFonts w:ascii="仿宋_GB2312" w:eastAsia="仿宋_GB2312"/>
          <w:color w:val="auto"/>
          <w:sz w:val="32"/>
          <w:szCs w:val="32"/>
        </w:rPr>
      </w:pPr>
      <w:r>
        <w:rPr>
          <w:rFonts w:hint="eastAsia" w:ascii="仿宋_GB2312" w:eastAsia="仿宋_GB2312"/>
          <w:b/>
          <w:bCs/>
          <w:color w:val="auto"/>
          <w:sz w:val="32"/>
          <w:szCs w:val="32"/>
        </w:rPr>
        <w:t>八、年末结转和结余：</w:t>
      </w:r>
      <w:r>
        <w:rPr>
          <w:rFonts w:hint="eastAsia" w:ascii="仿宋_GB2312" w:eastAsia="仿宋_GB2312"/>
          <w:color w:val="auto"/>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kinsoku/>
        <w:wordWrap/>
        <w:overflowPunct/>
        <w:topLinePunct w:val="0"/>
        <w:autoSpaceDE w:val="0"/>
        <w:autoSpaceDN w:val="0"/>
        <w:bidi w:val="0"/>
        <w:adjustRightInd/>
        <w:snapToGrid/>
        <w:spacing w:line="560" w:lineRule="exact"/>
        <w:ind w:firstLine="642" w:firstLineChars="200"/>
        <w:jc w:val="left"/>
        <w:textAlignment w:val="auto"/>
        <w:rPr>
          <w:rFonts w:ascii="仿宋_GB2312" w:eastAsia="仿宋_GB2312"/>
          <w:color w:val="auto"/>
          <w:sz w:val="32"/>
          <w:szCs w:val="32"/>
        </w:rPr>
      </w:pPr>
      <w:r>
        <w:rPr>
          <w:rFonts w:hint="eastAsia" w:ascii="仿宋_GB2312" w:eastAsia="仿宋_GB2312"/>
          <w:b/>
          <w:bCs/>
          <w:color w:val="auto"/>
          <w:sz w:val="32"/>
          <w:szCs w:val="32"/>
        </w:rPr>
        <w:t>九、基本支出：</w:t>
      </w:r>
      <w:r>
        <w:rPr>
          <w:rFonts w:hint="eastAsia" w:ascii="仿宋_GB2312" w:eastAsia="仿宋_GB2312"/>
          <w:color w:val="auto"/>
          <w:sz w:val="32"/>
          <w:szCs w:val="32"/>
        </w:rPr>
        <w:t>指为保障机构正常运转、完成日常工作任务而发生的人员支出和公用支出。</w:t>
      </w:r>
    </w:p>
    <w:p>
      <w:pPr>
        <w:keepNext w:val="0"/>
        <w:keepLines w:val="0"/>
        <w:pageBreakBefore w:val="0"/>
        <w:kinsoku/>
        <w:wordWrap/>
        <w:overflowPunct/>
        <w:topLinePunct w:val="0"/>
        <w:autoSpaceDE w:val="0"/>
        <w:autoSpaceDN w:val="0"/>
        <w:bidi w:val="0"/>
        <w:adjustRightInd/>
        <w:snapToGrid/>
        <w:spacing w:line="560" w:lineRule="exact"/>
        <w:ind w:firstLine="642" w:firstLineChars="200"/>
        <w:jc w:val="left"/>
        <w:textAlignment w:val="auto"/>
        <w:rPr>
          <w:rFonts w:ascii="仿宋_GB2312" w:eastAsia="仿宋_GB2312"/>
          <w:color w:val="auto"/>
          <w:sz w:val="32"/>
          <w:szCs w:val="32"/>
        </w:rPr>
      </w:pPr>
      <w:r>
        <w:rPr>
          <w:rFonts w:hint="eastAsia" w:ascii="仿宋_GB2312" w:eastAsia="仿宋_GB2312"/>
          <w:b/>
          <w:bCs/>
          <w:color w:val="auto"/>
          <w:sz w:val="32"/>
          <w:szCs w:val="32"/>
        </w:rPr>
        <w:t>十、项目支出：</w:t>
      </w:r>
      <w:r>
        <w:rPr>
          <w:rFonts w:hint="eastAsia" w:ascii="仿宋_GB2312" w:eastAsia="仿宋_GB2312"/>
          <w:color w:val="auto"/>
          <w:sz w:val="32"/>
          <w:szCs w:val="32"/>
        </w:rPr>
        <w:t>指在基本支出之外为完成特定行政任务和事业发展目标所发生的支出。</w:t>
      </w:r>
    </w:p>
    <w:p>
      <w:pPr>
        <w:keepNext w:val="0"/>
        <w:keepLines w:val="0"/>
        <w:pageBreakBefore w:val="0"/>
        <w:kinsoku/>
        <w:wordWrap/>
        <w:overflowPunct/>
        <w:topLinePunct w:val="0"/>
        <w:autoSpaceDE w:val="0"/>
        <w:autoSpaceDN w:val="0"/>
        <w:bidi w:val="0"/>
        <w:adjustRightInd/>
        <w:snapToGrid/>
        <w:spacing w:line="560" w:lineRule="exact"/>
        <w:ind w:firstLine="642" w:firstLineChars="200"/>
        <w:textAlignment w:val="auto"/>
        <w:rPr>
          <w:rFonts w:ascii="仿宋_GB2312" w:eastAsia="仿宋_GB2312"/>
          <w:color w:val="auto"/>
          <w:sz w:val="32"/>
          <w:szCs w:val="32"/>
        </w:rPr>
      </w:pPr>
      <w:r>
        <w:rPr>
          <w:rFonts w:hint="eastAsia" w:ascii="仿宋_GB2312" w:eastAsia="仿宋_GB2312"/>
          <w:b/>
          <w:bCs/>
          <w:color w:val="auto"/>
          <w:sz w:val="32"/>
          <w:szCs w:val="32"/>
        </w:rPr>
        <w:t>十一、经营支出：</w:t>
      </w:r>
      <w:r>
        <w:rPr>
          <w:rFonts w:hint="eastAsia" w:ascii="仿宋_GB2312" w:eastAsia="仿宋_GB2312"/>
          <w:color w:val="auto"/>
          <w:sz w:val="32"/>
          <w:szCs w:val="32"/>
        </w:rPr>
        <w:t>指事业单位在专业业务活动及其辅助活动之外开展非独立核算经营活动发生的支出。</w:t>
      </w:r>
    </w:p>
    <w:p>
      <w:pPr>
        <w:keepNext w:val="0"/>
        <w:keepLines w:val="0"/>
        <w:pageBreakBefore w:val="0"/>
        <w:kinsoku/>
        <w:wordWrap/>
        <w:overflowPunct/>
        <w:topLinePunct w:val="0"/>
        <w:autoSpaceDE w:val="0"/>
        <w:autoSpaceDN w:val="0"/>
        <w:bidi w:val="0"/>
        <w:adjustRightInd/>
        <w:snapToGrid/>
        <w:spacing w:line="560" w:lineRule="exact"/>
        <w:ind w:firstLine="642" w:firstLineChars="200"/>
        <w:textAlignment w:val="auto"/>
        <w:rPr>
          <w:rFonts w:ascii="仿宋_GB2312" w:eastAsia="仿宋_GB2312"/>
          <w:color w:val="auto"/>
          <w:sz w:val="32"/>
          <w:szCs w:val="32"/>
        </w:rPr>
      </w:pPr>
      <w:r>
        <w:rPr>
          <w:rFonts w:hint="eastAsia" w:ascii="仿宋_GB2312" w:eastAsia="仿宋_GB2312"/>
          <w:b/>
          <w:bCs/>
          <w:color w:val="auto"/>
          <w:sz w:val="32"/>
          <w:szCs w:val="32"/>
        </w:rPr>
        <w:t>十二、对附属单位补助支出：</w:t>
      </w:r>
      <w:r>
        <w:rPr>
          <w:rFonts w:hint="eastAsia" w:ascii="仿宋_GB2312" w:eastAsia="仿宋_GB2312"/>
          <w:color w:val="auto"/>
          <w:sz w:val="32"/>
          <w:szCs w:val="32"/>
        </w:rPr>
        <w:t>指事业单位发生的用非财政预算资金对附属单位的补助支出。</w:t>
      </w:r>
    </w:p>
    <w:p>
      <w:pPr>
        <w:keepNext w:val="0"/>
        <w:keepLines w:val="0"/>
        <w:pageBreakBefore w:val="0"/>
        <w:kinsoku/>
        <w:wordWrap/>
        <w:overflowPunct/>
        <w:topLinePunct w:val="0"/>
        <w:autoSpaceDE w:val="0"/>
        <w:autoSpaceDN w:val="0"/>
        <w:bidi w:val="0"/>
        <w:adjustRightInd/>
        <w:snapToGrid/>
        <w:spacing w:line="560" w:lineRule="exact"/>
        <w:ind w:firstLine="642" w:firstLineChars="200"/>
        <w:textAlignment w:val="auto"/>
        <w:rPr>
          <w:rFonts w:ascii="仿宋_GB2312" w:eastAsia="仿宋_GB2312"/>
          <w:color w:val="auto"/>
          <w:sz w:val="32"/>
          <w:szCs w:val="32"/>
        </w:rPr>
      </w:pPr>
      <w:r>
        <w:rPr>
          <w:rFonts w:hint="eastAsia" w:ascii="仿宋_GB2312" w:eastAsia="仿宋_GB2312"/>
          <w:b/>
          <w:bCs/>
          <w:color w:val="auto"/>
          <w:sz w:val="32"/>
          <w:szCs w:val="32"/>
        </w:rPr>
        <w:t>十三、“三公”经费：</w:t>
      </w:r>
      <w:r>
        <w:rPr>
          <w:rFonts w:hint="eastAsia" w:ascii="仿宋_GB2312" w:eastAsia="仿宋_GB2312"/>
          <w:color w:val="auto"/>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kinsoku/>
        <w:wordWrap/>
        <w:overflowPunct/>
        <w:topLinePunct w:val="0"/>
        <w:bidi w:val="0"/>
        <w:adjustRightInd/>
        <w:snapToGrid/>
        <w:spacing w:line="560" w:lineRule="exact"/>
        <w:ind w:firstLine="642" w:firstLineChars="200"/>
        <w:textAlignment w:val="auto"/>
        <w:rPr>
          <w:rFonts w:ascii="仿宋_GB2312" w:eastAsia="仿宋_GB2312"/>
          <w:color w:val="auto"/>
          <w:sz w:val="32"/>
          <w:szCs w:val="32"/>
        </w:rPr>
      </w:pPr>
      <w:r>
        <w:rPr>
          <w:rFonts w:hint="eastAsia" w:ascii="仿宋_GB2312" w:eastAsia="仿宋_GB2312"/>
          <w:b/>
          <w:bCs/>
          <w:color w:val="auto"/>
          <w:sz w:val="32"/>
          <w:szCs w:val="32"/>
        </w:rPr>
        <w:t>十四、机关运行经费：</w:t>
      </w:r>
      <w:r>
        <w:rPr>
          <w:rFonts w:hint="eastAsia" w:ascii="仿宋_GB2312" w:eastAsia="仿宋_GB2312"/>
          <w:color w:val="auto"/>
          <w:sz w:val="32"/>
          <w:szCs w:val="32"/>
        </w:rPr>
        <w:t>行政单位和参照公务员法管理的事业单位财政拨款基本支出中的公用经费支出。</w:t>
      </w:r>
    </w:p>
    <w:p>
      <w:pPr>
        <w:keepNext w:val="0"/>
        <w:keepLines w:val="0"/>
        <w:pageBreakBefore w:val="0"/>
        <w:kinsoku/>
        <w:wordWrap/>
        <w:overflowPunct/>
        <w:topLinePunct w:val="0"/>
        <w:bidi w:val="0"/>
        <w:adjustRightInd/>
        <w:snapToGrid/>
        <w:spacing w:line="560" w:lineRule="exact"/>
        <w:ind w:firstLine="640" w:firstLineChars="200"/>
        <w:jc w:val="center"/>
        <w:textAlignment w:val="auto"/>
        <w:outlineLvl w:val="0"/>
        <w:rPr>
          <w:rFonts w:ascii="黑体" w:hAnsi="黑体" w:eastAsia="黑体"/>
          <w:color w:val="auto"/>
          <w:sz w:val="32"/>
          <w:szCs w:val="32"/>
        </w:rPr>
      </w:pPr>
      <w:r>
        <w:rPr>
          <w:rFonts w:hint="eastAsia" w:ascii="仿宋_GB2312" w:eastAsia="仿宋_GB2312"/>
          <w:color w:val="auto"/>
          <w:sz w:val="32"/>
          <w:szCs w:val="32"/>
        </w:rPr>
        <w:br w:type="page"/>
      </w:r>
      <w:r>
        <w:rPr>
          <w:rFonts w:hint="eastAsia" w:ascii="黑体" w:hAnsi="黑体" w:eastAsia="黑体"/>
          <w:color w:val="auto"/>
          <w:sz w:val="32"/>
          <w:szCs w:val="32"/>
        </w:rPr>
        <w:t xml:space="preserve">第四部分 </w:t>
      </w:r>
      <w:r>
        <w:rPr>
          <w:rFonts w:hint="eastAsia" w:ascii="黑体" w:hAnsi="黑体" w:eastAsia="黑体"/>
          <w:color w:val="auto"/>
          <w:sz w:val="32"/>
          <w:szCs w:val="32"/>
          <w:lang w:eastAsia="zh-CN"/>
        </w:rPr>
        <w:t>部门</w:t>
      </w:r>
      <w:r>
        <w:rPr>
          <w:rFonts w:hint="eastAsia" w:ascii="黑体" w:hAnsi="黑体" w:eastAsia="黑体"/>
          <w:color w:val="auto"/>
          <w:sz w:val="32"/>
          <w:szCs w:val="32"/>
        </w:rPr>
        <w:t>决算报表（见附表）</w:t>
      </w:r>
    </w:p>
    <w:p>
      <w:pPr>
        <w:keepNext w:val="0"/>
        <w:keepLines w:val="0"/>
        <w:pageBreakBefore w:val="0"/>
        <w:kinsoku/>
        <w:wordWrap/>
        <w:overflowPunct/>
        <w:topLinePunct w:val="0"/>
        <w:bidi w:val="0"/>
        <w:adjustRightInd/>
        <w:snapToGrid/>
        <w:spacing w:line="560" w:lineRule="exact"/>
        <w:ind w:firstLine="640" w:firstLineChars="200"/>
        <w:textAlignment w:val="auto"/>
        <w:outlineLvl w:val="1"/>
        <w:rPr>
          <w:rFonts w:ascii="黑体" w:hAnsi="黑体" w:eastAsia="仿宋_GB2312" w:cs="宋体"/>
          <w:bCs/>
          <w:color w:val="auto"/>
          <w:kern w:val="0"/>
          <w:sz w:val="32"/>
          <w:szCs w:val="32"/>
        </w:rPr>
      </w:pPr>
      <w:bookmarkStart w:id="32" w:name="_Toc6062"/>
      <w:bookmarkStart w:id="33" w:name="_Toc2183"/>
      <w:r>
        <w:rPr>
          <w:rFonts w:hint="eastAsia" w:ascii="黑体" w:hAnsi="黑体" w:eastAsia="仿宋_GB2312" w:cs="宋体"/>
          <w:bCs/>
          <w:color w:val="auto"/>
          <w:kern w:val="0"/>
          <w:sz w:val="32"/>
          <w:szCs w:val="32"/>
        </w:rPr>
        <w:t>一、《收入支出决算总表》</w:t>
      </w:r>
      <w:bookmarkEnd w:id="32"/>
      <w:bookmarkEnd w:id="33"/>
    </w:p>
    <w:p>
      <w:pPr>
        <w:keepNext w:val="0"/>
        <w:keepLines w:val="0"/>
        <w:pageBreakBefore w:val="0"/>
        <w:kinsoku/>
        <w:wordWrap/>
        <w:overflowPunct/>
        <w:topLinePunct w:val="0"/>
        <w:bidi w:val="0"/>
        <w:adjustRightInd/>
        <w:snapToGrid/>
        <w:spacing w:line="560" w:lineRule="exact"/>
        <w:ind w:firstLine="640" w:firstLineChars="200"/>
        <w:textAlignment w:val="auto"/>
        <w:outlineLvl w:val="1"/>
        <w:rPr>
          <w:rFonts w:ascii="黑体" w:hAnsi="黑体" w:eastAsia="仿宋_GB2312" w:cs="宋体"/>
          <w:bCs/>
          <w:color w:val="auto"/>
          <w:kern w:val="0"/>
          <w:sz w:val="32"/>
          <w:szCs w:val="32"/>
        </w:rPr>
      </w:pPr>
      <w:bookmarkStart w:id="34" w:name="_Toc24532"/>
      <w:bookmarkStart w:id="35" w:name="_Toc30364"/>
      <w:r>
        <w:rPr>
          <w:rFonts w:hint="eastAsia" w:ascii="黑体" w:hAnsi="黑体" w:eastAsia="仿宋_GB2312" w:cs="宋体"/>
          <w:bCs/>
          <w:color w:val="auto"/>
          <w:kern w:val="0"/>
          <w:sz w:val="32"/>
          <w:szCs w:val="32"/>
        </w:rPr>
        <w:t>二、《收入决算表》</w:t>
      </w:r>
      <w:bookmarkEnd w:id="34"/>
      <w:bookmarkEnd w:id="35"/>
    </w:p>
    <w:p>
      <w:pPr>
        <w:keepNext w:val="0"/>
        <w:keepLines w:val="0"/>
        <w:pageBreakBefore w:val="0"/>
        <w:kinsoku/>
        <w:wordWrap/>
        <w:overflowPunct/>
        <w:topLinePunct w:val="0"/>
        <w:bidi w:val="0"/>
        <w:adjustRightInd/>
        <w:snapToGrid/>
        <w:spacing w:line="560" w:lineRule="exact"/>
        <w:ind w:firstLine="640" w:firstLineChars="200"/>
        <w:textAlignment w:val="auto"/>
        <w:outlineLvl w:val="1"/>
        <w:rPr>
          <w:rFonts w:ascii="黑体" w:hAnsi="黑体" w:eastAsia="仿宋_GB2312" w:cs="宋体"/>
          <w:bCs/>
          <w:color w:val="auto"/>
          <w:kern w:val="0"/>
          <w:sz w:val="32"/>
          <w:szCs w:val="32"/>
        </w:rPr>
      </w:pPr>
      <w:bookmarkStart w:id="36" w:name="_Toc32434"/>
      <w:bookmarkStart w:id="37" w:name="_Toc21304"/>
      <w:r>
        <w:rPr>
          <w:rFonts w:hint="eastAsia" w:ascii="黑体" w:hAnsi="黑体" w:eastAsia="仿宋_GB2312" w:cs="宋体"/>
          <w:bCs/>
          <w:color w:val="auto"/>
          <w:kern w:val="0"/>
          <w:sz w:val="32"/>
          <w:szCs w:val="32"/>
        </w:rPr>
        <w:t>三、《支出决算表》</w:t>
      </w:r>
      <w:bookmarkEnd w:id="36"/>
      <w:bookmarkEnd w:id="37"/>
    </w:p>
    <w:p>
      <w:pPr>
        <w:keepNext w:val="0"/>
        <w:keepLines w:val="0"/>
        <w:pageBreakBefore w:val="0"/>
        <w:kinsoku/>
        <w:wordWrap/>
        <w:overflowPunct/>
        <w:topLinePunct w:val="0"/>
        <w:bidi w:val="0"/>
        <w:adjustRightInd/>
        <w:snapToGrid/>
        <w:spacing w:line="560" w:lineRule="exact"/>
        <w:ind w:firstLine="640" w:firstLineChars="200"/>
        <w:textAlignment w:val="auto"/>
        <w:outlineLvl w:val="1"/>
        <w:rPr>
          <w:rFonts w:ascii="黑体" w:hAnsi="黑体" w:eastAsia="仿宋_GB2312" w:cs="宋体"/>
          <w:bCs/>
          <w:color w:val="auto"/>
          <w:kern w:val="0"/>
          <w:sz w:val="32"/>
          <w:szCs w:val="32"/>
        </w:rPr>
      </w:pPr>
      <w:bookmarkStart w:id="38" w:name="_Toc14238"/>
      <w:bookmarkStart w:id="39" w:name="_Toc28786"/>
      <w:r>
        <w:rPr>
          <w:rFonts w:hint="eastAsia" w:ascii="黑体" w:hAnsi="黑体" w:eastAsia="仿宋_GB2312" w:cs="宋体"/>
          <w:bCs/>
          <w:color w:val="auto"/>
          <w:kern w:val="0"/>
          <w:sz w:val="32"/>
          <w:szCs w:val="32"/>
        </w:rPr>
        <w:t>四、《财政拨款收入支出决算总表》</w:t>
      </w:r>
      <w:bookmarkEnd w:id="38"/>
      <w:bookmarkEnd w:id="39"/>
    </w:p>
    <w:p>
      <w:pPr>
        <w:keepNext w:val="0"/>
        <w:keepLines w:val="0"/>
        <w:pageBreakBefore w:val="0"/>
        <w:kinsoku/>
        <w:wordWrap/>
        <w:overflowPunct/>
        <w:topLinePunct w:val="0"/>
        <w:bidi w:val="0"/>
        <w:adjustRightInd/>
        <w:snapToGrid/>
        <w:spacing w:line="560" w:lineRule="exact"/>
        <w:ind w:firstLine="640" w:firstLineChars="200"/>
        <w:textAlignment w:val="auto"/>
        <w:outlineLvl w:val="1"/>
        <w:rPr>
          <w:rFonts w:ascii="黑体" w:hAnsi="黑体" w:eastAsia="仿宋_GB2312" w:cs="宋体"/>
          <w:bCs/>
          <w:color w:val="auto"/>
          <w:kern w:val="0"/>
          <w:sz w:val="32"/>
          <w:szCs w:val="32"/>
        </w:rPr>
      </w:pPr>
      <w:bookmarkStart w:id="40" w:name="_Toc10347"/>
      <w:bookmarkStart w:id="41" w:name="_Toc14869"/>
      <w:r>
        <w:rPr>
          <w:rFonts w:hint="eastAsia" w:ascii="黑体" w:hAnsi="黑体" w:eastAsia="仿宋_GB2312" w:cs="宋体"/>
          <w:bCs/>
          <w:color w:val="auto"/>
          <w:kern w:val="0"/>
          <w:sz w:val="32"/>
          <w:szCs w:val="32"/>
        </w:rPr>
        <w:t>五、《一般公共预算财政拨款支出决算表》</w:t>
      </w:r>
      <w:bookmarkEnd w:id="40"/>
      <w:bookmarkEnd w:id="41"/>
    </w:p>
    <w:p>
      <w:pPr>
        <w:keepNext w:val="0"/>
        <w:keepLines w:val="0"/>
        <w:pageBreakBefore w:val="0"/>
        <w:kinsoku/>
        <w:wordWrap/>
        <w:overflowPunct/>
        <w:topLinePunct w:val="0"/>
        <w:bidi w:val="0"/>
        <w:adjustRightInd/>
        <w:snapToGrid/>
        <w:spacing w:line="560" w:lineRule="exact"/>
        <w:ind w:firstLine="640" w:firstLineChars="200"/>
        <w:textAlignment w:val="auto"/>
        <w:outlineLvl w:val="1"/>
        <w:rPr>
          <w:rFonts w:ascii="黑体" w:hAnsi="黑体" w:eastAsia="仿宋_GB2312" w:cs="宋体"/>
          <w:bCs/>
          <w:color w:val="auto"/>
          <w:kern w:val="0"/>
          <w:sz w:val="32"/>
          <w:szCs w:val="32"/>
        </w:rPr>
      </w:pPr>
      <w:bookmarkStart w:id="42" w:name="_Toc8884"/>
      <w:bookmarkStart w:id="43" w:name="_Toc5626"/>
      <w:r>
        <w:rPr>
          <w:rFonts w:hint="eastAsia" w:ascii="黑体" w:hAnsi="黑体" w:eastAsia="仿宋_GB2312" w:cs="宋体"/>
          <w:bCs/>
          <w:color w:val="auto"/>
          <w:kern w:val="0"/>
          <w:sz w:val="32"/>
          <w:szCs w:val="32"/>
        </w:rPr>
        <w:t>六、《一般公共预算财政拨款基本支出决算表》</w:t>
      </w:r>
      <w:bookmarkEnd w:id="42"/>
      <w:bookmarkEnd w:id="43"/>
    </w:p>
    <w:p>
      <w:pPr>
        <w:keepNext w:val="0"/>
        <w:keepLines w:val="0"/>
        <w:pageBreakBefore w:val="0"/>
        <w:kinsoku/>
        <w:wordWrap/>
        <w:overflowPunct/>
        <w:topLinePunct w:val="0"/>
        <w:bidi w:val="0"/>
        <w:adjustRightInd/>
        <w:snapToGrid/>
        <w:spacing w:line="560" w:lineRule="exact"/>
        <w:ind w:firstLine="640" w:firstLineChars="200"/>
        <w:textAlignment w:val="auto"/>
        <w:outlineLvl w:val="1"/>
        <w:rPr>
          <w:rFonts w:ascii="黑体" w:hAnsi="黑体" w:eastAsia="仿宋_GB2312" w:cs="宋体"/>
          <w:bCs/>
          <w:color w:val="auto"/>
          <w:kern w:val="0"/>
          <w:sz w:val="32"/>
          <w:szCs w:val="32"/>
        </w:rPr>
      </w:pPr>
      <w:r>
        <w:rPr>
          <w:rFonts w:hint="eastAsia" w:ascii="黑体" w:hAnsi="黑体" w:eastAsia="仿宋_GB2312" w:cs="宋体"/>
          <w:bCs/>
          <w:color w:val="auto"/>
          <w:kern w:val="0"/>
          <w:sz w:val="32"/>
          <w:szCs w:val="32"/>
        </w:rPr>
        <w:t>七、</w:t>
      </w:r>
      <w:bookmarkStart w:id="44" w:name="_Toc32663"/>
      <w:bookmarkStart w:id="45" w:name="_Toc29106"/>
      <w:r>
        <w:rPr>
          <w:rFonts w:hint="eastAsia" w:ascii="黑体" w:hAnsi="黑体" w:eastAsia="仿宋_GB2312" w:cs="宋体"/>
          <w:bCs/>
          <w:color w:val="auto"/>
          <w:kern w:val="0"/>
          <w:sz w:val="32"/>
          <w:szCs w:val="32"/>
        </w:rPr>
        <w:t>《财政拨款“三公”经费支出决算表》</w:t>
      </w:r>
      <w:bookmarkEnd w:id="44"/>
      <w:bookmarkEnd w:id="45"/>
    </w:p>
    <w:p>
      <w:pPr>
        <w:keepNext w:val="0"/>
        <w:keepLines w:val="0"/>
        <w:pageBreakBefore w:val="0"/>
        <w:kinsoku/>
        <w:wordWrap/>
        <w:overflowPunct/>
        <w:topLinePunct w:val="0"/>
        <w:bidi w:val="0"/>
        <w:adjustRightInd/>
        <w:snapToGrid/>
        <w:spacing w:line="560" w:lineRule="exact"/>
        <w:ind w:firstLine="640" w:firstLineChars="200"/>
        <w:textAlignment w:val="auto"/>
        <w:outlineLvl w:val="1"/>
        <w:rPr>
          <w:rFonts w:ascii="黑体" w:hAnsi="黑体" w:eastAsia="仿宋_GB2312" w:cs="宋体"/>
          <w:bCs/>
          <w:color w:val="auto"/>
          <w:kern w:val="0"/>
          <w:sz w:val="32"/>
          <w:szCs w:val="32"/>
        </w:rPr>
      </w:pPr>
      <w:bookmarkStart w:id="46" w:name="_Toc7643"/>
      <w:bookmarkStart w:id="47" w:name="_Toc5453"/>
      <w:r>
        <w:rPr>
          <w:rFonts w:hint="eastAsia" w:ascii="黑体" w:hAnsi="黑体" w:eastAsia="仿宋_GB2312" w:cs="宋体"/>
          <w:bCs/>
          <w:color w:val="auto"/>
          <w:kern w:val="0"/>
          <w:sz w:val="32"/>
          <w:szCs w:val="32"/>
        </w:rPr>
        <w:t>八、《政府性基金预算财政拨款收入支出决算表》</w:t>
      </w:r>
      <w:bookmarkEnd w:id="46"/>
      <w:bookmarkEnd w:id="47"/>
    </w:p>
    <w:p>
      <w:pPr>
        <w:keepNext w:val="0"/>
        <w:keepLines w:val="0"/>
        <w:pageBreakBefore w:val="0"/>
        <w:kinsoku/>
        <w:wordWrap/>
        <w:overflowPunct/>
        <w:topLinePunct w:val="0"/>
        <w:bidi w:val="0"/>
        <w:adjustRightInd/>
        <w:snapToGrid/>
        <w:spacing w:line="560" w:lineRule="exact"/>
        <w:ind w:firstLine="640" w:firstLineChars="200"/>
        <w:textAlignment w:val="auto"/>
        <w:outlineLvl w:val="1"/>
        <w:rPr>
          <w:rFonts w:ascii="黑体" w:hAnsi="黑体" w:eastAsia="仿宋_GB2312" w:cs="宋体"/>
          <w:bCs/>
          <w:color w:val="auto"/>
          <w:kern w:val="0"/>
          <w:sz w:val="32"/>
          <w:szCs w:val="32"/>
        </w:rPr>
      </w:pPr>
      <w:r>
        <w:rPr>
          <w:rFonts w:hint="eastAsia" w:ascii="黑体" w:hAnsi="黑体" w:eastAsia="仿宋_GB2312" w:cs="宋体"/>
          <w:bCs/>
          <w:color w:val="auto"/>
          <w:kern w:val="0"/>
          <w:sz w:val="32"/>
          <w:szCs w:val="32"/>
        </w:rPr>
        <w:t>九、《国有资本经营预算财政拨款收入支出决算表》</w:t>
      </w:r>
    </w:p>
    <w:p>
      <w:pPr>
        <w:keepNext w:val="0"/>
        <w:keepLines w:val="0"/>
        <w:pageBreakBefore w:val="0"/>
        <w:kinsoku/>
        <w:wordWrap/>
        <w:overflowPunct/>
        <w:topLinePunct w:val="0"/>
        <w:bidi w:val="0"/>
        <w:adjustRightInd/>
        <w:snapToGrid/>
        <w:spacing w:line="560" w:lineRule="exact"/>
        <w:ind w:firstLine="640" w:firstLineChars="200"/>
        <w:textAlignment w:val="auto"/>
        <w:rPr>
          <w:rFonts w:ascii="仿宋_GB2312" w:eastAsia="仿宋_GB2312"/>
          <w:color w:val="auto"/>
          <w:sz w:val="32"/>
          <w:szCs w:val="32"/>
        </w:rPr>
      </w:pPr>
    </w:p>
    <w:p>
      <w:pPr>
        <w:keepNext w:val="0"/>
        <w:keepLines w:val="0"/>
        <w:pageBreakBefore w:val="0"/>
        <w:kinsoku/>
        <w:wordWrap/>
        <w:overflowPunct/>
        <w:topLinePunct w:val="0"/>
        <w:bidi w:val="0"/>
        <w:adjustRightInd/>
        <w:snapToGrid/>
        <w:spacing w:line="560" w:lineRule="exact"/>
        <w:ind w:firstLine="640" w:firstLineChars="200"/>
        <w:textAlignment w:val="auto"/>
        <w:outlineLvl w:val="1"/>
        <w:rPr>
          <w:rFonts w:ascii="黑体" w:hAnsi="黑体" w:eastAsia="黑体" w:cs="宋体"/>
          <w:bCs/>
          <w:color w:val="auto"/>
          <w:kern w:val="0"/>
          <w:sz w:val="32"/>
          <w:szCs w:val="32"/>
        </w:rPr>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decorative"/>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00000001" w:usb1="08000000" w:usb2="00000000" w:usb3="00000000" w:csb0="00040000" w:csb1="00000000"/>
  </w:font>
  <w:font w:name="仿宋_GB2312">
    <w:altName w:val="仿宋"/>
    <w:panose1 w:val="02010609030101010101"/>
    <w:charset w:val="86"/>
    <w:family w:val="decorative"/>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upright="true">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FgAAAGRycy9QSwEC&#10;FAAUAAAACACHTuJAzql5uc8AAAAFAQAADwAAAAAAAAABACAAAAA4AAAAZHJzL2Rvd25yZXYueG1s&#10;UEsBAhQAFAAAAAgAh07iQFNUP6KyAQAAUQMAAA4AAAAAAAAAAQAgAAAANAEAAGRycy9lMm9Eb2Mu&#10;eG1sUEsFBgAAAAAGAAYAWQEAAFgFA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420"/>
  <w:drawingGridVerticalSpacing w:val="156"/>
  <w:noPunctuationKerning w:val="true"/>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JkMjAzNjEyMDU0NWEyZmZkMzMzMWVmN2JjMzZkZGMifQ=="/>
    <w:docVar w:name="KSO_WPS_MARK_KEY" w:val="41ee2a61-2d54-4f93-83be-afdb9a40d732"/>
  </w:docVars>
  <w:rsids>
    <w:rsidRoot w:val="008E0838"/>
    <w:rsid w:val="001E3E99"/>
    <w:rsid w:val="00213C59"/>
    <w:rsid w:val="003210CE"/>
    <w:rsid w:val="0048233F"/>
    <w:rsid w:val="008E0838"/>
    <w:rsid w:val="00B70D59"/>
    <w:rsid w:val="00F52A8D"/>
    <w:rsid w:val="019404F8"/>
    <w:rsid w:val="01EF7BBA"/>
    <w:rsid w:val="02BD3108"/>
    <w:rsid w:val="02F73D26"/>
    <w:rsid w:val="034D4FEF"/>
    <w:rsid w:val="035D1785"/>
    <w:rsid w:val="039F47CE"/>
    <w:rsid w:val="03E05CE8"/>
    <w:rsid w:val="03F973EE"/>
    <w:rsid w:val="04207E21"/>
    <w:rsid w:val="043E5B56"/>
    <w:rsid w:val="04C04386"/>
    <w:rsid w:val="04FA68C4"/>
    <w:rsid w:val="053F5AE6"/>
    <w:rsid w:val="057C0B0F"/>
    <w:rsid w:val="05EF4B48"/>
    <w:rsid w:val="05F76ECA"/>
    <w:rsid w:val="06792773"/>
    <w:rsid w:val="06C64617"/>
    <w:rsid w:val="07004015"/>
    <w:rsid w:val="07093795"/>
    <w:rsid w:val="07804730"/>
    <w:rsid w:val="079052BE"/>
    <w:rsid w:val="07FFD986"/>
    <w:rsid w:val="08145C21"/>
    <w:rsid w:val="08422688"/>
    <w:rsid w:val="085854ED"/>
    <w:rsid w:val="0879188F"/>
    <w:rsid w:val="08A0354D"/>
    <w:rsid w:val="08CD4C49"/>
    <w:rsid w:val="09114954"/>
    <w:rsid w:val="095A5B83"/>
    <w:rsid w:val="096466E3"/>
    <w:rsid w:val="0968304D"/>
    <w:rsid w:val="09AF3D17"/>
    <w:rsid w:val="0A04459D"/>
    <w:rsid w:val="0A7809B7"/>
    <w:rsid w:val="0A7B4867"/>
    <w:rsid w:val="0A840954"/>
    <w:rsid w:val="0A9928ED"/>
    <w:rsid w:val="0B61769D"/>
    <w:rsid w:val="0B8C3ECC"/>
    <w:rsid w:val="0B90152F"/>
    <w:rsid w:val="0B9C639D"/>
    <w:rsid w:val="0BB052B2"/>
    <w:rsid w:val="0BD33FFC"/>
    <w:rsid w:val="0BE97AC1"/>
    <w:rsid w:val="0C1C4780"/>
    <w:rsid w:val="0C3613A3"/>
    <w:rsid w:val="0C5728BC"/>
    <w:rsid w:val="0C5E519C"/>
    <w:rsid w:val="0C7227A7"/>
    <w:rsid w:val="0CA52EE8"/>
    <w:rsid w:val="0CB4643F"/>
    <w:rsid w:val="0CBD6988"/>
    <w:rsid w:val="0CD208AC"/>
    <w:rsid w:val="0D0522AA"/>
    <w:rsid w:val="0D38142E"/>
    <w:rsid w:val="0D4903E8"/>
    <w:rsid w:val="0D7A4A46"/>
    <w:rsid w:val="0E3A0F88"/>
    <w:rsid w:val="0E640559"/>
    <w:rsid w:val="0F1113DA"/>
    <w:rsid w:val="0F78534A"/>
    <w:rsid w:val="0F89358A"/>
    <w:rsid w:val="0F8C6D51"/>
    <w:rsid w:val="100D394F"/>
    <w:rsid w:val="105B0B5E"/>
    <w:rsid w:val="112E58D0"/>
    <w:rsid w:val="11731CAC"/>
    <w:rsid w:val="118440E5"/>
    <w:rsid w:val="119500A0"/>
    <w:rsid w:val="11C0733B"/>
    <w:rsid w:val="11D50D17"/>
    <w:rsid w:val="120E0809"/>
    <w:rsid w:val="127F665A"/>
    <w:rsid w:val="12912E05"/>
    <w:rsid w:val="12F26E2C"/>
    <w:rsid w:val="12F7068C"/>
    <w:rsid w:val="14207DC0"/>
    <w:rsid w:val="14B932DA"/>
    <w:rsid w:val="150A66AF"/>
    <w:rsid w:val="15336D15"/>
    <w:rsid w:val="154C1139"/>
    <w:rsid w:val="158C5B77"/>
    <w:rsid w:val="160D1149"/>
    <w:rsid w:val="163563C0"/>
    <w:rsid w:val="164315EF"/>
    <w:rsid w:val="16557DFE"/>
    <w:rsid w:val="167268FB"/>
    <w:rsid w:val="16C172FE"/>
    <w:rsid w:val="16D50C50"/>
    <w:rsid w:val="16E120E1"/>
    <w:rsid w:val="17385A05"/>
    <w:rsid w:val="173B3901"/>
    <w:rsid w:val="176747F9"/>
    <w:rsid w:val="178C3CF3"/>
    <w:rsid w:val="17954A6E"/>
    <w:rsid w:val="17984446"/>
    <w:rsid w:val="179F44C4"/>
    <w:rsid w:val="17BF4DA2"/>
    <w:rsid w:val="180059E9"/>
    <w:rsid w:val="184510FD"/>
    <w:rsid w:val="190648B0"/>
    <w:rsid w:val="19071D6C"/>
    <w:rsid w:val="199D683C"/>
    <w:rsid w:val="19D26CD4"/>
    <w:rsid w:val="19E25E4D"/>
    <w:rsid w:val="19E60D19"/>
    <w:rsid w:val="19F7C021"/>
    <w:rsid w:val="1A0A120A"/>
    <w:rsid w:val="1A3E3450"/>
    <w:rsid w:val="1AB048AE"/>
    <w:rsid w:val="1AD807E5"/>
    <w:rsid w:val="1B39345B"/>
    <w:rsid w:val="1BE97765"/>
    <w:rsid w:val="1BEC0E56"/>
    <w:rsid w:val="1BFB2A1F"/>
    <w:rsid w:val="1C015D4A"/>
    <w:rsid w:val="1C290ED5"/>
    <w:rsid w:val="1C317E4F"/>
    <w:rsid w:val="1C472464"/>
    <w:rsid w:val="1D22799A"/>
    <w:rsid w:val="1D5C1A72"/>
    <w:rsid w:val="1DAF458D"/>
    <w:rsid w:val="1E086ACE"/>
    <w:rsid w:val="1E62130A"/>
    <w:rsid w:val="1E97358B"/>
    <w:rsid w:val="1EAA4A5F"/>
    <w:rsid w:val="1EE869A7"/>
    <w:rsid w:val="1F505606"/>
    <w:rsid w:val="1F664E2A"/>
    <w:rsid w:val="1FA15E62"/>
    <w:rsid w:val="1FED69B6"/>
    <w:rsid w:val="205B5955"/>
    <w:rsid w:val="2064678E"/>
    <w:rsid w:val="20DC1AB9"/>
    <w:rsid w:val="20DD6197"/>
    <w:rsid w:val="212631E0"/>
    <w:rsid w:val="21A53757"/>
    <w:rsid w:val="2211106A"/>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234BC"/>
    <w:rsid w:val="27E777F5"/>
    <w:rsid w:val="27EA1D4C"/>
    <w:rsid w:val="27EA2E41"/>
    <w:rsid w:val="282459E2"/>
    <w:rsid w:val="283A7FE5"/>
    <w:rsid w:val="285D0AB8"/>
    <w:rsid w:val="285F51FF"/>
    <w:rsid w:val="28C37836"/>
    <w:rsid w:val="28DF2665"/>
    <w:rsid w:val="29072599"/>
    <w:rsid w:val="291029F3"/>
    <w:rsid w:val="296248B4"/>
    <w:rsid w:val="298B14F0"/>
    <w:rsid w:val="29C235A5"/>
    <w:rsid w:val="29CB58F0"/>
    <w:rsid w:val="2A053397"/>
    <w:rsid w:val="2A145E96"/>
    <w:rsid w:val="2AF5378F"/>
    <w:rsid w:val="2BAF1907"/>
    <w:rsid w:val="2BB94DBF"/>
    <w:rsid w:val="2C6F314E"/>
    <w:rsid w:val="2CA43435"/>
    <w:rsid w:val="2CC206BE"/>
    <w:rsid w:val="2D1136DF"/>
    <w:rsid w:val="2D20606D"/>
    <w:rsid w:val="2D7828F8"/>
    <w:rsid w:val="2DB87198"/>
    <w:rsid w:val="2DB93C54"/>
    <w:rsid w:val="2E3D144C"/>
    <w:rsid w:val="2E764C99"/>
    <w:rsid w:val="2E891204"/>
    <w:rsid w:val="2F3F0A28"/>
    <w:rsid w:val="2F9C0128"/>
    <w:rsid w:val="2FBF7029"/>
    <w:rsid w:val="2FD0187F"/>
    <w:rsid w:val="2FD27414"/>
    <w:rsid w:val="2FFE4BB0"/>
    <w:rsid w:val="300E7B60"/>
    <w:rsid w:val="300F6E18"/>
    <w:rsid w:val="30862F5F"/>
    <w:rsid w:val="314029C9"/>
    <w:rsid w:val="31C63837"/>
    <w:rsid w:val="31C82E39"/>
    <w:rsid w:val="32601BAD"/>
    <w:rsid w:val="329F6389"/>
    <w:rsid w:val="32E00C87"/>
    <w:rsid w:val="33122EA7"/>
    <w:rsid w:val="3389023A"/>
    <w:rsid w:val="33CB74FA"/>
    <w:rsid w:val="343642F2"/>
    <w:rsid w:val="343F3010"/>
    <w:rsid w:val="345D0A00"/>
    <w:rsid w:val="34713BFD"/>
    <w:rsid w:val="3474109D"/>
    <w:rsid w:val="34C13589"/>
    <w:rsid w:val="353369E3"/>
    <w:rsid w:val="358A58E3"/>
    <w:rsid w:val="35A95619"/>
    <w:rsid w:val="35E00D72"/>
    <w:rsid w:val="36965B9D"/>
    <w:rsid w:val="36BE4BCE"/>
    <w:rsid w:val="36C24BE4"/>
    <w:rsid w:val="36C549FD"/>
    <w:rsid w:val="37744AB6"/>
    <w:rsid w:val="377B8231"/>
    <w:rsid w:val="37A755DD"/>
    <w:rsid w:val="37F94FA0"/>
    <w:rsid w:val="380D3381"/>
    <w:rsid w:val="38115B1F"/>
    <w:rsid w:val="385E3AC3"/>
    <w:rsid w:val="385F2146"/>
    <w:rsid w:val="387D6B9E"/>
    <w:rsid w:val="387E3A51"/>
    <w:rsid w:val="388523F6"/>
    <w:rsid w:val="38B75FF0"/>
    <w:rsid w:val="38D45016"/>
    <w:rsid w:val="38D90432"/>
    <w:rsid w:val="3914510A"/>
    <w:rsid w:val="3926770B"/>
    <w:rsid w:val="398D3668"/>
    <w:rsid w:val="39DA0497"/>
    <w:rsid w:val="39FB2353"/>
    <w:rsid w:val="3A893816"/>
    <w:rsid w:val="3A893B6D"/>
    <w:rsid w:val="3AD1763A"/>
    <w:rsid w:val="3B6716E3"/>
    <w:rsid w:val="3B6C6B2D"/>
    <w:rsid w:val="3BDFA23C"/>
    <w:rsid w:val="3C242659"/>
    <w:rsid w:val="3C96719C"/>
    <w:rsid w:val="3CA72BE8"/>
    <w:rsid w:val="3CF37F8C"/>
    <w:rsid w:val="3D053A7C"/>
    <w:rsid w:val="3D137554"/>
    <w:rsid w:val="3D5275AC"/>
    <w:rsid w:val="3DCC2473"/>
    <w:rsid w:val="3DDFCC4E"/>
    <w:rsid w:val="3DEB0883"/>
    <w:rsid w:val="3E2527BF"/>
    <w:rsid w:val="3E731662"/>
    <w:rsid w:val="3E8168DD"/>
    <w:rsid w:val="3EA7725F"/>
    <w:rsid w:val="3EB03713"/>
    <w:rsid w:val="3EBF1A11"/>
    <w:rsid w:val="3EC52607"/>
    <w:rsid w:val="3EC86B10"/>
    <w:rsid w:val="3EEC6CEF"/>
    <w:rsid w:val="3EFA703E"/>
    <w:rsid w:val="3F183429"/>
    <w:rsid w:val="3F8A2C45"/>
    <w:rsid w:val="3FB77A1D"/>
    <w:rsid w:val="3FBAB55E"/>
    <w:rsid w:val="3FDC3674"/>
    <w:rsid w:val="3FED7F8A"/>
    <w:rsid w:val="40094AEF"/>
    <w:rsid w:val="405470BD"/>
    <w:rsid w:val="40794A29"/>
    <w:rsid w:val="40834692"/>
    <w:rsid w:val="40A84E4B"/>
    <w:rsid w:val="41431AD5"/>
    <w:rsid w:val="414B3C0F"/>
    <w:rsid w:val="417C1CE7"/>
    <w:rsid w:val="41900018"/>
    <w:rsid w:val="41944406"/>
    <w:rsid w:val="41CE128F"/>
    <w:rsid w:val="41D55931"/>
    <w:rsid w:val="41DA6F12"/>
    <w:rsid w:val="42171FB1"/>
    <w:rsid w:val="434E6957"/>
    <w:rsid w:val="439F639C"/>
    <w:rsid w:val="43BA0E31"/>
    <w:rsid w:val="43C15147"/>
    <w:rsid w:val="43E14DD2"/>
    <w:rsid w:val="43F800E9"/>
    <w:rsid w:val="443A7E4B"/>
    <w:rsid w:val="444C3D3F"/>
    <w:rsid w:val="451505D5"/>
    <w:rsid w:val="452F5B3A"/>
    <w:rsid w:val="454E7FD2"/>
    <w:rsid w:val="457D3ACC"/>
    <w:rsid w:val="45A35BE1"/>
    <w:rsid w:val="46061BDC"/>
    <w:rsid w:val="461404F8"/>
    <w:rsid w:val="46413018"/>
    <w:rsid w:val="46456C98"/>
    <w:rsid w:val="464B7E04"/>
    <w:rsid w:val="468041AA"/>
    <w:rsid w:val="468123C6"/>
    <w:rsid w:val="46901EEE"/>
    <w:rsid w:val="469C74D2"/>
    <w:rsid w:val="47445515"/>
    <w:rsid w:val="474B4782"/>
    <w:rsid w:val="4792180B"/>
    <w:rsid w:val="47C307BC"/>
    <w:rsid w:val="47D90D14"/>
    <w:rsid w:val="48387FB0"/>
    <w:rsid w:val="483A6114"/>
    <w:rsid w:val="488727DB"/>
    <w:rsid w:val="48B82268"/>
    <w:rsid w:val="48C354B3"/>
    <w:rsid w:val="48D30D2E"/>
    <w:rsid w:val="491164F6"/>
    <w:rsid w:val="493D58B5"/>
    <w:rsid w:val="494A7A04"/>
    <w:rsid w:val="4A0A26D2"/>
    <w:rsid w:val="4A2019A5"/>
    <w:rsid w:val="4A241A0B"/>
    <w:rsid w:val="4A7B2875"/>
    <w:rsid w:val="4A934476"/>
    <w:rsid w:val="4AAA220A"/>
    <w:rsid w:val="4AE12E67"/>
    <w:rsid w:val="4B4C0111"/>
    <w:rsid w:val="4B7324F9"/>
    <w:rsid w:val="4B8553A9"/>
    <w:rsid w:val="4BDB3730"/>
    <w:rsid w:val="4C12586E"/>
    <w:rsid w:val="4C200F7A"/>
    <w:rsid w:val="4CEE3180"/>
    <w:rsid w:val="4D0F4AF6"/>
    <w:rsid w:val="4DF94F37"/>
    <w:rsid w:val="4E0A1DD5"/>
    <w:rsid w:val="4E3160E5"/>
    <w:rsid w:val="4E4D37AF"/>
    <w:rsid w:val="4E8C6496"/>
    <w:rsid w:val="4EA36C51"/>
    <w:rsid w:val="4EFD18DE"/>
    <w:rsid w:val="4F144236"/>
    <w:rsid w:val="4F663C87"/>
    <w:rsid w:val="4F7E29A8"/>
    <w:rsid w:val="4F7E5C5B"/>
    <w:rsid w:val="4F9E1FFC"/>
    <w:rsid w:val="4FE6004F"/>
    <w:rsid w:val="5011365D"/>
    <w:rsid w:val="50447CC2"/>
    <w:rsid w:val="50874A7C"/>
    <w:rsid w:val="50895EE7"/>
    <w:rsid w:val="50921B9D"/>
    <w:rsid w:val="50D16158"/>
    <w:rsid w:val="50DB5F45"/>
    <w:rsid w:val="51025EB1"/>
    <w:rsid w:val="51141503"/>
    <w:rsid w:val="518D0ED5"/>
    <w:rsid w:val="525C687F"/>
    <w:rsid w:val="52F647F7"/>
    <w:rsid w:val="52F92565"/>
    <w:rsid w:val="52FE4227"/>
    <w:rsid w:val="530C10F9"/>
    <w:rsid w:val="53D03877"/>
    <w:rsid w:val="53F23A70"/>
    <w:rsid w:val="542F73CA"/>
    <w:rsid w:val="5430786D"/>
    <w:rsid w:val="54C811C0"/>
    <w:rsid w:val="54FB1120"/>
    <w:rsid w:val="556A442D"/>
    <w:rsid w:val="55DA564E"/>
    <w:rsid w:val="55FC773E"/>
    <w:rsid w:val="5604127D"/>
    <w:rsid w:val="56166703"/>
    <w:rsid w:val="563A433F"/>
    <w:rsid w:val="56510474"/>
    <w:rsid w:val="56861525"/>
    <w:rsid w:val="56A93273"/>
    <w:rsid w:val="56BD550C"/>
    <w:rsid w:val="56C365FF"/>
    <w:rsid w:val="56E07045"/>
    <w:rsid w:val="56FF28AF"/>
    <w:rsid w:val="57540E7D"/>
    <w:rsid w:val="576B029A"/>
    <w:rsid w:val="577B4878"/>
    <w:rsid w:val="57926973"/>
    <w:rsid w:val="58175352"/>
    <w:rsid w:val="581F2200"/>
    <w:rsid w:val="583059FA"/>
    <w:rsid w:val="584A0929"/>
    <w:rsid w:val="58CD2491"/>
    <w:rsid w:val="591B41B2"/>
    <w:rsid w:val="59254A26"/>
    <w:rsid w:val="59326325"/>
    <w:rsid w:val="593C03CE"/>
    <w:rsid w:val="595C505B"/>
    <w:rsid w:val="595E55C3"/>
    <w:rsid w:val="596E7E20"/>
    <w:rsid w:val="5A065C2C"/>
    <w:rsid w:val="5A60780B"/>
    <w:rsid w:val="5AB34579"/>
    <w:rsid w:val="5AFC6609"/>
    <w:rsid w:val="5B113480"/>
    <w:rsid w:val="5BD456CE"/>
    <w:rsid w:val="5C0D1F49"/>
    <w:rsid w:val="5CBB0CE2"/>
    <w:rsid w:val="5CC17177"/>
    <w:rsid w:val="5CF306BC"/>
    <w:rsid w:val="5D3F3D64"/>
    <w:rsid w:val="5D833043"/>
    <w:rsid w:val="5D841F7C"/>
    <w:rsid w:val="5DC43A07"/>
    <w:rsid w:val="5DD92690"/>
    <w:rsid w:val="5DDB1CFD"/>
    <w:rsid w:val="5DF94D6A"/>
    <w:rsid w:val="5E7E6D93"/>
    <w:rsid w:val="5ED44800"/>
    <w:rsid w:val="5EEE213C"/>
    <w:rsid w:val="5F350BDE"/>
    <w:rsid w:val="5F61632C"/>
    <w:rsid w:val="5F746704"/>
    <w:rsid w:val="5FA17648"/>
    <w:rsid w:val="5FBF949A"/>
    <w:rsid w:val="5FDC5E0D"/>
    <w:rsid w:val="5FE705CB"/>
    <w:rsid w:val="5FED2422"/>
    <w:rsid w:val="603D5080"/>
    <w:rsid w:val="60A37B5A"/>
    <w:rsid w:val="60C82547"/>
    <w:rsid w:val="60D0261B"/>
    <w:rsid w:val="618E3791"/>
    <w:rsid w:val="61947DCA"/>
    <w:rsid w:val="61A46A97"/>
    <w:rsid w:val="61B9080E"/>
    <w:rsid w:val="61D1382F"/>
    <w:rsid w:val="61F114A2"/>
    <w:rsid w:val="62512BB4"/>
    <w:rsid w:val="625D7D1A"/>
    <w:rsid w:val="62DD7D21"/>
    <w:rsid w:val="63180324"/>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95994"/>
    <w:rsid w:val="68FB170C"/>
    <w:rsid w:val="691B3D98"/>
    <w:rsid w:val="693748F0"/>
    <w:rsid w:val="697F233D"/>
    <w:rsid w:val="69846A0E"/>
    <w:rsid w:val="69AD798C"/>
    <w:rsid w:val="69D005C0"/>
    <w:rsid w:val="69D80B96"/>
    <w:rsid w:val="6ADB7A47"/>
    <w:rsid w:val="6B68175F"/>
    <w:rsid w:val="6B8A36B7"/>
    <w:rsid w:val="6BFD799F"/>
    <w:rsid w:val="6C4A2E5A"/>
    <w:rsid w:val="6C8138D0"/>
    <w:rsid w:val="6CEF0725"/>
    <w:rsid w:val="6D4B2604"/>
    <w:rsid w:val="6D68133A"/>
    <w:rsid w:val="6D8030E4"/>
    <w:rsid w:val="6E0E35C4"/>
    <w:rsid w:val="6E0F7A08"/>
    <w:rsid w:val="6E3947F5"/>
    <w:rsid w:val="6E9C74ED"/>
    <w:rsid w:val="6EF72976"/>
    <w:rsid w:val="6F795A80"/>
    <w:rsid w:val="6F7C1D2E"/>
    <w:rsid w:val="6F8E0407"/>
    <w:rsid w:val="6FD46E98"/>
    <w:rsid w:val="6FDD069F"/>
    <w:rsid w:val="6FFE8C9B"/>
    <w:rsid w:val="702B4D16"/>
    <w:rsid w:val="70AA6621"/>
    <w:rsid w:val="710111C0"/>
    <w:rsid w:val="710F044A"/>
    <w:rsid w:val="7111480F"/>
    <w:rsid w:val="71213CDA"/>
    <w:rsid w:val="71261F49"/>
    <w:rsid w:val="712E6956"/>
    <w:rsid w:val="71473612"/>
    <w:rsid w:val="71504F32"/>
    <w:rsid w:val="7152309F"/>
    <w:rsid w:val="715A2F82"/>
    <w:rsid w:val="71687B5B"/>
    <w:rsid w:val="718F7F65"/>
    <w:rsid w:val="727B234E"/>
    <w:rsid w:val="72D068C7"/>
    <w:rsid w:val="72E42ED8"/>
    <w:rsid w:val="72F603A4"/>
    <w:rsid w:val="735F4CB9"/>
    <w:rsid w:val="73674C62"/>
    <w:rsid w:val="73845865"/>
    <w:rsid w:val="739B6D9E"/>
    <w:rsid w:val="73BC1D76"/>
    <w:rsid w:val="73FB6630"/>
    <w:rsid w:val="748D790E"/>
    <w:rsid w:val="749820CC"/>
    <w:rsid w:val="74CE04EC"/>
    <w:rsid w:val="74E76DCD"/>
    <w:rsid w:val="751D7C0A"/>
    <w:rsid w:val="75722D56"/>
    <w:rsid w:val="75DB5477"/>
    <w:rsid w:val="75FC6AC3"/>
    <w:rsid w:val="75FEBE28"/>
    <w:rsid w:val="760951B9"/>
    <w:rsid w:val="7616619B"/>
    <w:rsid w:val="76660D7C"/>
    <w:rsid w:val="766C5968"/>
    <w:rsid w:val="76B3DCFB"/>
    <w:rsid w:val="76BE0C8F"/>
    <w:rsid w:val="76CD53B2"/>
    <w:rsid w:val="770719AC"/>
    <w:rsid w:val="776526CC"/>
    <w:rsid w:val="77706C77"/>
    <w:rsid w:val="77970062"/>
    <w:rsid w:val="77A262E1"/>
    <w:rsid w:val="77B13C33"/>
    <w:rsid w:val="77ED6F44"/>
    <w:rsid w:val="77F45548"/>
    <w:rsid w:val="77FD77BD"/>
    <w:rsid w:val="77FF6023"/>
    <w:rsid w:val="784E7CA6"/>
    <w:rsid w:val="78574801"/>
    <w:rsid w:val="7873527F"/>
    <w:rsid w:val="787B63C5"/>
    <w:rsid w:val="78FB7506"/>
    <w:rsid w:val="790A6425"/>
    <w:rsid w:val="790E2D96"/>
    <w:rsid w:val="791B54B2"/>
    <w:rsid w:val="795A0A34"/>
    <w:rsid w:val="797339C3"/>
    <w:rsid w:val="79D57D57"/>
    <w:rsid w:val="79DE4E5E"/>
    <w:rsid w:val="79F00650"/>
    <w:rsid w:val="7A1A39BC"/>
    <w:rsid w:val="7A6242BF"/>
    <w:rsid w:val="7A794513"/>
    <w:rsid w:val="7AE952D2"/>
    <w:rsid w:val="7AF6A34F"/>
    <w:rsid w:val="7BA556CD"/>
    <w:rsid w:val="7BB2DC8E"/>
    <w:rsid w:val="7C3A0345"/>
    <w:rsid w:val="7C976D69"/>
    <w:rsid w:val="7C9C48C1"/>
    <w:rsid w:val="7CD752DA"/>
    <w:rsid w:val="7CDE40AB"/>
    <w:rsid w:val="7CF057E2"/>
    <w:rsid w:val="7CF7CC81"/>
    <w:rsid w:val="7D041D76"/>
    <w:rsid w:val="7D1548B5"/>
    <w:rsid w:val="7D6733BC"/>
    <w:rsid w:val="7DC51366"/>
    <w:rsid w:val="7DE87A0C"/>
    <w:rsid w:val="7DF84014"/>
    <w:rsid w:val="7DFDA561"/>
    <w:rsid w:val="7E207949"/>
    <w:rsid w:val="7E5C0A47"/>
    <w:rsid w:val="7E670C75"/>
    <w:rsid w:val="7EE24272"/>
    <w:rsid w:val="7EEA6053"/>
    <w:rsid w:val="7F487C04"/>
    <w:rsid w:val="7FB45F21"/>
    <w:rsid w:val="7FE57088"/>
    <w:rsid w:val="7FEF6E75"/>
    <w:rsid w:val="7FF37FA3"/>
    <w:rsid w:val="7FF7132F"/>
    <w:rsid w:val="7FFE9ED8"/>
    <w:rsid w:val="9E7FB60D"/>
    <w:rsid w:val="B5DDAF8E"/>
    <w:rsid w:val="BB7FDD51"/>
    <w:rsid w:val="BBDB7744"/>
    <w:rsid w:val="BEFD7549"/>
    <w:rsid w:val="BFFD7998"/>
    <w:rsid w:val="BFFF1493"/>
    <w:rsid w:val="D6DED1B3"/>
    <w:rsid w:val="DBB931B5"/>
    <w:rsid w:val="DF330B55"/>
    <w:rsid w:val="DFFF6471"/>
    <w:rsid w:val="E7EF9837"/>
    <w:rsid w:val="E7F3EBA3"/>
    <w:rsid w:val="E8FDAF18"/>
    <w:rsid w:val="EBDFE4DA"/>
    <w:rsid w:val="EFFD39C5"/>
    <w:rsid w:val="F17E3BFF"/>
    <w:rsid w:val="F1BD6BDC"/>
    <w:rsid w:val="F3BF7F40"/>
    <w:rsid w:val="F64B97E1"/>
    <w:rsid w:val="F6EFD197"/>
    <w:rsid w:val="F77D64FA"/>
    <w:rsid w:val="F7B22DFD"/>
    <w:rsid w:val="FB0E9B7E"/>
    <w:rsid w:val="FBBF59C3"/>
    <w:rsid w:val="FCBECF89"/>
    <w:rsid w:val="FD6CD0A3"/>
    <w:rsid w:val="FDEB374F"/>
    <w:rsid w:val="FEB6CAE2"/>
    <w:rsid w:val="FEBF907A"/>
    <w:rsid w:val="FEDE1C1E"/>
    <w:rsid w:val="FEDF0FB4"/>
    <w:rsid w:val="FF95B806"/>
    <w:rsid w:val="FFB61641"/>
    <w:rsid w:val="FFD68DED"/>
    <w:rsid w:val="FFFDBBEF"/>
    <w:rsid w:val="FFFF088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5088</Words>
  <Characters>5693</Characters>
  <Lines>15</Lines>
  <Paragraphs>15</Paragraphs>
  <TotalTime>4</TotalTime>
  <ScaleCrop>false</ScaleCrop>
  <LinksUpToDate>false</LinksUpToDate>
  <CharactersWithSpaces>5704</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2024-08-17T03:06:00Z</dcterms:created>
  <dc:creator>GXR</dc:creator>
  <cp:lastModifiedBy>user</cp:lastModifiedBy>
  <dcterms:modified xsi:type="dcterms:W3CDTF">2024-09-02T17:50:18Z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5A22559942B447E2B9E2C6665400ACFF</vt:lpwstr>
  </property>
</Properties>
</file>