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keepNext w:val="0"/>
        <w:keepLines w:val="0"/>
        <w:pageBreakBefore w:val="0"/>
        <w:widowControl w:val="0"/>
        <w:kinsoku/>
        <w:wordWrap/>
        <w:overflowPunct/>
        <w:topLinePunct w:val="0"/>
        <w:bidi w:val="0"/>
        <w:adjustRightInd/>
        <w:snapToGrid/>
        <w:spacing w:line="240" w:lineRule="auto"/>
        <w:textAlignment w:val="auto"/>
        <w:rPr>
          <w:rFonts w:ascii="黑体" w:hAnsi="黑体" w:eastAsia="黑体"/>
          <w:color w:val="auto"/>
          <w:sz w:val="32"/>
          <w:szCs w:val="32"/>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val="en-US" w:eastAsia="zh-CN"/>
        </w:rPr>
      </w:pPr>
      <w:r>
        <w:rPr>
          <w:rFonts w:hint="eastAsia" w:ascii="方正小标宋_GBK" w:hAnsi="宋体" w:eastAsia="方正小标宋_GBK"/>
          <w:color w:val="auto"/>
          <w:sz w:val="44"/>
          <w:szCs w:val="44"/>
          <w:highlight w:val="none"/>
          <w:lang w:val="en-US" w:eastAsia="zh-CN"/>
        </w:rPr>
        <w:t>新疆维吾尔自治区残疾人辅助器具资源</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val="en-US" w:eastAsia="zh-CN"/>
        </w:rPr>
        <w:t>中心</w:t>
      </w:r>
      <w:r>
        <w:rPr>
          <w:rFonts w:hint="eastAsia" w:ascii="方正小标宋_GBK" w:hAnsi="宋体" w:eastAsia="方正小标宋_GBK"/>
          <w:color w:val="auto"/>
          <w:sz w:val="44"/>
          <w:szCs w:val="44"/>
          <w:highlight w:val="none"/>
          <w:lang w:eastAsia="zh-CN"/>
        </w:rPr>
        <w:t>2023年度</w:t>
      </w:r>
      <w:r>
        <w:rPr>
          <w:rFonts w:hint="eastAsia" w:ascii="方正小标宋_GBK" w:hAnsi="宋体" w:eastAsia="方正小标宋_GBK"/>
          <w:color w:val="auto"/>
          <w:sz w:val="44"/>
          <w:szCs w:val="44"/>
          <w:highlight w:val="none"/>
          <w:shd w:val="clear" w:color="auto"/>
          <w:lang w:eastAsia="zh-CN"/>
        </w:rPr>
        <w:t>部门</w:t>
      </w:r>
      <w:r>
        <w:rPr>
          <w:rFonts w:hint="eastAsia" w:ascii="方正小标宋_GBK" w:hAnsi="宋体" w:eastAsia="方正小标宋_GBK"/>
          <w:color w:val="auto"/>
          <w:sz w:val="44"/>
          <w:szCs w:val="44"/>
          <w:highlight w:val="none"/>
        </w:rPr>
        <w:t>决算</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pPr>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单位</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pPr>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pPr>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0" w:name="_Toc24028"/>
      <w:bookmarkStart w:id="1" w:name="_Toc32314"/>
      <w:r>
        <w:rPr>
          <w:rFonts w:hint="eastAsia" w:ascii="黑体" w:hAnsi="黑体" w:eastAsia="黑体"/>
          <w:color w:val="auto"/>
          <w:sz w:val="32"/>
          <w:szCs w:val="32"/>
          <w:highlight w:val="none"/>
        </w:rPr>
        <w:t xml:space="preserve">第一部分 </w:t>
      </w:r>
      <w:r>
        <w:rPr>
          <w:rFonts w:hint="eastAsia" w:ascii="黑体" w:hAnsi="黑体" w:eastAsia="黑体"/>
          <w:color w:val="auto"/>
          <w:sz w:val="32"/>
          <w:szCs w:val="32"/>
          <w:highlight w:val="none"/>
          <w:lang w:eastAsia="zh-CN"/>
        </w:rPr>
        <w:t>单位</w:t>
      </w:r>
      <w:r>
        <w:rPr>
          <w:rFonts w:hint="eastAsia" w:ascii="黑体" w:hAnsi="黑体" w:eastAsia="黑体"/>
          <w:color w:val="auto"/>
          <w:sz w:val="32"/>
          <w:szCs w:val="32"/>
          <w:highlight w:val="none"/>
        </w:rPr>
        <w:t>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738"/>
      <w:bookmarkStart w:id="3" w:name="_Toc30567"/>
      <w:r>
        <w:rPr>
          <w:rFonts w:hint="eastAsia" w:ascii="黑体" w:hAnsi="黑体" w:eastAsia="黑体" w:cs="宋体"/>
          <w:bCs/>
          <w:color w:val="auto"/>
          <w:kern w:val="0"/>
          <w:sz w:val="32"/>
          <w:szCs w:val="32"/>
          <w:highlight w:val="none"/>
        </w:rPr>
        <w:t>一、主要职能</w:t>
      </w:r>
      <w:bookmarkEnd w:id="2"/>
      <w:bookmarkEnd w:id="3"/>
    </w:p>
    <w:p>
      <w:pPr>
        <w:rPr>
          <w:rFonts w:hint="eastAsia" w:ascii="仿宋_GB2312" w:eastAsia="仿宋_GB2312"/>
          <w:color w:val="auto"/>
          <w:sz w:val="32"/>
          <w:szCs w:val="32"/>
          <w:highlight w:val="none"/>
        </w:rPr>
      </w:pPr>
      <w:r>
        <w:rPr>
          <w:rFonts w:hint="eastAsia" w:ascii="仿宋_GB2312" w:eastAsia="仿宋_GB2312"/>
          <w:sz w:val="32"/>
          <w:szCs w:val="32"/>
          <w:lang w:val="en-US" w:eastAsia="zh-CN"/>
        </w:rPr>
        <w:t xml:space="preserve">    </w:t>
      </w:r>
      <w:r>
        <w:rPr>
          <w:rFonts w:ascii="仿宋_GB2312" w:eastAsia="仿宋_GB2312"/>
          <w:sz w:val="32"/>
          <w:szCs w:val="32"/>
        </w:rPr>
        <w:t>新疆维吾尔自治区残疾人辅助器具资源中心为新疆维吾尔自治区残疾人联合会所属正处级全额拨款事业单位。新疆维吾尔自治区残疾人辅助器具资源中心主要职能：组织开发、供应和推广残疾人辅助器具，进行辅助技术的应用研究与推广；开展残疾人辅助器具的知识宣传、使用指导、技术培训和质量监督；对贫困残疾人配置辅助器具实施救助</w:t>
      </w:r>
      <w:r>
        <w:rPr>
          <w:rFonts w:hint="eastAsia" w:ascii="仿宋_GB2312" w:eastAsia="仿宋_GB2312"/>
          <w:sz w:val="32"/>
          <w:szCs w:val="32"/>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b/>
          <w:color w:val="auto"/>
          <w:sz w:val="32"/>
          <w:szCs w:val="32"/>
          <w:highlight w:val="none"/>
        </w:rPr>
      </w:pPr>
      <w:r>
        <w:rPr>
          <w:rFonts w:hint="eastAsia" w:ascii="仿宋_GB2312" w:eastAsia="仿宋_GB2312"/>
          <w:color w:val="auto"/>
          <w:sz w:val="32"/>
          <w:szCs w:val="32"/>
          <w:highlight w:val="none"/>
          <w:lang w:val="en-US" w:eastAsia="zh-CN"/>
        </w:rPr>
        <w:t>新疆维吾尔自治区残疾人辅助器具资源中心</w:t>
      </w:r>
      <w:r>
        <w:rPr>
          <w:rFonts w:hint="eastAsia" w:ascii="仿宋_GB2312" w:eastAsia="仿宋_GB2312"/>
          <w:color w:val="auto"/>
          <w:sz w:val="32"/>
          <w:szCs w:val="32"/>
          <w:highlight w:val="none"/>
          <w:lang w:eastAsia="zh-CN"/>
        </w:rPr>
        <w:t>2023年度，</w:t>
      </w:r>
      <w:r>
        <w:rPr>
          <w:rFonts w:hint="eastAsia" w:ascii="仿宋_GB2312" w:eastAsia="仿宋_GB2312"/>
          <w:color w:val="auto"/>
          <w:sz w:val="32"/>
          <w:szCs w:val="32"/>
          <w:highlight w:val="none"/>
        </w:rPr>
        <w:t>实有人数</w:t>
      </w:r>
      <w:r>
        <w:rPr>
          <w:rFonts w:hint="eastAsia" w:ascii="仿宋_GB2312" w:eastAsia="仿宋_GB2312"/>
          <w:color w:val="auto"/>
          <w:sz w:val="32"/>
          <w:szCs w:val="32"/>
          <w:highlight w:val="none"/>
          <w:lang w:val="zh-CN" w:eastAsia="zh-CN"/>
        </w:rPr>
        <w:t>26</w:t>
      </w:r>
      <w:r>
        <w:rPr>
          <w:rFonts w:hint="eastAsia" w:ascii="仿宋_GB2312" w:eastAsia="仿宋_GB2312"/>
          <w:color w:val="auto"/>
          <w:sz w:val="32"/>
          <w:szCs w:val="32"/>
          <w:highlight w:val="none"/>
        </w:rPr>
        <w:t>人，其中：在职人员</w:t>
      </w:r>
      <w:r>
        <w:rPr>
          <w:rFonts w:hint="eastAsia" w:ascii="仿宋_GB2312" w:eastAsia="仿宋_GB2312"/>
          <w:color w:val="auto"/>
          <w:sz w:val="32"/>
          <w:szCs w:val="32"/>
          <w:highlight w:val="none"/>
          <w:lang w:val="zh-CN" w:eastAsia="zh-CN"/>
        </w:rPr>
        <w:t>17</w:t>
      </w:r>
      <w:r>
        <w:rPr>
          <w:rFonts w:hint="eastAsia" w:ascii="仿宋_GB2312" w:eastAsia="仿宋_GB2312"/>
          <w:color w:val="auto"/>
          <w:sz w:val="32"/>
          <w:szCs w:val="32"/>
          <w:highlight w:val="none"/>
        </w:rPr>
        <w:t>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离休人员</w:t>
      </w:r>
      <w:r>
        <w:rPr>
          <w:rFonts w:hint="eastAsia" w:ascii="仿宋_GB2312" w:eastAsia="仿宋_GB2312"/>
          <w:color w:val="auto"/>
          <w:sz w:val="32"/>
          <w:szCs w:val="32"/>
          <w:highlight w:val="none"/>
          <w:lang w:val="zh-CN" w:eastAsia="zh-CN"/>
        </w:rPr>
        <w:t>0</w:t>
      </w:r>
      <w:r>
        <w:rPr>
          <w:rFonts w:hint="eastAsia" w:ascii="仿宋_GB2312" w:eastAsia="仿宋_GB2312"/>
          <w:color w:val="auto"/>
          <w:sz w:val="32"/>
          <w:szCs w:val="32"/>
          <w:highlight w:val="none"/>
        </w:rPr>
        <w:t>人，退休人员</w:t>
      </w:r>
      <w:r>
        <w:rPr>
          <w:rFonts w:hint="eastAsia" w:ascii="仿宋_GB2312" w:eastAsia="仿宋_GB2312"/>
          <w:color w:val="auto"/>
          <w:sz w:val="32"/>
          <w:szCs w:val="32"/>
          <w:highlight w:val="none"/>
          <w:lang w:val="zh-CN" w:eastAsia="zh-CN"/>
        </w:rPr>
        <w:t>9</w:t>
      </w:r>
      <w:r>
        <w:rPr>
          <w:rFonts w:hint="eastAsia" w:ascii="仿宋_GB2312" w:eastAsia="仿宋_GB2312"/>
          <w:color w:val="auto"/>
          <w:sz w:val="32"/>
          <w:szCs w:val="32"/>
          <w:highlight w:val="none"/>
        </w:rPr>
        <w:t>人。</w:t>
      </w:r>
    </w:p>
    <w:p>
      <w:pPr>
        <w:ind w:firstLine="640" w:firstLineChars="200"/>
        <w:rPr>
          <w:rFonts w:hint="eastAsia" w:ascii="仿宋_GB2312" w:hAnsi="宋体" w:eastAsia="仿宋_GB2312" w:cs="宋体"/>
          <w:kern w:val="0"/>
          <w:sz w:val="32"/>
          <w:szCs w:val="32"/>
        </w:rPr>
      </w:pPr>
      <w:bookmarkStart w:id="6" w:name="_Toc3092"/>
      <w:bookmarkStart w:id="7" w:name="_Toc29374"/>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5</w:t>
      </w:r>
      <w:r>
        <w:rPr>
          <w:rFonts w:hint="eastAsia" w:ascii="仿宋_GB2312" w:hAnsi="黑体" w:eastAsia="仿宋_GB2312" w:cs="宋体"/>
          <w:bCs/>
          <w:kern w:val="0"/>
          <w:sz w:val="32"/>
          <w:szCs w:val="32"/>
        </w:rPr>
        <w:t>个</w:t>
      </w:r>
      <w:r>
        <w:rPr>
          <w:rFonts w:hint="eastAsia" w:ascii="仿宋_GB2312" w:hAnsi="黑体" w:eastAsia="仿宋_GB2312" w:cs="宋体"/>
          <w:bCs/>
          <w:kern w:val="0"/>
          <w:sz w:val="32"/>
          <w:szCs w:val="32"/>
          <w:lang w:eastAsia="zh-CN"/>
        </w:rPr>
        <w:t>科</w:t>
      </w:r>
      <w:r>
        <w:rPr>
          <w:rFonts w:hint="eastAsia" w:ascii="仿宋_GB2312" w:hAnsi="黑体" w:eastAsia="仿宋_GB2312" w:cs="宋体"/>
          <w:bCs/>
          <w:kern w:val="0"/>
          <w:sz w:val="32"/>
          <w:szCs w:val="32"/>
        </w:rPr>
        <w:t>室，分别是：办公室、矫形器技术服务部、综合业务部、假肢装配部、听力康复部</w:t>
      </w:r>
      <w:r>
        <w:rPr>
          <w:rFonts w:hint="eastAsia" w:ascii="仿宋_GB2312" w:hAnsi="宋体" w:eastAsia="仿宋_GB2312" w:cs="宋体"/>
          <w:kern w:val="0"/>
          <w:sz w:val="32"/>
          <w:szCs w:val="32"/>
        </w:rPr>
        <w:t>。</w:t>
      </w:r>
    </w:p>
    <w:p>
      <w:pPr>
        <w:rPr>
          <w:rFonts w:hint="eastAsia" w:ascii="仿宋_GB2312" w:hAnsi="宋体" w:eastAsia="仿宋_GB2312" w:cs="宋体"/>
          <w:kern w:val="0"/>
          <w:sz w:val="32"/>
          <w:szCs w:val="32"/>
        </w:rPr>
      </w:pPr>
      <w:r>
        <w:rPr>
          <w:rFonts w:hint="eastAsia" w:ascii="仿宋_GB2312" w:hAnsi="宋体" w:eastAsia="仿宋_GB2312" w:cs="宋体"/>
          <w:kern w:val="0"/>
          <w:sz w:val="32"/>
          <w:szCs w:val="32"/>
        </w:rPr>
        <w:br w:type="page"/>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部分 部门决算情况说明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25314"/>
      <w:bookmarkStart w:id="9" w:name="_Toc12566"/>
      <w:r>
        <w:rPr>
          <w:rFonts w:hint="eastAsia" w:ascii="黑体" w:hAnsi="黑体" w:eastAsia="黑体" w:cs="宋体"/>
          <w:bCs/>
          <w:color w:val="auto"/>
          <w:kern w:val="0"/>
          <w:sz w:val="32"/>
          <w:szCs w:val="32"/>
          <w:highlight w:val="none"/>
        </w:rPr>
        <w:t>一、收入支出决算总体情况说明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pacing w:val="0"/>
          <w:sz w:val="32"/>
          <w:szCs w:val="32"/>
          <w:highlight w:val="none"/>
          <w:lang w:val="en-US" w:eastAsia="zh-CN"/>
        </w:rPr>
        <w:t>收入总计</w:t>
      </w:r>
      <w:r>
        <w:rPr>
          <w:rFonts w:hint="eastAsia" w:ascii="仿宋_GB2312" w:eastAsia="仿宋_GB2312"/>
          <w:color w:val="auto"/>
          <w:spacing w:val="0"/>
          <w:sz w:val="32"/>
          <w:szCs w:val="32"/>
          <w:highlight w:val="none"/>
          <w:lang w:eastAsia="zh-CN"/>
        </w:rPr>
        <w:t>590.21万元，</w:t>
      </w:r>
      <w:r>
        <w:rPr>
          <w:rFonts w:hint="eastAsia" w:ascii="仿宋_GB2312" w:eastAsia="仿宋_GB2312"/>
          <w:color w:val="auto"/>
          <w:spacing w:val="0"/>
          <w:sz w:val="32"/>
          <w:szCs w:val="32"/>
          <w:highlight w:val="none"/>
          <w:lang w:val="en-US" w:eastAsia="zh-CN"/>
        </w:rPr>
        <w:t>其中：本年收入合计</w:t>
      </w:r>
      <w:r>
        <w:rPr>
          <w:rFonts w:hint="eastAsia" w:ascii="仿宋_GB2312" w:eastAsia="仿宋_GB2312"/>
          <w:color w:val="auto"/>
          <w:spacing w:val="0"/>
          <w:sz w:val="32"/>
          <w:szCs w:val="32"/>
          <w:highlight w:val="none"/>
          <w:lang w:eastAsia="zh-CN"/>
        </w:rPr>
        <w:t>552.20万元，使用非财政拨款结余0.00万元，年初结转和结余38.00万元。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val="en-US" w:eastAsia="zh-CN"/>
        </w:rPr>
        <w:t>2023</w:t>
      </w:r>
      <w:r>
        <w:rPr>
          <w:rFonts w:hint="eastAsia" w:ascii="仿宋_GB2312" w:eastAsia="仿宋_GB2312"/>
          <w:color w:val="auto"/>
          <w:spacing w:val="0"/>
          <w:sz w:val="32"/>
          <w:szCs w:val="32"/>
          <w:highlight w:val="none"/>
          <w:lang w:eastAsia="zh-CN"/>
        </w:rPr>
        <w:t>年</w:t>
      </w:r>
      <w:r>
        <w:rPr>
          <w:rFonts w:hint="eastAsia" w:ascii="仿宋_GB2312" w:eastAsia="仿宋_GB2312"/>
          <w:color w:val="auto"/>
          <w:spacing w:val="0"/>
          <w:sz w:val="32"/>
          <w:szCs w:val="32"/>
          <w:highlight w:val="none"/>
          <w:lang w:val="en-US" w:eastAsia="zh-CN"/>
        </w:rPr>
        <w:t>度</w:t>
      </w:r>
      <w:r>
        <w:rPr>
          <w:rFonts w:hint="eastAsia" w:ascii="仿宋_GB2312" w:eastAsia="仿宋_GB2312"/>
          <w:color w:val="auto"/>
          <w:spacing w:val="0"/>
          <w:sz w:val="32"/>
          <w:szCs w:val="32"/>
          <w:highlight w:val="none"/>
          <w:lang w:eastAsia="zh-CN"/>
        </w:rPr>
        <w:t>支出</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eastAsia="zh-CN"/>
        </w:rPr>
        <w:t>590.21万元，</w:t>
      </w:r>
      <w:r>
        <w:rPr>
          <w:rFonts w:hint="eastAsia" w:ascii="仿宋_GB2312" w:eastAsia="仿宋_GB2312"/>
          <w:color w:val="auto"/>
          <w:spacing w:val="0"/>
          <w:sz w:val="32"/>
          <w:szCs w:val="32"/>
          <w:highlight w:val="none"/>
          <w:lang w:val="en-US" w:eastAsia="zh-CN"/>
        </w:rPr>
        <w:t>其中：本年支出合计</w:t>
      </w:r>
      <w:r>
        <w:rPr>
          <w:rFonts w:hint="eastAsia" w:ascii="仿宋_GB2312" w:eastAsia="仿宋_GB2312"/>
          <w:color w:val="auto"/>
          <w:spacing w:val="0"/>
          <w:sz w:val="32"/>
          <w:szCs w:val="32"/>
          <w:highlight w:val="none"/>
          <w:lang w:eastAsia="zh-CN"/>
        </w:rPr>
        <w:t>590.21万元，</w:t>
      </w:r>
      <w:r>
        <w:rPr>
          <w:rFonts w:hint="eastAsia" w:ascii="仿宋_GB2312" w:eastAsia="仿宋_GB2312"/>
          <w:color w:val="auto"/>
          <w:spacing w:val="0"/>
          <w:sz w:val="32"/>
          <w:szCs w:val="32"/>
          <w:highlight w:val="none"/>
          <w:lang w:val="en-US" w:eastAsia="zh-CN"/>
        </w:rPr>
        <w:t>结余分配</w:t>
      </w:r>
      <w:r>
        <w:rPr>
          <w:rFonts w:hint="eastAsia" w:ascii="仿宋_GB2312" w:eastAsia="仿宋_GB2312"/>
          <w:color w:val="auto"/>
          <w:spacing w:val="0"/>
          <w:sz w:val="32"/>
          <w:szCs w:val="32"/>
          <w:highlight w:val="none"/>
          <w:lang w:eastAsia="zh-CN"/>
        </w:rPr>
        <w:t>0.00万元，年末结转和结余0.00万元。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val="en-US" w:eastAsia="zh-CN"/>
        </w:rPr>
        <w:t>收入支出总体与上年相比</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减少5.37万元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下降0.90%</w:t>
      </w:r>
      <w:r>
        <w:rPr>
          <w:rFonts w:hint="eastAsia" w:ascii="仿宋_GB2312" w:eastAsia="仿宋_GB2312"/>
          <w:color w:val="auto"/>
          <w:spacing w:val="0"/>
          <w:sz w:val="32"/>
          <w:szCs w:val="32"/>
          <w:highlight w:val="none"/>
          <w:lang w:eastAsia="zh-CN"/>
        </w:rPr>
        <w:t>，主要原因是：2023年减少了“关于低收入残疾人康复服务支持项目”资金。</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rPr>
      </w:pPr>
      <w:bookmarkStart w:id="10" w:name="_Toc1979"/>
      <w:bookmarkStart w:id="11" w:name="_Toc12142"/>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本年收入</w:t>
      </w:r>
      <w:r>
        <w:rPr>
          <w:rFonts w:hint="eastAsia" w:ascii="仿宋_GB2312" w:eastAsia="仿宋_GB2312"/>
          <w:color w:val="auto"/>
          <w:sz w:val="32"/>
          <w:szCs w:val="32"/>
          <w:highlight w:val="none"/>
          <w:lang w:eastAsia="zh-CN"/>
        </w:rPr>
        <w:t>552.20</w:t>
      </w:r>
      <w:r>
        <w:rPr>
          <w:rFonts w:hint="eastAsia" w:ascii="仿宋_GB2312" w:eastAsia="仿宋_GB2312"/>
          <w:color w:val="auto"/>
          <w:sz w:val="32"/>
          <w:szCs w:val="32"/>
          <w:highlight w:val="none"/>
        </w:rPr>
        <w:t>万元，其中：财政拨款收入</w:t>
      </w:r>
      <w:r>
        <w:rPr>
          <w:rFonts w:hint="eastAsia" w:ascii="仿宋_GB2312" w:eastAsia="仿宋_GB2312"/>
          <w:color w:val="auto"/>
          <w:sz w:val="32"/>
          <w:szCs w:val="32"/>
          <w:highlight w:val="none"/>
          <w:lang w:val="zh-CN"/>
        </w:rPr>
        <w:t>552.06</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99.97</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；上级补助收入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；事业收入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；经营收入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附属单位上缴收入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；其他收入</w:t>
      </w:r>
      <w:r>
        <w:rPr>
          <w:rFonts w:hint="eastAsia" w:ascii="仿宋_GB2312" w:eastAsia="仿宋_GB2312"/>
          <w:color w:val="auto"/>
          <w:sz w:val="32"/>
          <w:szCs w:val="32"/>
          <w:highlight w:val="none"/>
          <w:lang w:val="zh-CN"/>
        </w:rPr>
        <w:t>0.14</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0.03</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2" w:name="_Toc27961"/>
      <w:bookmarkStart w:id="13" w:name="_Toc13201"/>
      <w:r>
        <w:rPr>
          <w:rFonts w:hint="eastAsia" w:ascii="黑体" w:hAnsi="黑体" w:eastAsia="黑体" w:cs="宋体"/>
          <w:bCs/>
          <w:color w:val="auto"/>
          <w:kern w:val="0"/>
          <w:sz w:val="32"/>
          <w:szCs w:val="32"/>
          <w:highlight w:val="none"/>
          <w:lang w:eastAsia="zh-CN"/>
        </w:rPr>
        <w:t>三、支出决算情况说明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仿宋_GB2312"/>
          <w:color w:val="auto"/>
          <w:sz w:val="30"/>
          <w:szCs w:val="30"/>
          <w:highlight w:val="none"/>
          <w:lang w:val="zh-CN" w:eastAsia="zh-CN"/>
        </w:rPr>
      </w:pPr>
      <w:r>
        <w:rPr>
          <w:rFonts w:hint="eastAsia" w:ascii="Times New Roman" w:hAnsi="Times New Roman" w:eastAsia="仿宋_GB2312" w:cs="仿宋_GB2312"/>
          <w:color w:val="auto"/>
          <w:sz w:val="32"/>
          <w:szCs w:val="32"/>
          <w:highlight w:val="none"/>
          <w:lang w:val="zh-CN" w:eastAsia="zh-CN"/>
        </w:rPr>
        <w:t>本年支出590.21万元，其中：基本支出346.61万元，占58.73%；项目支出243.60万元，占41.27%；上缴上级支出0.00万元，占0.00%；经营支出0.00万元，占0.00%；对附属单位补助支出0.00万元，占0.00%。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4" w:name="_Toc4393"/>
      <w:bookmarkStart w:id="15" w:name="_Toc26564"/>
      <w:r>
        <w:rPr>
          <w:rFonts w:hint="eastAsia" w:ascii="黑体" w:hAnsi="黑体" w:eastAsia="黑体" w:cs="宋体"/>
          <w:bCs/>
          <w:color w:val="auto"/>
          <w:kern w:val="0"/>
          <w:sz w:val="32"/>
          <w:szCs w:val="32"/>
          <w:highlight w:val="none"/>
          <w:lang w:eastAsia="zh-CN"/>
        </w:rPr>
        <w:t>四、财政拨款收入支出决算总体情况说明</w:t>
      </w:r>
      <w:bookmarkEnd w:id="14"/>
      <w:bookmarkEnd w:id="1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eastAsia="zh-CN"/>
        </w:rPr>
        <w:t>2023年度财政拨款收入</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val="zh-CN" w:eastAsia="zh-CN"/>
        </w:rPr>
        <w:t>552.06</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其中：年初财政拨款结转和结余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本年财政拨款收入</w:t>
      </w:r>
      <w:r>
        <w:rPr>
          <w:rFonts w:hint="eastAsia" w:ascii="仿宋_GB2312" w:eastAsia="仿宋_GB2312"/>
          <w:color w:val="auto"/>
          <w:spacing w:val="0"/>
          <w:sz w:val="32"/>
          <w:szCs w:val="32"/>
          <w:highlight w:val="none"/>
          <w:lang w:val="zh-CN" w:eastAsia="zh-CN"/>
        </w:rPr>
        <w:t>552.06</w:t>
      </w:r>
      <w:r>
        <w:rPr>
          <w:rFonts w:hint="eastAsia" w:ascii="仿宋_GB2312" w:eastAsia="仿宋_GB2312"/>
          <w:color w:val="auto"/>
          <w:spacing w:val="0"/>
          <w:sz w:val="32"/>
          <w:szCs w:val="32"/>
          <w:highlight w:val="none"/>
          <w:lang w:eastAsia="zh-CN"/>
        </w:rPr>
        <w:t>万元。财政拨款支出</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val="zh-CN" w:eastAsia="zh-CN"/>
        </w:rPr>
        <w:t>552.06</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其中：年末财政拨款结转和结余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本年财政拨款支出</w:t>
      </w:r>
      <w:r>
        <w:rPr>
          <w:rFonts w:hint="eastAsia" w:ascii="仿宋_GB2312" w:eastAsia="仿宋_GB2312"/>
          <w:color w:val="auto"/>
          <w:spacing w:val="0"/>
          <w:sz w:val="32"/>
          <w:szCs w:val="32"/>
          <w:highlight w:val="none"/>
          <w:lang w:val="zh-CN" w:eastAsia="zh-CN"/>
        </w:rPr>
        <w:t>552.06</w:t>
      </w:r>
      <w:r>
        <w:rPr>
          <w:rFonts w:hint="eastAsia" w:ascii="仿宋_GB2312" w:eastAsia="仿宋_GB2312"/>
          <w:color w:val="auto"/>
          <w:spacing w:val="0"/>
          <w:sz w:val="32"/>
          <w:szCs w:val="32"/>
          <w:highlight w:val="none"/>
          <w:lang w:eastAsia="zh-CN"/>
        </w:rPr>
        <w:t>万元。</w:t>
      </w:r>
    </w:p>
    <w:p>
      <w:pPr>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eastAsia="zh-CN"/>
        </w:rPr>
        <w:t>财政拨款收入支出总体与上年相比</w:t>
      </w:r>
      <w:r>
        <w:rPr>
          <w:rFonts w:hint="eastAsia" w:ascii="仿宋_GB2312" w:eastAsia="仿宋_GB2312"/>
          <w:color w:val="auto"/>
          <w:spacing w:val="0"/>
          <w:sz w:val="32"/>
          <w:szCs w:val="32"/>
          <w:highlight w:val="none"/>
          <w:lang w:val="en-US" w:eastAsia="zh-CN"/>
        </w:rPr>
        <w:t>,</w:t>
      </w:r>
      <w:r>
        <w:rPr>
          <w:rFonts w:hint="eastAsia" w:ascii="仿宋_GB2312" w:eastAsia="仿宋_GB2312"/>
          <w:color w:val="auto"/>
          <w:spacing w:val="0"/>
          <w:sz w:val="32"/>
          <w:szCs w:val="32"/>
          <w:highlight w:val="none"/>
          <w:lang w:val="zh-CN" w:eastAsia="zh-CN"/>
        </w:rPr>
        <w:t>增加56.25万元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增长11.35%，</w:t>
      </w:r>
      <w:r>
        <w:rPr>
          <w:rFonts w:hint="eastAsia" w:ascii="仿宋_GB2312" w:eastAsia="仿宋_GB2312"/>
          <w:color w:val="auto"/>
          <w:spacing w:val="0"/>
          <w:sz w:val="32"/>
          <w:szCs w:val="32"/>
          <w:highlight w:val="none"/>
          <w:lang w:eastAsia="zh-CN"/>
        </w:rPr>
        <w:t>主要原因是：</w:t>
      </w:r>
      <w:r>
        <w:rPr>
          <w:rFonts w:hint="eastAsia" w:ascii="仿宋_GB2312" w:eastAsia="仿宋_GB2312"/>
          <w:color w:val="auto"/>
          <w:spacing w:val="0"/>
          <w:sz w:val="32"/>
          <w:szCs w:val="32"/>
          <w:highlight w:val="none"/>
          <w:shd w:val="clear"/>
          <w:lang w:eastAsia="zh-CN"/>
        </w:rPr>
        <w:t>2023年追加了2名新增人员工资。与</w:t>
      </w:r>
      <w:r>
        <w:rPr>
          <w:rFonts w:hint="eastAsia" w:ascii="仿宋_GB2312" w:eastAsia="仿宋_GB2312"/>
          <w:color w:val="auto"/>
          <w:spacing w:val="0"/>
          <w:sz w:val="32"/>
          <w:szCs w:val="32"/>
          <w:highlight w:val="none"/>
          <w:lang w:eastAsia="zh-CN"/>
        </w:rPr>
        <w:t>年初预算相比，年初预算数</w:t>
      </w:r>
      <w:r>
        <w:rPr>
          <w:rFonts w:hint="eastAsia" w:ascii="仿宋_GB2312" w:eastAsia="仿宋_GB2312"/>
          <w:color w:val="auto"/>
          <w:spacing w:val="0"/>
          <w:sz w:val="32"/>
          <w:szCs w:val="32"/>
          <w:highlight w:val="none"/>
          <w:lang w:val="zh-CN" w:eastAsia="zh-CN"/>
        </w:rPr>
        <w:t>511.51</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552.06</w:t>
      </w:r>
      <w:r>
        <w:rPr>
          <w:rFonts w:hint="eastAsia" w:ascii="仿宋_GB2312" w:eastAsia="仿宋_GB2312"/>
          <w:color w:val="auto"/>
          <w:spacing w:val="0"/>
          <w:sz w:val="32"/>
          <w:szCs w:val="32"/>
          <w:highlight w:val="none"/>
          <w:lang w:eastAsia="zh-CN"/>
        </w:rPr>
        <w:t>万元，预决算差异率7.93%，主要原因是</w:t>
      </w:r>
      <w:r>
        <w:rPr>
          <w:rFonts w:hint="eastAsia" w:ascii="仿宋_GB2312" w:eastAsia="仿宋_GB2312"/>
          <w:color w:val="auto"/>
          <w:spacing w:val="0"/>
          <w:sz w:val="32"/>
          <w:szCs w:val="32"/>
          <w:highlight w:val="none"/>
          <w:shd w:val="clear"/>
          <w:lang w:eastAsia="zh-CN"/>
        </w:rPr>
        <w:t>：2023年追加新增人员工资、</w:t>
      </w:r>
      <w:r>
        <w:rPr>
          <w:rFonts w:hint="eastAsia" w:ascii="仿宋" w:hAnsi="仿宋" w:eastAsia="仿宋" w:cs="仿宋"/>
          <w:sz w:val="32"/>
          <w:szCs w:val="32"/>
          <w:shd w:val="clear"/>
        </w:rPr>
        <w:t>基础绩效奖</w:t>
      </w:r>
      <w:r>
        <w:rPr>
          <w:rFonts w:hint="eastAsia" w:ascii="仿宋" w:hAnsi="仿宋" w:eastAsia="仿宋" w:cs="仿宋"/>
          <w:sz w:val="32"/>
          <w:szCs w:val="32"/>
          <w:shd w:val="clear"/>
          <w:lang w:eastAsia="zh-CN"/>
        </w:rPr>
        <w:t>、</w:t>
      </w:r>
      <w:r>
        <w:rPr>
          <w:rFonts w:hint="eastAsia" w:ascii="仿宋" w:hAnsi="仿宋" w:eastAsia="仿宋" w:cs="仿宋"/>
          <w:sz w:val="32"/>
          <w:szCs w:val="32"/>
          <w:shd w:val="clear"/>
        </w:rPr>
        <w:t>年度考核奖</w:t>
      </w:r>
      <w:r>
        <w:rPr>
          <w:rFonts w:hint="eastAsia" w:ascii="仿宋_GB2312" w:eastAsia="仿宋_GB2312"/>
          <w:color w:val="auto"/>
          <w:spacing w:val="0"/>
          <w:sz w:val="32"/>
          <w:szCs w:val="32"/>
          <w:highlight w:val="none"/>
          <w:shd w:val="clear"/>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6" w:name="_Toc13833"/>
      <w:bookmarkStart w:id="17" w:name="_Toc20360"/>
      <w:r>
        <w:rPr>
          <w:rFonts w:hint="eastAsia" w:ascii="黑体" w:hAnsi="黑体" w:eastAsia="黑体" w:cs="宋体"/>
          <w:bCs/>
          <w:color w:val="auto"/>
          <w:kern w:val="0"/>
          <w:sz w:val="32"/>
          <w:szCs w:val="32"/>
          <w:highlight w:val="none"/>
          <w:lang w:eastAsia="zh-CN"/>
        </w:rPr>
        <w:t>五、一般公共预算财政拨款支出决算情况说明</w:t>
      </w:r>
      <w:bookmarkEnd w:id="16"/>
      <w:bookmarkEnd w:id="1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（一）一般公共预算财政拨款支出决算总体情况</w:t>
      </w:r>
    </w:p>
    <w:p>
      <w:pPr>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 xml:space="preserve">    </w:t>
      </w:r>
      <w:r>
        <w:rPr>
          <w:rFonts w:hint="eastAsia" w:ascii="仿宋_GB2312" w:eastAsia="仿宋_GB2312"/>
          <w:color w:val="auto"/>
          <w:spacing w:val="0"/>
          <w:sz w:val="32"/>
          <w:szCs w:val="32"/>
          <w:highlight w:val="none"/>
          <w:lang w:eastAsia="zh-CN"/>
        </w:rPr>
        <w:t>2023年度一般公共预算财政拨款支出552.06万元，占本年支出合计的</w:t>
      </w:r>
      <w:r>
        <w:rPr>
          <w:rFonts w:hint="eastAsia" w:ascii="仿宋_GB2312" w:eastAsia="仿宋_GB2312"/>
          <w:color w:val="auto"/>
          <w:spacing w:val="0"/>
          <w:sz w:val="32"/>
          <w:szCs w:val="32"/>
          <w:highlight w:val="none"/>
          <w:lang w:val="zh-CN" w:eastAsia="zh-CN"/>
        </w:rPr>
        <w:t>93.54%</w:t>
      </w:r>
      <w:r>
        <w:rPr>
          <w:rFonts w:hint="eastAsia" w:ascii="仿宋_GB2312" w:eastAsia="仿宋_GB2312"/>
          <w:color w:val="auto"/>
          <w:spacing w:val="0"/>
          <w:sz w:val="32"/>
          <w:szCs w:val="32"/>
          <w:highlight w:val="none"/>
          <w:lang w:eastAsia="zh-CN"/>
        </w:rPr>
        <w:t>。与上年相比，</w:t>
      </w:r>
      <w:r>
        <w:rPr>
          <w:rFonts w:hint="eastAsia" w:ascii="仿宋_GB2312" w:eastAsia="仿宋_GB2312"/>
          <w:color w:val="auto"/>
          <w:spacing w:val="0"/>
          <w:sz w:val="32"/>
          <w:szCs w:val="32"/>
          <w:highlight w:val="none"/>
          <w:lang w:val="zh-CN" w:eastAsia="zh-CN"/>
        </w:rPr>
        <w:t>增加56.25万元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增长11.35%，</w:t>
      </w:r>
      <w:r>
        <w:rPr>
          <w:rFonts w:hint="eastAsia" w:ascii="仿宋_GB2312" w:eastAsia="仿宋_GB2312"/>
          <w:color w:val="auto"/>
          <w:spacing w:val="0"/>
          <w:sz w:val="32"/>
          <w:szCs w:val="32"/>
          <w:highlight w:val="none"/>
          <w:lang w:eastAsia="zh-CN"/>
        </w:rPr>
        <w:t>主要原因是：</w:t>
      </w:r>
      <w:r>
        <w:rPr>
          <w:rFonts w:hint="eastAsia" w:ascii="仿宋_GB2312" w:eastAsia="仿宋_GB2312"/>
          <w:color w:val="auto"/>
          <w:spacing w:val="0"/>
          <w:sz w:val="32"/>
          <w:szCs w:val="32"/>
          <w:highlight w:val="none"/>
          <w:shd w:val="clear"/>
          <w:lang w:eastAsia="zh-CN"/>
        </w:rPr>
        <w:t>2023年追加了2名新增人员工资及公用经费。</w:t>
      </w:r>
      <w:r>
        <w:rPr>
          <w:rFonts w:hint="eastAsia" w:ascii="仿宋_GB2312" w:eastAsia="仿宋_GB2312"/>
          <w:color w:val="auto"/>
          <w:spacing w:val="0"/>
          <w:sz w:val="32"/>
          <w:szCs w:val="32"/>
          <w:highlight w:val="none"/>
          <w:lang w:eastAsia="zh-CN"/>
        </w:rPr>
        <w:t>与年初预算相比，年初预算数</w:t>
      </w:r>
      <w:r>
        <w:rPr>
          <w:rFonts w:hint="eastAsia" w:ascii="仿宋_GB2312" w:eastAsia="仿宋_GB2312"/>
          <w:color w:val="auto"/>
          <w:spacing w:val="0"/>
          <w:sz w:val="32"/>
          <w:szCs w:val="32"/>
          <w:highlight w:val="none"/>
          <w:lang w:val="zh-CN" w:eastAsia="zh-CN"/>
        </w:rPr>
        <w:t>511.51</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552.06</w:t>
      </w:r>
      <w:r>
        <w:rPr>
          <w:rFonts w:hint="eastAsia" w:ascii="仿宋_GB2312" w:eastAsia="仿宋_GB2312"/>
          <w:color w:val="auto"/>
          <w:spacing w:val="0"/>
          <w:sz w:val="32"/>
          <w:szCs w:val="32"/>
          <w:highlight w:val="none"/>
          <w:lang w:eastAsia="zh-CN"/>
        </w:rPr>
        <w:t>万元，预决算差异率</w:t>
      </w:r>
      <w:r>
        <w:rPr>
          <w:rFonts w:hint="eastAsia" w:ascii="仿宋_GB2312" w:eastAsia="仿宋_GB2312"/>
          <w:color w:val="auto"/>
          <w:spacing w:val="0"/>
          <w:sz w:val="32"/>
          <w:szCs w:val="32"/>
          <w:highlight w:val="none"/>
          <w:lang w:val="zh-CN" w:eastAsia="zh-CN"/>
        </w:rPr>
        <w:t>7.93%</w:t>
      </w:r>
      <w:r>
        <w:rPr>
          <w:rFonts w:hint="eastAsia" w:ascii="仿宋_GB2312" w:eastAsia="仿宋_GB2312"/>
          <w:color w:val="auto"/>
          <w:spacing w:val="0"/>
          <w:sz w:val="32"/>
          <w:szCs w:val="32"/>
          <w:highlight w:val="none"/>
          <w:lang w:eastAsia="zh-CN"/>
        </w:rPr>
        <w:t>，主要原因是：</w:t>
      </w:r>
      <w:r>
        <w:rPr>
          <w:rFonts w:hint="eastAsia" w:ascii="仿宋_GB2312" w:eastAsia="仿宋_GB2312"/>
          <w:color w:val="auto"/>
          <w:spacing w:val="0"/>
          <w:sz w:val="32"/>
          <w:szCs w:val="32"/>
          <w:highlight w:val="none"/>
          <w:shd w:val="clear"/>
          <w:lang w:eastAsia="zh-CN"/>
        </w:rPr>
        <w:t>2023年追加新增人员工资、</w:t>
      </w:r>
      <w:r>
        <w:rPr>
          <w:rFonts w:hint="eastAsia" w:ascii="仿宋" w:hAnsi="仿宋" w:eastAsia="仿宋" w:cs="仿宋"/>
          <w:sz w:val="32"/>
          <w:szCs w:val="32"/>
          <w:shd w:val="clear"/>
        </w:rPr>
        <w:t>基础绩效奖</w:t>
      </w:r>
      <w:r>
        <w:rPr>
          <w:rFonts w:hint="eastAsia" w:ascii="仿宋" w:hAnsi="仿宋" w:eastAsia="仿宋" w:cs="仿宋"/>
          <w:sz w:val="32"/>
          <w:szCs w:val="32"/>
          <w:shd w:val="clear"/>
          <w:lang w:eastAsia="zh-CN"/>
        </w:rPr>
        <w:t>、</w:t>
      </w:r>
      <w:r>
        <w:rPr>
          <w:rFonts w:hint="eastAsia" w:ascii="仿宋" w:hAnsi="仿宋" w:eastAsia="仿宋" w:cs="仿宋"/>
          <w:sz w:val="32"/>
          <w:szCs w:val="32"/>
          <w:shd w:val="clear"/>
        </w:rPr>
        <w:t>年度考核奖</w:t>
      </w:r>
      <w:r>
        <w:rPr>
          <w:rFonts w:hint="eastAsia" w:ascii="仿宋_GB2312" w:eastAsia="仿宋_GB2312"/>
          <w:color w:val="auto"/>
          <w:spacing w:val="0"/>
          <w:sz w:val="32"/>
          <w:szCs w:val="32"/>
          <w:highlight w:val="none"/>
          <w:shd w:val="clear"/>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一般公共预算</w:t>
      </w:r>
      <w:r>
        <w:rPr>
          <w:rFonts w:hint="eastAsia" w:ascii="黑体" w:hAnsi="黑体" w:eastAsia="黑体"/>
          <w:color w:val="auto"/>
          <w:sz w:val="32"/>
          <w:szCs w:val="32"/>
          <w:highlight w:val="none"/>
          <w:lang w:val="en-US" w:eastAsia="zh-CN"/>
        </w:rPr>
        <w:t>财政拨款支出决算</w:t>
      </w:r>
      <w:r>
        <w:rPr>
          <w:rFonts w:hint="eastAsia" w:ascii="黑体" w:hAnsi="黑体" w:eastAsia="黑体"/>
          <w:color w:val="auto"/>
          <w:sz w:val="32"/>
          <w:szCs w:val="32"/>
          <w:highlight w:val="none"/>
          <w:lang w:eastAsia="zh-CN"/>
        </w:rPr>
        <w:t>结构情况</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1</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社会保障和就业支出（类）</w:t>
      </w:r>
      <w:r>
        <w:rPr>
          <w:rFonts w:hint="eastAsia" w:ascii="仿宋_GB2312" w:hAnsi="Times New Roman" w:eastAsia="仿宋_GB2312" w:cs="Times New Roman"/>
          <w:color w:val="auto"/>
          <w:spacing w:val="0"/>
          <w:kern w:val="2"/>
          <w:sz w:val="32"/>
          <w:szCs w:val="32"/>
          <w:highlight w:val="none"/>
          <w:lang w:val="zh-CN" w:eastAsia="zh-CN" w:bidi="ar-SA"/>
        </w:rPr>
        <w:t>507.92</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92.01</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2</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卫生健康支出（类）</w:t>
      </w:r>
      <w:r>
        <w:rPr>
          <w:rFonts w:hint="eastAsia" w:ascii="仿宋_GB2312" w:hAnsi="Times New Roman" w:eastAsia="仿宋_GB2312" w:cs="Times New Roman"/>
          <w:color w:val="auto"/>
          <w:spacing w:val="0"/>
          <w:kern w:val="2"/>
          <w:sz w:val="32"/>
          <w:szCs w:val="32"/>
          <w:highlight w:val="none"/>
          <w:lang w:val="zh-CN" w:eastAsia="zh-CN" w:bidi="ar-SA"/>
        </w:rPr>
        <w:t>24.15</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4.37</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3</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住房保障支出（类）</w:t>
      </w:r>
      <w:r>
        <w:rPr>
          <w:rFonts w:hint="eastAsia" w:ascii="仿宋_GB2312" w:hAnsi="Times New Roman" w:eastAsia="仿宋_GB2312" w:cs="Times New Roman"/>
          <w:color w:val="auto"/>
          <w:spacing w:val="0"/>
          <w:kern w:val="2"/>
          <w:sz w:val="32"/>
          <w:szCs w:val="32"/>
          <w:highlight w:val="none"/>
          <w:lang w:val="zh-CN" w:eastAsia="zh-CN" w:bidi="ar-SA"/>
        </w:rPr>
        <w:t>19.99</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3.62</w:t>
      </w:r>
      <w:r>
        <w:rPr>
          <w:rFonts w:hint="default" w:ascii="仿宋_GB2312" w:hAnsi="Times New Roman"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（三）一般公共预算财政拨款支出决算具体情况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eastAsia="仿宋_GB2312"/>
          <w:color w:val="auto"/>
          <w:spacing w:val="0"/>
          <w:sz w:val="32"/>
          <w:szCs w:val="32"/>
          <w:highlight w:val="none"/>
          <w:shd w:val="clear"/>
          <w:lang w:eastAsia="zh-CN"/>
        </w:rPr>
      </w:pPr>
      <w:r>
        <w:rPr>
          <w:rFonts w:hint="eastAsia" w:ascii="Times New Roman" w:hAnsi="Times New Roman" w:eastAsia="仿宋_GB2312" w:cs="Times New Roman"/>
          <w:color w:val="auto"/>
          <w:kern w:val="2"/>
          <w:sz w:val="32"/>
          <w:szCs w:val="32"/>
          <w:highlight w:val="none"/>
          <w:lang w:val="en-US" w:eastAsia="zh-CN" w:bidi="ar-SA"/>
        </w:rPr>
        <w:t>1.社会保障和就业支出（类）残疾人事业（款）残疾人康复（项）:支出决算数为465.44</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51.12</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12.34%，主要原因是：</w:t>
      </w:r>
      <w:r>
        <w:rPr>
          <w:rFonts w:hint="eastAsia" w:ascii="仿宋_GB2312" w:eastAsia="仿宋_GB2312"/>
          <w:color w:val="auto"/>
          <w:spacing w:val="0"/>
          <w:sz w:val="32"/>
          <w:szCs w:val="32"/>
          <w:highlight w:val="none"/>
          <w:shd w:val="clear"/>
          <w:lang w:eastAsia="zh-CN"/>
        </w:rPr>
        <w:t>2023年追加了2名新增人员工资。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shd w:val="clear"/>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2.卫生健康支出（类）行政事业单位医疗（款）事业单位医疗（项）:支出决算数为12.49</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1.33</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shd w:val="clear"/>
          <w:lang w:val="en-US" w:eastAsia="zh-CN" w:bidi="ar-SA"/>
        </w:rPr>
        <w:t>11.</w:t>
      </w:r>
      <w:r>
        <w:rPr>
          <w:rFonts w:hint="eastAsia" w:eastAsia="仿宋_GB2312" w:cs="Times New Roman"/>
          <w:color w:val="auto"/>
          <w:kern w:val="2"/>
          <w:sz w:val="32"/>
          <w:szCs w:val="32"/>
          <w:highlight w:val="none"/>
          <w:shd w:val="clear"/>
          <w:lang w:val="en-US" w:eastAsia="zh-CN" w:bidi="ar-SA"/>
        </w:rPr>
        <w:t>92</w:t>
      </w:r>
      <w:r>
        <w:rPr>
          <w:rFonts w:hint="eastAsia" w:ascii="Times New Roman" w:hAnsi="Times New Roman" w:eastAsia="仿宋_GB2312" w:cs="Times New Roman"/>
          <w:color w:val="auto"/>
          <w:kern w:val="2"/>
          <w:sz w:val="32"/>
          <w:szCs w:val="32"/>
          <w:highlight w:val="none"/>
          <w:shd w:val="clear"/>
          <w:lang w:val="en-US" w:eastAsia="zh-CN" w:bidi="ar-SA"/>
        </w:rPr>
        <w:t>%</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eastAsia="仿宋_GB2312" w:cs="Times New Roman"/>
          <w:color w:val="auto"/>
          <w:kern w:val="2"/>
          <w:sz w:val="32"/>
          <w:szCs w:val="32"/>
          <w:highlight w:val="none"/>
          <w:shd w:val="clear"/>
          <w:lang w:val="en-US" w:eastAsia="zh-CN" w:bidi="ar-SA"/>
        </w:rPr>
        <w:t>在职人员</w:t>
      </w:r>
      <w:r>
        <w:rPr>
          <w:rFonts w:hint="eastAsia" w:ascii="Times New Roman" w:hAnsi="Times New Roman" w:eastAsia="仿宋_GB2312" w:cs="Times New Roman"/>
          <w:color w:val="auto"/>
          <w:kern w:val="2"/>
          <w:sz w:val="32"/>
          <w:szCs w:val="32"/>
          <w:highlight w:val="none"/>
          <w:shd w:val="clear"/>
          <w:lang w:val="en-US" w:eastAsia="zh-CN" w:bidi="ar-SA"/>
        </w:rPr>
        <w:t>事业单位医疗</w:t>
      </w:r>
      <w:r>
        <w:rPr>
          <w:rFonts w:hint="eastAsia" w:ascii="仿宋_GB2312" w:eastAsia="仿宋_GB2312"/>
          <w:sz w:val="32"/>
          <w:szCs w:val="32"/>
          <w:shd w:val="clear"/>
        </w:rPr>
        <w:t>保险缴费基数较上年调增。</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shd w:val="clear"/>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3.卫生健康支出（类）行政事业单位医疗（款）公务员医疗补助（项）:支出决算数为11.66</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2.9</w:t>
      </w:r>
      <w:r>
        <w:rPr>
          <w:rFonts w:hint="eastAsia" w:eastAsia="仿宋_GB2312" w:cs="Times New Roman"/>
          <w:color w:val="auto"/>
          <w:kern w:val="2"/>
          <w:sz w:val="32"/>
          <w:szCs w:val="32"/>
          <w:highlight w:val="none"/>
          <w:lang w:val="en-US" w:eastAsia="zh-CN" w:bidi="ar-SA"/>
        </w:rPr>
        <w:t>8万元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34.</w:t>
      </w:r>
      <w:r>
        <w:rPr>
          <w:rFonts w:hint="eastAsia" w:eastAsia="仿宋_GB2312" w:cs="Times New Roman"/>
          <w:color w:val="auto"/>
          <w:kern w:val="2"/>
          <w:sz w:val="32"/>
          <w:szCs w:val="32"/>
          <w:highlight w:val="none"/>
          <w:lang w:val="en-US" w:eastAsia="zh-CN" w:bidi="ar-SA"/>
        </w:rPr>
        <w:t>33</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eastAsia="仿宋_GB2312" w:cs="Times New Roman"/>
          <w:color w:val="auto"/>
          <w:kern w:val="2"/>
          <w:sz w:val="32"/>
          <w:szCs w:val="32"/>
          <w:highlight w:val="none"/>
          <w:shd w:val="clear"/>
          <w:lang w:val="en-US" w:eastAsia="zh-CN" w:bidi="ar-SA"/>
        </w:rPr>
        <w:t>在职人员</w:t>
      </w:r>
      <w:r>
        <w:rPr>
          <w:rFonts w:hint="eastAsia" w:ascii="仿宋_GB2312" w:eastAsia="仿宋_GB2312"/>
          <w:sz w:val="32"/>
          <w:szCs w:val="32"/>
          <w:shd w:val="clear"/>
        </w:rPr>
        <w:t>公务员医疗补助缴费基数较上年调增。</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4.住房保障支出（类）住房改革支出（款）住房公积金（项）:支出决算数为19.99</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4.48</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28.87%，主要原因是：</w:t>
      </w:r>
      <w:r>
        <w:rPr>
          <w:rFonts w:hint="eastAsia" w:eastAsia="仿宋_GB2312" w:cs="Times New Roman"/>
          <w:color w:val="auto"/>
          <w:kern w:val="2"/>
          <w:sz w:val="32"/>
          <w:szCs w:val="32"/>
          <w:highlight w:val="none"/>
          <w:shd w:val="clear"/>
          <w:lang w:val="en-US" w:eastAsia="zh-CN" w:bidi="ar-SA"/>
        </w:rPr>
        <w:t>在职人员住房</w:t>
      </w:r>
      <w:r>
        <w:rPr>
          <w:rFonts w:hint="eastAsia" w:ascii="仿宋_GB2312" w:eastAsia="仿宋_GB2312"/>
          <w:sz w:val="32"/>
          <w:szCs w:val="32"/>
          <w:shd w:val="clear"/>
        </w:rPr>
        <w:t>公积金缴费基数较上年调增。</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5.社会保障和就业支出（类）行政事业单位养老支出（款）事业单位离退休（项）:支出决算数为15.84</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9.61</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37.76%，主要原因是：</w:t>
      </w:r>
      <w:r>
        <w:rPr>
          <w:rFonts w:hint="eastAsia" w:eastAsia="仿宋_GB2312" w:cs="Times New Roman"/>
          <w:color w:val="auto"/>
          <w:kern w:val="2"/>
          <w:sz w:val="32"/>
          <w:szCs w:val="32"/>
          <w:highlight w:val="none"/>
          <w:lang w:val="en-US" w:eastAsia="zh-CN" w:bidi="ar-SA"/>
        </w:rPr>
        <w:t>2023年事业单位离退休（项）中其他对个人和家庭的补助、医疗费的功能科目</w:t>
      </w:r>
      <w:r>
        <w:rPr>
          <w:rFonts w:hint="eastAsia" w:eastAsia="仿宋_GB2312" w:cs="Times New Roman"/>
          <w:color w:val="auto"/>
          <w:kern w:val="2"/>
          <w:sz w:val="32"/>
          <w:szCs w:val="32"/>
          <w:highlight w:val="none"/>
          <w:shd w:val="clear"/>
          <w:lang w:val="en-US" w:eastAsia="zh-CN" w:bidi="ar-SA"/>
        </w:rPr>
        <w:t>调入残疾人康复（项）</w:t>
      </w:r>
      <w:r>
        <w:rPr>
          <w:rFonts w:hint="eastAsia" w:eastAsia="仿宋_GB2312" w:cs="Times New Roman"/>
          <w:color w:val="auto"/>
          <w:kern w:val="2"/>
          <w:sz w:val="32"/>
          <w:szCs w:val="32"/>
          <w:highlight w:val="none"/>
          <w:shd w:val="clear"/>
          <w:lang w:val="zh-CN" w:eastAsia="zh-CN" w:bidi="ar-SA"/>
        </w:rPr>
        <w:t>。</w:t>
      </w:r>
    </w:p>
    <w:p>
      <w:pPr>
        <w:ind w:firstLine="640" w:firstLineChars="200"/>
        <w:outlineLvl w:val="1"/>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6.社会保障和就业支出（类）行政事业单位养老支出（款）机关事业单位基本养老保险缴费支出（项）:支出决算数为26.65</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5.97</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28.87%，主要原因是：</w:t>
      </w:r>
      <w:r>
        <w:rPr>
          <w:rFonts w:hint="eastAsia" w:eastAsia="仿宋_GB2312" w:cs="Times New Roman"/>
          <w:color w:val="auto"/>
          <w:kern w:val="2"/>
          <w:sz w:val="32"/>
          <w:szCs w:val="32"/>
          <w:highlight w:val="none"/>
          <w:shd w:val="clear"/>
          <w:lang w:val="en-US" w:eastAsia="zh-CN" w:bidi="ar-SA"/>
        </w:rPr>
        <w:t>在职人员</w:t>
      </w:r>
      <w:r>
        <w:rPr>
          <w:rFonts w:hint="eastAsia" w:ascii="仿宋_GB2312" w:eastAsia="仿宋_GB2312"/>
          <w:sz w:val="32"/>
          <w:szCs w:val="32"/>
          <w:shd w:val="clear"/>
        </w:rPr>
        <w:t>机关事业单位基本养老保险缴费基数较上年调增。</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z w:val="32"/>
          <w:szCs w:val="32"/>
          <w:highlight w:val="none"/>
        </w:rPr>
        <w:t>一般公共预算财政拨款基本支出</w:t>
      </w:r>
      <w:r>
        <w:rPr>
          <w:rFonts w:hint="eastAsia" w:ascii="仿宋_GB2312" w:eastAsia="仿宋_GB2312"/>
          <w:color w:val="auto"/>
          <w:sz w:val="32"/>
          <w:szCs w:val="32"/>
          <w:highlight w:val="none"/>
          <w:lang w:eastAsia="zh-CN"/>
        </w:rPr>
        <w:t>346.47</w:t>
      </w:r>
      <w:r>
        <w:rPr>
          <w:rFonts w:hint="eastAsia" w:ascii="仿宋_GB2312" w:eastAsia="仿宋_GB2312"/>
          <w:color w:val="auto"/>
          <w:sz w:val="32"/>
          <w:szCs w:val="32"/>
          <w:highlight w:val="none"/>
        </w:rPr>
        <w:t>万元，其中：人员经费</w:t>
      </w:r>
      <w:r>
        <w:rPr>
          <w:rFonts w:hint="eastAsia" w:ascii="仿宋_GB2312" w:eastAsia="仿宋_GB2312"/>
          <w:color w:val="auto"/>
          <w:sz w:val="32"/>
          <w:szCs w:val="32"/>
          <w:highlight w:val="none"/>
          <w:lang w:eastAsia="zh-CN"/>
        </w:rPr>
        <w:t>320.21</w:t>
      </w:r>
      <w:r>
        <w:rPr>
          <w:rFonts w:hint="eastAsia" w:ascii="仿宋_GB2312" w:eastAsia="仿宋_GB2312"/>
          <w:color w:val="auto"/>
          <w:sz w:val="32"/>
          <w:szCs w:val="32"/>
          <w:highlight w:val="none"/>
        </w:rPr>
        <w:t>万元，包括：</w:t>
      </w:r>
      <w:r>
        <w:rPr>
          <w:rFonts w:hint="eastAsia" w:ascii="仿宋_GB2312" w:eastAsia="仿宋_GB2312"/>
          <w:color w:val="auto"/>
          <w:sz w:val="32"/>
          <w:szCs w:val="32"/>
          <w:highlight w:val="none"/>
          <w:lang w:val="en-US" w:eastAsia="zh-CN"/>
        </w:rPr>
        <w:t>基本工资、津贴补贴、奖金、绩效工资、机关事业单位基本养老保险缴费、职工基本医疗保险缴费、公务员医疗补助缴费、其他社会保障缴费、住房公积金、其他工资福利支出、退休费、其他对个人和家庭的补助。</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default" w:ascii="仿宋_GB2312" w:eastAsia="仿宋_GB2312"/>
          <w:color w:val="auto"/>
          <w:sz w:val="32"/>
          <w:szCs w:val="32"/>
          <w:highlight w:val="red"/>
          <w:lang w:val="en-US" w:eastAsia="zh-CN"/>
        </w:rPr>
      </w:pPr>
      <w:r>
        <w:rPr>
          <w:rFonts w:hint="eastAsia" w:ascii="仿宋_GB2312" w:eastAsia="仿宋_GB2312"/>
          <w:color w:val="auto"/>
          <w:sz w:val="32"/>
          <w:szCs w:val="32"/>
          <w:highlight w:val="none"/>
        </w:rPr>
        <w:t>公用经费</w:t>
      </w:r>
      <w:r>
        <w:rPr>
          <w:rFonts w:hint="eastAsia" w:ascii="仿宋_GB2312" w:eastAsia="仿宋_GB2312"/>
          <w:color w:val="auto"/>
          <w:sz w:val="32"/>
          <w:szCs w:val="32"/>
          <w:highlight w:val="none"/>
          <w:lang w:eastAsia="zh-CN"/>
        </w:rPr>
        <w:t>26.26</w:t>
      </w:r>
      <w:r>
        <w:rPr>
          <w:rFonts w:hint="eastAsia" w:ascii="仿宋_GB2312" w:eastAsia="仿宋_GB2312"/>
          <w:color w:val="auto"/>
          <w:sz w:val="32"/>
          <w:szCs w:val="32"/>
          <w:highlight w:val="none"/>
        </w:rPr>
        <w:t>万元，包括：</w:t>
      </w:r>
      <w:r>
        <w:rPr>
          <w:rFonts w:hint="eastAsia" w:ascii="仿宋_GB2312" w:eastAsia="仿宋_GB2312"/>
          <w:color w:val="auto"/>
          <w:sz w:val="32"/>
          <w:szCs w:val="32"/>
          <w:highlight w:val="none"/>
          <w:lang w:val="en-US" w:eastAsia="zh-CN"/>
        </w:rPr>
        <w:t>办公费、水费、电费、邮电费、取暖费、差旅费、工会经费、福利费、公务用车运行维护费、其他交通费用、其他商品和服务支出。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2023年度</w:t>
      </w:r>
      <w:r>
        <w:rPr>
          <w:rFonts w:hint="eastAsia" w:ascii="仿宋_GB2312" w:eastAsia="仿宋_GB2312"/>
          <w:color w:val="auto"/>
          <w:sz w:val="32"/>
          <w:szCs w:val="32"/>
          <w:highlight w:val="none"/>
          <w:lang w:val="en-US" w:eastAsia="zh-CN"/>
        </w:rPr>
        <w:t>财政拨款</w:t>
      </w:r>
      <w:r>
        <w:rPr>
          <w:rFonts w:hint="eastAsia" w:ascii="仿宋_GB2312" w:eastAsia="仿宋_GB2312"/>
          <w:color w:val="auto"/>
          <w:sz w:val="32"/>
          <w:szCs w:val="32"/>
          <w:highlight w:val="none"/>
          <w:lang w:val="zh-CN" w:eastAsia="zh-CN"/>
        </w:rPr>
        <w:t>“三公”经费支出1.90万元，</w:t>
      </w:r>
      <w:r>
        <w:rPr>
          <w:rFonts w:hint="eastAsia" w:ascii="仿宋_GB2312" w:eastAsia="仿宋_GB2312"/>
          <w:color w:val="auto"/>
          <w:sz w:val="32"/>
          <w:szCs w:val="32"/>
          <w:highlight w:val="none"/>
          <w:lang w:val="en-US" w:eastAsia="zh-CN"/>
        </w:rPr>
        <w:t>比上年</w:t>
      </w:r>
      <w:r>
        <w:rPr>
          <w:rFonts w:hint="eastAsia" w:ascii="仿宋_GB2312" w:eastAsia="仿宋_GB2312"/>
          <w:color w:val="auto"/>
          <w:sz w:val="32"/>
          <w:szCs w:val="32"/>
          <w:highlight w:val="none"/>
          <w:lang w:val="zh-CN" w:eastAsia="zh-CN"/>
        </w:rPr>
        <w:t>增加0.00万元，增长0.00%，主要原因是：</w:t>
      </w:r>
      <w:r>
        <w:rPr>
          <w:rFonts w:ascii="仿宋_GB2312" w:eastAsia="仿宋_GB2312"/>
          <w:sz w:val="32"/>
          <w:szCs w:val="32"/>
        </w:rPr>
        <w:t>三公经费严格执行厉行节约要求，与上年无变化</w:t>
      </w:r>
      <w:r>
        <w:rPr>
          <w:rFonts w:hint="eastAsia" w:ascii="仿宋_GB2312" w:eastAsia="仿宋_GB2312"/>
          <w:sz w:val="32"/>
          <w:szCs w:val="32"/>
        </w:rPr>
        <w:t>。</w:t>
      </w:r>
      <w:r>
        <w:rPr>
          <w:rFonts w:hint="eastAsia" w:ascii="仿宋_GB2312" w:eastAsia="仿宋_GB2312"/>
          <w:color w:val="auto"/>
          <w:sz w:val="32"/>
          <w:szCs w:val="32"/>
          <w:highlight w:val="none"/>
          <w:lang w:val="zh-CN" w:eastAsia="zh-CN"/>
        </w:rPr>
        <w:t>其中：因公出国（境）费支出0.00万元，占0.00%，比上年增加0.00万元，增长0.00%，主要原因是：</w:t>
      </w:r>
      <w:r>
        <w:rPr>
          <w:rFonts w:ascii="仿宋_GB2312" w:eastAsia="仿宋_GB2312"/>
          <w:sz w:val="32"/>
          <w:szCs w:val="32"/>
        </w:rPr>
        <w:t>我单位无因公出国（境）费</w:t>
      </w:r>
      <w:r>
        <w:rPr>
          <w:rFonts w:hint="eastAsia" w:ascii="仿宋_GB2312" w:eastAsia="仿宋_GB2312"/>
          <w:color w:val="auto"/>
          <w:sz w:val="32"/>
          <w:szCs w:val="32"/>
          <w:highlight w:val="none"/>
          <w:lang w:val="zh-CN" w:eastAsia="zh-CN"/>
        </w:rPr>
        <w:t>；公务用车购置及运行维护费支出1.90万元，占100.00%，比上年增加0.00万元，增长0.00%，主要原因是：</w:t>
      </w:r>
      <w:r>
        <w:rPr>
          <w:rFonts w:ascii="仿宋_GB2312" w:eastAsia="仿宋_GB2312"/>
          <w:sz w:val="32"/>
          <w:szCs w:val="32"/>
        </w:rPr>
        <w:t>三公经费严格执行厉行节约要求，与上年无变化</w:t>
      </w:r>
      <w:r>
        <w:rPr>
          <w:rFonts w:hint="eastAsia" w:ascii="仿宋_GB2312" w:eastAsia="仿宋_GB2312"/>
          <w:color w:val="auto"/>
          <w:sz w:val="32"/>
          <w:szCs w:val="32"/>
          <w:highlight w:val="none"/>
          <w:lang w:val="zh-CN" w:eastAsia="zh-CN"/>
        </w:rPr>
        <w:t>；公务接待费支出0.00万元，占0.00%，比上年增加0.00万元，增长0.00%，主要原因是：</w:t>
      </w:r>
      <w:r>
        <w:rPr>
          <w:rFonts w:ascii="仿宋_GB2312" w:eastAsia="仿宋_GB2312"/>
          <w:sz w:val="32"/>
          <w:szCs w:val="32"/>
        </w:rPr>
        <w:t>我单位无公务接待费</w:t>
      </w:r>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具体情况如下：</w:t>
      </w:r>
    </w:p>
    <w:p>
      <w:pPr>
        <w:ind w:firstLine="640" w:firstLineChars="200"/>
        <w:rPr>
          <w:rFonts w:ascii="仿宋_GB2312" w:eastAsia="仿宋_GB2312"/>
          <w:sz w:val="32"/>
          <w:szCs w:val="32"/>
        </w:rPr>
      </w:pPr>
      <w:r>
        <w:rPr>
          <w:rFonts w:hint="eastAsia" w:ascii="仿宋_GB2312" w:eastAsia="仿宋_GB2312"/>
          <w:sz w:val="32"/>
          <w:szCs w:val="32"/>
        </w:rPr>
        <w:t>因公出国（境）费支出</w:t>
      </w:r>
      <w:r>
        <w:rPr>
          <w:rFonts w:ascii="仿宋_GB2312" w:eastAsia="仿宋_GB2312"/>
          <w:sz w:val="32"/>
          <w:szCs w:val="32"/>
        </w:rPr>
        <w:t>0.00</w:t>
      </w:r>
      <w:r>
        <w:rPr>
          <w:rFonts w:hint="eastAsia" w:ascii="仿宋_GB2312" w:eastAsia="仿宋_GB2312"/>
          <w:sz w:val="32"/>
          <w:szCs w:val="32"/>
        </w:rPr>
        <w:t>万元，开支内容包括我单位无因公出国（境）费。单位全年安排的因公出国（境）团组</w:t>
      </w:r>
      <w:r>
        <w:rPr>
          <w:rFonts w:ascii="仿宋_GB2312" w:eastAsia="仿宋_GB2312"/>
          <w:sz w:val="32"/>
          <w:szCs w:val="32"/>
        </w:rPr>
        <w:t>0</w:t>
      </w:r>
      <w:r>
        <w:rPr>
          <w:rFonts w:hint="eastAsia" w:ascii="仿宋_GB2312" w:eastAsia="仿宋_GB2312"/>
          <w:sz w:val="32"/>
          <w:szCs w:val="32"/>
        </w:rPr>
        <w:t>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lang w:val="en-US" w:eastAsia="zh-CN"/>
        </w:rPr>
      </w:pPr>
      <w:r>
        <w:rPr>
          <w:rFonts w:hint="eastAsia" w:ascii="仿宋_GB2312" w:eastAsia="仿宋_GB2312"/>
          <w:sz w:val="32"/>
          <w:szCs w:val="32"/>
        </w:rPr>
        <w:t>公务用车购置及运行维护费</w:t>
      </w:r>
      <w:r>
        <w:rPr>
          <w:rFonts w:ascii="仿宋_GB2312" w:eastAsia="仿宋_GB2312"/>
          <w:sz w:val="32"/>
          <w:szCs w:val="32"/>
        </w:rPr>
        <w:t>1.90</w:t>
      </w:r>
      <w:r>
        <w:rPr>
          <w:rFonts w:hint="eastAsia" w:ascii="仿宋_GB2312" w:eastAsia="仿宋_GB2312"/>
          <w:sz w:val="32"/>
          <w:szCs w:val="32"/>
        </w:rPr>
        <w:t>万元，其中：公务用车购置费</w:t>
      </w:r>
      <w:r>
        <w:rPr>
          <w:rFonts w:ascii="仿宋_GB2312" w:eastAsia="仿宋_GB2312"/>
          <w:sz w:val="32"/>
          <w:szCs w:val="32"/>
        </w:rPr>
        <w:t>0.00</w:t>
      </w:r>
      <w:r>
        <w:rPr>
          <w:rFonts w:hint="eastAsia" w:ascii="仿宋_GB2312" w:eastAsia="仿宋_GB2312"/>
          <w:sz w:val="32"/>
          <w:szCs w:val="32"/>
        </w:rPr>
        <w:t>万元，公务用车运行维护费</w:t>
      </w:r>
      <w:r>
        <w:rPr>
          <w:rFonts w:ascii="仿宋_GB2312" w:eastAsia="仿宋_GB2312"/>
          <w:sz w:val="32"/>
          <w:szCs w:val="32"/>
        </w:rPr>
        <w:t>1.90</w:t>
      </w:r>
      <w:r>
        <w:rPr>
          <w:rFonts w:hint="eastAsia" w:ascii="仿宋_GB2312" w:eastAsia="仿宋_GB2312"/>
          <w:sz w:val="32"/>
          <w:szCs w:val="32"/>
        </w:rPr>
        <w:t>万元。公务用车运行维护费开支内容包括3辆公务用车车辆保险1.08万元、车辆年审0.15万元、车辆加油0.6万元、车辆停车费0.07万元。公务用车购置数0辆，公务用车保有量3辆。</w:t>
      </w:r>
      <w:r>
        <w:rPr>
          <w:rFonts w:hint="eastAsia" w:ascii="仿宋_GB2312" w:eastAsia="仿宋_GB2312"/>
          <w:sz w:val="32"/>
          <w:szCs w:val="32"/>
          <w:highlight w:val="none"/>
        </w:rPr>
        <w:t>国有资产占用情况</w:t>
      </w:r>
      <w:r>
        <w:rPr>
          <w:rFonts w:hint="eastAsia" w:ascii="仿宋_GB2312" w:eastAsia="仿宋_GB2312"/>
          <w:sz w:val="32"/>
          <w:szCs w:val="32"/>
          <w:highlight w:val="none"/>
          <w:lang w:val="en-US" w:eastAsia="zh-CN"/>
        </w:rPr>
        <w:t>中固定资产车辆3</w:t>
      </w:r>
      <w:r>
        <w:rPr>
          <w:rFonts w:hint="eastAsia" w:ascii="仿宋_GB2312" w:eastAsia="仿宋_GB2312"/>
          <w:sz w:val="32"/>
          <w:szCs w:val="32"/>
          <w:highlight w:val="none"/>
        </w:rPr>
        <w:t>辆</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与</w:t>
      </w:r>
      <w:r>
        <w:rPr>
          <w:rFonts w:hint="eastAsia" w:ascii="仿宋_GB2312" w:eastAsia="仿宋_GB2312"/>
          <w:sz w:val="32"/>
          <w:szCs w:val="32"/>
          <w:highlight w:val="none"/>
        </w:rPr>
        <w:t>公务用车</w:t>
      </w:r>
      <w:r>
        <w:rPr>
          <w:rFonts w:hint="eastAsia" w:ascii="仿宋_GB2312" w:eastAsia="仿宋_GB2312"/>
          <w:sz w:val="32"/>
          <w:szCs w:val="32"/>
          <w:highlight w:val="none"/>
          <w:lang w:val="en-US" w:eastAsia="zh-CN"/>
        </w:rPr>
        <w:t>保有量差异</w:t>
      </w:r>
      <w:r>
        <w:rPr>
          <w:rFonts w:hint="eastAsia" w:ascii="仿宋_GB2312" w:eastAsia="仿宋_GB2312"/>
          <w:sz w:val="32"/>
          <w:szCs w:val="32"/>
          <w:highlight w:val="none"/>
          <w:lang w:eastAsia="zh-CN"/>
        </w:rPr>
        <w:t>原因是</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无差异</w:t>
      </w:r>
      <w:r>
        <w:rPr>
          <w:rFonts w:hint="eastAsia" w:ascii="仿宋_GB2312" w:eastAsia="仿宋_GB2312"/>
          <w:sz w:val="32"/>
          <w:szCs w:val="32"/>
          <w:highlight w:val="none"/>
        </w:rPr>
        <w:t>。</w:t>
      </w:r>
    </w:p>
    <w:p>
      <w:pPr>
        <w:ind w:firstLine="640" w:firstLineChars="200"/>
        <w:rPr>
          <w:rFonts w:ascii="仿宋_GB2312" w:eastAsia="仿宋_GB2312"/>
          <w:sz w:val="32"/>
          <w:szCs w:val="32"/>
        </w:rPr>
      </w:pPr>
      <w:r>
        <w:rPr>
          <w:rFonts w:hint="eastAsia" w:ascii="仿宋_GB2312" w:eastAsia="仿宋_GB2312"/>
          <w:sz w:val="32"/>
          <w:szCs w:val="32"/>
        </w:rPr>
        <w:t>公务接待费</w:t>
      </w:r>
      <w:r>
        <w:rPr>
          <w:rFonts w:ascii="仿宋_GB2312" w:eastAsia="仿宋_GB2312"/>
          <w:sz w:val="32"/>
          <w:szCs w:val="32"/>
        </w:rPr>
        <w:t>0.00</w:t>
      </w:r>
      <w:r>
        <w:rPr>
          <w:rFonts w:hint="eastAsia" w:ascii="仿宋_GB2312" w:eastAsia="仿宋_GB2312"/>
          <w:sz w:val="32"/>
          <w:szCs w:val="32"/>
        </w:rPr>
        <w:t>万元，开支内容包括我单位无公务接待费。单位全年安排的国内公务接待</w:t>
      </w:r>
      <w:r>
        <w:rPr>
          <w:rFonts w:ascii="仿宋_GB2312" w:eastAsia="仿宋_GB2312"/>
          <w:sz w:val="32"/>
          <w:szCs w:val="32"/>
        </w:rPr>
        <w:t>0</w:t>
      </w:r>
      <w:r>
        <w:rPr>
          <w:rFonts w:hint="eastAsia" w:ascii="仿宋_GB2312" w:eastAsia="仿宋_GB2312"/>
          <w:sz w:val="32"/>
          <w:szCs w:val="32"/>
        </w:rPr>
        <w:t>批次，</w:t>
      </w:r>
      <w:r>
        <w:rPr>
          <w:rFonts w:ascii="仿宋_GB2312" w:eastAsia="仿宋_GB2312"/>
          <w:sz w:val="32"/>
          <w:szCs w:val="32"/>
        </w:rPr>
        <w:t>0</w:t>
      </w:r>
      <w:r>
        <w:rPr>
          <w:rFonts w:hint="eastAsia" w:ascii="仿宋_GB2312" w:eastAsia="仿宋_GB2312"/>
          <w:sz w:val="32"/>
          <w:szCs w:val="32"/>
        </w:rPr>
        <w:t>人次。</w:t>
      </w:r>
    </w:p>
    <w:p>
      <w:pPr>
        <w:ind w:firstLine="640" w:firstLineChars="200"/>
        <w:rPr>
          <w:rFonts w:ascii="仿宋_GB2312" w:eastAsia="仿宋_GB2312"/>
          <w:sz w:val="32"/>
          <w:szCs w:val="32"/>
        </w:rPr>
      </w:pPr>
      <w:bookmarkStart w:id="18" w:name="_Toc5810"/>
      <w:bookmarkStart w:id="19" w:name="_Toc7927"/>
      <w:r>
        <w:rPr>
          <w:rFonts w:hint="eastAsia" w:ascii="仿宋_GB2312" w:eastAsia="仿宋_GB2312"/>
          <w:sz w:val="32"/>
          <w:szCs w:val="32"/>
        </w:rPr>
        <w:t>与全年预算数相比情况：“三公”经费支出全年预算数1.90万元，决算数</w:t>
      </w:r>
      <w:r>
        <w:rPr>
          <w:rFonts w:ascii="仿宋_GB2312" w:eastAsia="仿宋_GB2312"/>
          <w:sz w:val="32"/>
          <w:szCs w:val="32"/>
        </w:rPr>
        <w:t>1.90</w:t>
      </w:r>
      <w:r>
        <w:rPr>
          <w:rFonts w:hint="eastAsia" w:ascii="仿宋_GB2312" w:eastAsia="仿宋_GB2312"/>
          <w:sz w:val="32"/>
          <w:szCs w:val="32"/>
        </w:rPr>
        <w:t>万元，预决算差异率0.00%，主要原因是：三公经费严格执行厉行节约要求，</w:t>
      </w:r>
      <w:r>
        <w:rPr>
          <w:rFonts w:hint="eastAsia" w:ascii="仿宋_GB2312" w:eastAsia="仿宋_GB2312"/>
          <w:sz w:val="32"/>
          <w:szCs w:val="32"/>
          <w:lang w:eastAsia="zh-CN"/>
        </w:rPr>
        <w:t>严格按照预算执行</w:t>
      </w:r>
      <w:r>
        <w:rPr>
          <w:rFonts w:hint="eastAsia" w:ascii="仿宋_GB2312" w:eastAsia="仿宋_GB2312"/>
          <w:sz w:val="32"/>
          <w:szCs w:val="32"/>
        </w:rPr>
        <w:t>。</w:t>
      </w:r>
      <w:r>
        <w:rPr>
          <w:rFonts w:hint="eastAsia" w:ascii="仿宋_GB2312" w:hAnsi="宋体" w:eastAsia="仿宋_GB2312" w:cs="宋体"/>
          <w:kern w:val="0"/>
          <w:sz w:val="32"/>
          <w:szCs w:val="32"/>
        </w:rPr>
        <w:t>其中：因公出国（境）费全年预算数</w:t>
      </w:r>
      <w:r>
        <w:rPr>
          <w:rFonts w:hint="eastAsia" w:ascii="仿宋_GB2312" w:eastAsia="仿宋_GB2312"/>
          <w:sz w:val="32"/>
          <w:szCs w:val="32"/>
        </w:rPr>
        <w:t>0.00万元，决算数0.00万元，预决算差异率0.00%，主要原因是：我单位无因公出国（境）费；</w:t>
      </w:r>
      <w:r>
        <w:rPr>
          <w:rFonts w:hint="eastAsia" w:ascii="仿宋_GB2312" w:hAnsi="宋体" w:eastAsia="仿宋_GB2312" w:cs="宋体"/>
          <w:kern w:val="0"/>
          <w:sz w:val="32"/>
          <w:szCs w:val="32"/>
        </w:rPr>
        <w:t>公务用车购置</w:t>
      </w:r>
      <w:r>
        <w:rPr>
          <w:rFonts w:hint="eastAsia" w:ascii="仿宋_GB2312" w:eastAsia="仿宋_GB2312"/>
          <w:sz w:val="32"/>
          <w:szCs w:val="32"/>
        </w:rPr>
        <w:t>费全年预算数0.00万元，决算数0.00万元，预决算差异率0.00%，主要原因是：我单位无公务用</w:t>
      </w:r>
      <w:bookmarkStart w:id="48" w:name="_GoBack"/>
      <w:r>
        <w:rPr>
          <w:rFonts w:hint="eastAsia" w:ascii="仿宋_GB2312" w:eastAsia="仿宋_GB2312"/>
          <w:sz w:val="32"/>
          <w:szCs w:val="32"/>
        </w:rPr>
        <w:t>车</w:t>
      </w:r>
      <w:bookmarkEnd w:id="48"/>
      <w:r>
        <w:rPr>
          <w:rFonts w:hint="eastAsia" w:ascii="仿宋_GB2312" w:eastAsia="仿宋_GB2312"/>
          <w:sz w:val="32"/>
          <w:szCs w:val="32"/>
        </w:rPr>
        <w:t>购置费；</w:t>
      </w:r>
      <w:r>
        <w:rPr>
          <w:rFonts w:hint="eastAsia" w:ascii="仿宋_GB2312" w:hAnsi="宋体" w:eastAsia="仿宋_GB2312" w:cs="宋体"/>
          <w:kern w:val="0"/>
          <w:sz w:val="32"/>
          <w:szCs w:val="32"/>
        </w:rPr>
        <w:t>公务用车运行费全年</w:t>
      </w:r>
      <w:r>
        <w:rPr>
          <w:rFonts w:hint="eastAsia" w:ascii="仿宋_GB2312" w:eastAsia="仿宋_GB2312"/>
          <w:sz w:val="32"/>
          <w:szCs w:val="32"/>
        </w:rPr>
        <w:t>预算数1.90万元，决算数1.90万元，预决算差异率0.00%，主要原因是：三公经费严格执行厉行节约要求，严格按照预算执行；</w:t>
      </w:r>
      <w:r>
        <w:rPr>
          <w:rFonts w:hint="eastAsia" w:ascii="仿宋_GB2312" w:hAnsi="宋体" w:eastAsia="仿宋_GB2312" w:cs="宋体"/>
          <w:kern w:val="0"/>
          <w:sz w:val="32"/>
          <w:szCs w:val="32"/>
        </w:rPr>
        <w:t>公务接待费全年</w:t>
      </w:r>
      <w:r>
        <w:rPr>
          <w:rFonts w:hint="eastAsia" w:ascii="仿宋_GB2312" w:eastAsia="仿宋_GB2312"/>
          <w:sz w:val="32"/>
          <w:szCs w:val="32"/>
        </w:rPr>
        <w:t>预算数</w:t>
      </w:r>
      <w:r>
        <w:rPr>
          <w:rFonts w:ascii="仿宋_GB2312" w:eastAsia="仿宋_GB2312"/>
          <w:sz w:val="32"/>
          <w:szCs w:val="32"/>
        </w:rPr>
        <w:t>0.00</w:t>
      </w:r>
      <w:r>
        <w:rPr>
          <w:rFonts w:hint="eastAsia" w:ascii="仿宋_GB2312" w:eastAsia="仿宋_GB2312"/>
          <w:sz w:val="32"/>
          <w:szCs w:val="32"/>
        </w:rPr>
        <w:t>万元，决算数</w:t>
      </w:r>
      <w:r>
        <w:rPr>
          <w:rFonts w:ascii="仿宋_GB2312" w:eastAsia="仿宋_GB2312"/>
          <w:sz w:val="32"/>
          <w:szCs w:val="32"/>
        </w:rPr>
        <w:t>0.00</w:t>
      </w:r>
      <w:r>
        <w:rPr>
          <w:rFonts w:hint="eastAsia" w:ascii="仿宋_GB2312" w:eastAsia="仿宋_GB2312"/>
          <w:sz w:val="32"/>
          <w:szCs w:val="32"/>
        </w:rPr>
        <w:t>万元，预决算差异率0.00%，主要原因是：我单位无公务接待费。</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八</w:t>
      </w:r>
      <w:r>
        <w:rPr>
          <w:rFonts w:hint="eastAsia" w:ascii="黑体" w:hAnsi="黑体" w:eastAsia="黑体" w:cs="宋体"/>
          <w:bCs/>
          <w:color w:val="auto"/>
          <w:kern w:val="0"/>
          <w:sz w:val="32"/>
          <w:szCs w:val="32"/>
          <w:highlight w:val="none"/>
          <w:lang w:eastAsia="zh-CN"/>
        </w:rPr>
        <w:t>、政府性基金预算财政拨款收入支出决算情况说明</w:t>
      </w:r>
      <w:bookmarkEnd w:id="18"/>
      <w:bookmarkEnd w:id="19"/>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本年度无政府性基金预算财政拨款收入、支出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九</w:t>
      </w:r>
      <w:r>
        <w:rPr>
          <w:rFonts w:hint="eastAsia" w:ascii="黑体" w:hAnsi="黑体" w:eastAsia="黑体" w:cs="宋体"/>
          <w:bCs/>
          <w:color w:val="auto"/>
          <w:kern w:val="0"/>
          <w:sz w:val="32"/>
          <w:szCs w:val="32"/>
          <w:highlight w:val="none"/>
          <w:lang w:eastAsia="zh-CN"/>
        </w:rPr>
        <w:t>、国有资本经营预算财政拨款收入支出决算情况说明</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本年度无国有资本经营预算财政拨款收入、支出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，国有资本经营</w:t>
      </w:r>
      <w:r>
        <w:rPr>
          <w:rFonts w:hint="eastAsia" w:ascii="仿宋_GB2312" w:eastAsia="仿宋_GB2312"/>
          <w:color w:val="auto"/>
          <w:sz w:val="32"/>
          <w:szCs w:val="32"/>
          <w:highlight w:val="none"/>
        </w:rPr>
        <w:t>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0" w:name="_Toc1235"/>
      <w:bookmarkStart w:id="21" w:name="_Toc7314"/>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0"/>
      <w:bookmarkEnd w:id="2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rPr>
      </w:pPr>
      <w:bookmarkStart w:id="22" w:name="_Toc14519"/>
      <w:bookmarkStart w:id="23" w:name="_Toc13105"/>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2"/>
      <w:bookmarkEnd w:id="23"/>
    </w:p>
    <w:p>
      <w:pPr>
        <w:ind w:firstLine="640" w:firstLineChars="200"/>
        <w:rPr>
          <w:rFonts w:hint="eastAsia" w:ascii="Times New Roman" w:hAnsi="Times New Roman" w:eastAsia="仿宋_GB2312" w:cs="Times New Roman"/>
          <w:color w:val="auto"/>
          <w:sz w:val="32"/>
          <w:szCs w:val="32"/>
          <w:highlight w:val="yellow"/>
          <w:lang w:val="zh-CN" w:eastAsia="zh-CN"/>
        </w:rPr>
      </w:pPr>
      <w:bookmarkStart w:id="24" w:name="_Toc227"/>
      <w:bookmarkStart w:id="25" w:name="_Toc26704"/>
      <w:r>
        <w:rPr>
          <w:rFonts w:hint="eastAsia" w:ascii="Times New Roman" w:hAnsi="Times New Roman" w:eastAsia="仿宋_GB2312" w:cs="Times New Roman"/>
          <w:color w:val="auto"/>
          <w:sz w:val="32"/>
          <w:szCs w:val="32"/>
          <w:highlight w:val="none"/>
          <w:lang w:val="zh-CN" w:eastAsia="zh-CN"/>
        </w:rPr>
        <w:t>2023年度</w:t>
      </w:r>
      <w:r>
        <w:rPr>
          <w:rFonts w:hint="eastAsia" w:ascii="Times New Roman" w:hAnsi="Times New Roman" w:eastAsia="仿宋_GB2312" w:cs="Times New Roman"/>
          <w:color w:val="auto"/>
          <w:sz w:val="32"/>
          <w:szCs w:val="32"/>
          <w:highlight w:val="none"/>
          <w:lang w:val="en-US" w:eastAsia="zh-CN"/>
        </w:rPr>
        <w:t>新疆维吾尔自治区残疾人辅助器具资源中心</w:t>
      </w:r>
      <w:r>
        <w:rPr>
          <w:rFonts w:hint="eastAsia" w:ascii="Times New Roman" w:hAnsi="Times New Roman" w:eastAsia="仿宋_GB2312" w:cs="Times New Roman"/>
          <w:color w:val="auto"/>
          <w:sz w:val="32"/>
          <w:szCs w:val="32"/>
          <w:highlight w:val="none"/>
          <w:lang w:val="zh-CN" w:eastAsia="zh-CN"/>
        </w:rPr>
        <w:t>（事业单位）公用经费支出26.26万元，比上年增加4.0</w:t>
      </w:r>
      <w:r>
        <w:rPr>
          <w:rFonts w:hint="eastAsia" w:eastAsia="仿宋_GB2312" w:cs="Times New Roman"/>
          <w:color w:val="auto"/>
          <w:sz w:val="32"/>
          <w:szCs w:val="32"/>
          <w:highlight w:val="none"/>
          <w:lang w:val="en-US" w:eastAsia="zh-CN"/>
        </w:rPr>
        <w:t>6</w:t>
      </w:r>
      <w:r>
        <w:rPr>
          <w:rFonts w:hint="eastAsia" w:ascii="Times New Roman" w:hAnsi="Times New Roman" w:eastAsia="仿宋_GB2312" w:cs="Times New Roman"/>
          <w:color w:val="auto"/>
          <w:sz w:val="32"/>
          <w:szCs w:val="32"/>
          <w:highlight w:val="none"/>
          <w:lang w:val="zh-CN" w:eastAsia="zh-CN"/>
        </w:rPr>
        <w:t>万元，增长18.2</w:t>
      </w:r>
      <w:r>
        <w:rPr>
          <w:rFonts w:hint="eastAsia" w:eastAsia="仿宋_GB2312" w:cs="Times New Roman"/>
          <w:color w:val="auto"/>
          <w:sz w:val="32"/>
          <w:szCs w:val="32"/>
          <w:highlight w:val="none"/>
          <w:lang w:val="en-US" w:eastAsia="zh-CN"/>
        </w:rPr>
        <w:t>9</w:t>
      </w:r>
      <w:r>
        <w:rPr>
          <w:rFonts w:hint="eastAsia" w:ascii="Times New Roman" w:hAnsi="Times New Roman" w:eastAsia="仿宋_GB2312" w:cs="Times New Roman"/>
          <w:color w:val="auto"/>
          <w:sz w:val="32"/>
          <w:szCs w:val="32"/>
          <w:highlight w:val="none"/>
          <w:lang w:val="zh-CN" w:eastAsia="zh-CN"/>
        </w:rPr>
        <w:t>%，主要原因是：</w:t>
      </w:r>
      <w:r>
        <w:rPr>
          <w:rFonts w:hint="eastAsia" w:ascii="Times New Roman" w:hAnsi="Times New Roman" w:eastAsia="仿宋_GB2312" w:cs="Times New Roman"/>
          <w:color w:val="auto"/>
          <w:sz w:val="32"/>
          <w:szCs w:val="32"/>
          <w:highlight w:val="none"/>
          <w:lang w:val="zh-CN" w:eastAsia="zh-CN"/>
        </w:rPr>
        <w:t>2023年</w:t>
      </w:r>
      <w:r>
        <w:rPr>
          <w:rFonts w:hint="eastAsia" w:eastAsia="仿宋_GB2312" w:cs="Times New Roman"/>
          <w:color w:val="auto"/>
          <w:sz w:val="32"/>
          <w:szCs w:val="32"/>
          <w:highlight w:val="none"/>
          <w:lang w:val="zh-CN" w:eastAsia="zh-CN"/>
        </w:rPr>
        <w:t>工作人员增加</w:t>
      </w:r>
      <w:r>
        <w:rPr>
          <w:rFonts w:hint="eastAsia" w:ascii="Times New Roman" w:hAnsi="Times New Roman" w:eastAsia="仿宋_GB2312" w:cs="Times New Roman"/>
          <w:color w:val="auto"/>
          <w:sz w:val="32"/>
          <w:szCs w:val="32"/>
          <w:highlight w:val="none"/>
          <w:lang w:val="zh-CN" w:eastAsia="zh-CN"/>
        </w:rPr>
        <w:t>，公用经费增加</w:t>
      </w:r>
      <w:r>
        <w:rPr>
          <w:rFonts w:hint="eastAsia" w:eastAsia="仿宋_GB2312" w:cs="Times New Roman"/>
          <w:color w:val="auto"/>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（二）政府采购情况</w:t>
      </w:r>
      <w:bookmarkEnd w:id="24"/>
      <w:bookmarkEnd w:id="2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zh-CN"/>
        </w:rPr>
      </w:pPr>
      <w:r>
        <w:rPr>
          <w:rFonts w:hint="eastAsia" w:ascii="Times New Roman" w:hAnsi="Times New Roman" w:eastAsia="仿宋_GB2312" w:cs="Times New Roman"/>
          <w:color w:val="auto"/>
          <w:sz w:val="32"/>
          <w:szCs w:val="32"/>
          <w:highlight w:val="none"/>
          <w:lang w:val="zh-CN" w:eastAsia="zh-CN"/>
        </w:rPr>
        <w:t>2023年度</w:t>
      </w:r>
      <w:r>
        <w:rPr>
          <w:rFonts w:hint="eastAsia" w:ascii="Times New Roman" w:hAnsi="Times New Roman" w:eastAsia="仿宋_GB2312" w:cs="Times New Roman"/>
          <w:color w:val="auto"/>
          <w:sz w:val="32"/>
          <w:szCs w:val="32"/>
          <w:highlight w:val="none"/>
          <w:lang w:val="zh-CN"/>
        </w:rPr>
        <w:t>政府采购支出总额</w:t>
      </w:r>
      <w:r>
        <w:rPr>
          <w:rFonts w:hint="eastAsia" w:ascii="Times New Roman" w:hAnsi="Times New Roman" w:eastAsia="仿宋_GB2312" w:cs="Times New Roman"/>
          <w:color w:val="auto"/>
          <w:sz w:val="32"/>
          <w:szCs w:val="32"/>
          <w:highlight w:val="none"/>
          <w:lang w:val="zh-CN" w:eastAsia="zh-CN"/>
        </w:rPr>
        <w:t>137.09万元</w:t>
      </w:r>
      <w:r>
        <w:rPr>
          <w:rFonts w:hint="eastAsia" w:ascii="Times New Roman" w:hAnsi="Times New Roman" w:eastAsia="仿宋_GB2312" w:cs="Times New Roman"/>
          <w:color w:val="auto"/>
          <w:sz w:val="32"/>
          <w:szCs w:val="32"/>
          <w:highlight w:val="none"/>
          <w:lang w:val="zh-CN"/>
        </w:rPr>
        <w:t>，</w:t>
      </w:r>
      <w:r>
        <w:rPr>
          <w:rFonts w:hint="eastAsia" w:ascii="Times New Roman" w:hAnsi="Times New Roman" w:eastAsia="仿宋_GB2312" w:cs="Times New Roman"/>
          <w:color w:val="auto"/>
          <w:sz w:val="32"/>
          <w:szCs w:val="32"/>
          <w:highlight w:val="none"/>
          <w:lang w:val="zh-CN" w:eastAsia="zh-CN"/>
        </w:rPr>
        <w:t>其中：政府采购货物支出131.34万元、政府采购工程支出0.00万元、政府采购服务支出5.76万元。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zh-CN" w:eastAsia="zh-CN"/>
        </w:rPr>
        <w:t>授予中小企业合同金额136.42万元，占政府采购支出总额的99.51</w:t>
      </w:r>
      <w:r>
        <w:rPr>
          <w:rFonts w:hint="default"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zh-CN" w:eastAsia="zh-CN"/>
        </w:rPr>
        <w:t>，其中：授予小微企业合同金额98.36万元，占政府采购支出总额的71.75</w:t>
      </w:r>
      <w:r>
        <w:rPr>
          <w:rFonts w:hint="default"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bookmarkStart w:id="26" w:name="_Toc8391"/>
      <w:bookmarkStart w:id="27" w:name="_Toc4591"/>
      <w:r>
        <w:rPr>
          <w:rFonts w:hint="eastAsia" w:ascii="Times New Roman" w:hAnsi="Times New Roman" w:eastAsia="黑体" w:cs="Times New Roman"/>
          <w:color w:val="auto"/>
          <w:sz w:val="32"/>
          <w:szCs w:val="30"/>
          <w:highlight w:val="none"/>
          <w:lang w:val="zh-CN" w:eastAsia="zh-CN"/>
        </w:rPr>
        <w:t>（三）国有资产占用情况说明</w:t>
      </w:r>
      <w:bookmarkEnd w:id="26"/>
      <w:bookmarkEnd w:id="2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zh-CN" w:eastAsia="zh-CN"/>
        </w:rPr>
      </w:pPr>
      <w:r>
        <w:rPr>
          <w:rFonts w:hint="eastAsia" w:ascii="Times New Roman" w:hAnsi="Times New Roman" w:eastAsia="仿宋_GB2312" w:cs="Times New Roman"/>
          <w:color w:val="auto"/>
          <w:sz w:val="32"/>
          <w:szCs w:val="32"/>
          <w:highlight w:val="none"/>
          <w:lang w:val="en-US" w:eastAsia="zh-CN"/>
        </w:rPr>
        <w:t>截至2023</w:t>
      </w:r>
      <w:r>
        <w:rPr>
          <w:rFonts w:hint="eastAsia" w:ascii="Times New Roman" w:hAnsi="Times New Roman" w:eastAsia="仿宋_GB2312" w:cs="Times New Roman"/>
          <w:color w:val="auto"/>
          <w:sz w:val="32"/>
          <w:szCs w:val="32"/>
          <w:highlight w:val="none"/>
          <w:lang w:val="zh-CN" w:eastAsia="zh-CN"/>
        </w:rPr>
        <w:t>年</w:t>
      </w:r>
      <w:r>
        <w:rPr>
          <w:rFonts w:hint="eastAsia" w:ascii="Times New Roman" w:hAnsi="Times New Roman" w:eastAsia="仿宋_GB2312" w:cs="Times New Roman"/>
          <w:color w:val="auto"/>
          <w:sz w:val="32"/>
          <w:szCs w:val="32"/>
          <w:highlight w:val="none"/>
          <w:lang w:val="en-US" w:eastAsia="zh-CN"/>
        </w:rPr>
        <w:t>12月31日</w:t>
      </w:r>
      <w:r>
        <w:rPr>
          <w:rFonts w:hint="eastAsia"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固定资产原值</w:t>
      </w:r>
      <w:r>
        <w:rPr>
          <w:rFonts w:hint="eastAsia" w:ascii="Times New Roman" w:hAnsi="Times New Roman" w:eastAsia="仿宋_GB2312" w:cs="Times New Roman"/>
          <w:color w:val="auto"/>
          <w:sz w:val="32"/>
          <w:szCs w:val="32"/>
          <w:highlight w:val="none"/>
          <w:lang w:val="zh-CN" w:eastAsia="zh-CN"/>
        </w:rPr>
        <w:t>520.01</w:t>
      </w:r>
      <w:r>
        <w:rPr>
          <w:rFonts w:hint="eastAsia" w:ascii="Times New Roman" w:hAnsi="Times New Roman" w:eastAsia="仿宋_GB2312" w:cs="Times New Roman"/>
          <w:color w:val="auto"/>
          <w:sz w:val="32"/>
          <w:szCs w:val="32"/>
          <w:highlight w:val="none"/>
          <w:lang w:val="en-US" w:eastAsia="zh-CN"/>
        </w:rPr>
        <w:t>万元，房</w:t>
      </w:r>
      <w:r>
        <w:rPr>
          <w:rFonts w:hint="eastAsia" w:ascii="Times New Roman" w:hAnsi="Times New Roman" w:eastAsia="仿宋_GB2312" w:cs="Times New Roman"/>
          <w:color w:val="auto"/>
          <w:sz w:val="32"/>
          <w:szCs w:val="32"/>
          <w:highlight w:val="none"/>
          <w:lang w:val="zh-CN" w:eastAsia="zh-CN"/>
        </w:rPr>
        <w:t>屋0.0平方米，价值0.00万元。车辆3辆，价值95.71万元，其中：副部（省）级及以上领导用车0辆、主要</w:t>
      </w:r>
      <w:r>
        <w:rPr>
          <w:rFonts w:hint="eastAsia" w:ascii="Times New Roman" w:hAnsi="Times New Roman" w:eastAsia="仿宋_GB2312" w:cs="Times New Roman"/>
          <w:color w:val="auto"/>
          <w:sz w:val="32"/>
          <w:szCs w:val="32"/>
          <w:highlight w:val="none"/>
          <w:lang w:val="en-US" w:eastAsia="zh-CN"/>
        </w:rPr>
        <w:t>负责人</w:t>
      </w:r>
      <w:r>
        <w:rPr>
          <w:rFonts w:hint="eastAsia" w:ascii="Times New Roman" w:hAnsi="Times New Roman" w:eastAsia="仿宋_GB2312" w:cs="Times New Roman"/>
          <w:color w:val="auto"/>
          <w:sz w:val="32"/>
          <w:szCs w:val="32"/>
          <w:highlight w:val="none"/>
          <w:lang w:val="zh-CN" w:eastAsia="zh-CN"/>
        </w:rPr>
        <w:t>用车0辆、机要通信用车0辆、应急保障用车0辆、执法执勤用车0辆、特种专业技术用车2辆、离退休干部</w:t>
      </w:r>
      <w:r>
        <w:rPr>
          <w:rFonts w:hint="eastAsia" w:ascii="Times New Roman" w:hAnsi="Times New Roman" w:eastAsia="仿宋_GB2312" w:cs="Times New Roman"/>
          <w:color w:val="auto"/>
          <w:sz w:val="32"/>
          <w:szCs w:val="32"/>
          <w:highlight w:val="none"/>
          <w:lang w:val="en-US" w:eastAsia="zh-CN"/>
        </w:rPr>
        <w:t>服务</w:t>
      </w:r>
      <w:r>
        <w:rPr>
          <w:rFonts w:hint="eastAsia" w:ascii="Times New Roman" w:hAnsi="Times New Roman" w:eastAsia="仿宋_GB2312" w:cs="Times New Roman"/>
          <w:color w:val="auto"/>
          <w:sz w:val="32"/>
          <w:szCs w:val="32"/>
          <w:highlight w:val="none"/>
          <w:lang w:val="zh-CN" w:eastAsia="zh-CN"/>
        </w:rPr>
        <w:t>用车0辆、其他用车1辆，其他用车主要是：</w:t>
      </w:r>
      <w:r>
        <w:rPr>
          <w:rFonts w:hint="eastAsia" w:ascii="仿宋_GB2312" w:eastAsia="仿宋_GB2312"/>
          <w:sz w:val="32"/>
          <w:szCs w:val="32"/>
        </w:rPr>
        <w:t>为</w:t>
      </w:r>
      <w:r>
        <w:rPr>
          <w:rFonts w:hint="eastAsia" w:ascii="仿宋_GB2312" w:eastAsia="仿宋_GB2312"/>
          <w:sz w:val="32"/>
          <w:szCs w:val="32"/>
          <w:lang w:eastAsia="zh-CN"/>
        </w:rPr>
        <w:t>辅助器具</w:t>
      </w:r>
      <w:r>
        <w:rPr>
          <w:rFonts w:hint="eastAsia" w:ascii="仿宋_GB2312" w:eastAsia="仿宋_GB2312"/>
          <w:sz w:val="32"/>
          <w:szCs w:val="32"/>
        </w:rPr>
        <w:t>适配专用工具车</w:t>
      </w:r>
      <w:r>
        <w:rPr>
          <w:rFonts w:hint="eastAsia" w:ascii="Times New Roman" w:hAnsi="Times New Roman" w:eastAsia="仿宋_GB2312" w:cs="Times New Roman"/>
          <w:color w:val="auto"/>
          <w:sz w:val="32"/>
          <w:szCs w:val="32"/>
          <w:highlight w:val="none"/>
          <w:lang w:val="zh-CN" w:eastAsia="zh-CN"/>
        </w:rPr>
        <w:t>；单价100万元（含）以上设备（不含车辆）0</w:t>
      </w:r>
      <w:r>
        <w:rPr>
          <w:rFonts w:hint="eastAsia" w:ascii="Times New Roman" w:hAnsi="Times New Roman" w:eastAsia="仿宋_GB2312" w:cs="Times New Roman"/>
          <w:color w:val="auto"/>
          <w:sz w:val="32"/>
          <w:szCs w:val="32"/>
          <w:highlight w:val="none"/>
          <w:lang w:val="en-US" w:eastAsia="zh-CN"/>
        </w:rPr>
        <w:t>台（</w:t>
      </w:r>
      <w:r>
        <w:rPr>
          <w:rFonts w:hint="eastAsia" w:ascii="Times New Roman" w:hAnsi="Times New Roman" w:eastAsia="仿宋_GB2312" w:cs="Times New Roman"/>
          <w:color w:val="auto"/>
          <w:sz w:val="32"/>
          <w:szCs w:val="32"/>
          <w:highlight w:val="none"/>
          <w:lang w:val="zh-CN" w:eastAsia="zh-CN"/>
        </w:rPr>
        <w:t>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8" w:name="_Toc435"/>
      <w:bookmarkStart w:id="29" w:name="_Toc11283"/>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一</w:t>
      </w:r>
      <w:r>
        <w:rPr>
          <w:rFonts w:hint="eastAsia" w:ascii="黑体" w:hAnsi="黑体" w:eastAsia="黑体" w:cs="宋体"/>
          <w:bCs/>
          <w:color w:val="auto"/>
          <w:kern w:val="0"/>
          <w:sz w:val="32"/>
          <w:szCs w:val="32"/>
          <w:highlight w:val="none"/>
          <w:lang w:eastAsia="zh-CN"/>
        </w:rPr>
        <w:t>、预算绩效的情况说明</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根据预算绩效管理要求，我</w:t>
      </w:r>
      <w:r>
        <w:rPr>
          <w:rFonts w:hint="eastAsia" w:ascii="Times New Roman" w:hAnsi="Times New Roman" w:eastAsia="仿宋_GB2312" w:cs="Times New Roman"/>
          <w:color w:val="auto"/>
          <w:sz w:val="32"/>
          <w:szCs w:val="32"/>
          <w:highlight w:val="none"/>
          <w:lang w:val="en-US" w:eastAsia="zh-CN"/>
        </w:rPr>
        <w:t>单位</w:t>
      </w:r>
      <w:r>
        <w:rPr>
          <w:rFonts w:hint="eastAsia" w:ascii="Times New Roman" w:hAnsi="Times New Roman" w:eastAsia="仿宋_GB2312" w:cs="Times New Roman"/>
          <w:color w:val="auto"/>
          <w:sz w:val="32"/>
          <w:szCs w:val="32"/>
          <w:highlight w:val="none"/>
          <w:lang w:val="zh-CN" w:eastAsia="zh-CN"/>
        </w:rPr>
        <w:t>2023年度预算绩效管理整体</w:t>
      </w:r>
      <w:r>
        <w:rPr>
          <w:rFonts w:hint="eastAsia" w:ascii="Times New Roman" w:hAnsi="Times New Roman" w:eastAsia="仿宋_GB2312" w:cs="Times New Roman"/>
          <w:color w:val="auto"/>
          <w:sz w:val="32"/>
          <w:szCs w:val="32"/>
          <w:highlight w:val="none"/>
          <w:lang w:val="en-US" w:eastAsia="zh-CN"/>
        </w:rPr>
        <w:t>支出</w:t>
      </w:r>
      <w:r>
        <w:rPr>
          <w:rFonts w:hint="eastAsia" w:ascii="Times New Roman" w:hAnsi="Times New Roman" w:eastAsia="仿宋_GB2312" w:cs="Times New Roman"/>
          <w:color w:val="auto"/>
          <w:sz w:val="32"/>
          <w:szCs w:val="32"/>
          <w:highlight w:val="none"/>
          <w:lang w:val="zh-CN" w:eastAsia="zh-CN"/>
        </w:rPr>
        <w:t>绩效自评表</w:t>
      </w:r>
      <w:r>
        <w:rPr>
          <w:rFonts w:hint="eastAsia" w:ascii="Times New Roman" w:hAnsi="Times New Roman" w:eastAsia="仿宋_GB2312" w:cs="Times New Roman"/>
          <w:color w:val="auto"/>
          <w:sz w:val="32"/>
          <w:szCs w:val="32"/>
          <w:highlight w:val="none"/>
          <w:lang w:val="en-US" w:eastAsia="zh-CN"/>
        </w:rPr>
        <w:t>0个，全年预算总额0</w:t>
      </w:r>
      <w:r>
        <w:rPr>
          <w:rFonts w:hint="eastAsia" w:ascii="Times New Roman" w:hAnsi="Times New Roman" w:eastAsia="仿宋_GB2312" w:cs="Times New Roman"/>
          <w:color w:val="auto"/>
          <w:sz w:val="32"/>
          <w:szCs w:val="32"/>
          <w:highlight w:val="none"/>
          <w:lang w:val="zh-CN" w:eastAsia="zh-CN"/>
        </w:rPr>
        <w:t>万元，</w:t>
      </w:r>
      <w:r>
        <w:rPr>
          <w:rFonts w:hint="eastAsia" w:ascii="Times New Roman" w:hAnsi="Times New Roman" w:eastAsia="仿宋_GB2312" w:cs="Times New Roman"/>
          <w:color w:val="auto"/>
          <w:sz w:val="32"/>
          <w:szCs w:val="32"/>
          <w:highlight w:val="none"/>
          <w:lang w:val="en-US" w:eastAsia="zh-CN"/>
        </w:rPr>
        <w:t>实际执行总额0</w:t>
      </w:r>
      <w:r>
        <w:rPr>
          <w:rFonts w:hint="eastAsia" w:ascii="Times New Roman" w:hAnsi="Times New Roman" w:eastAsia="仿宋_GB2312" w:cs="Times New Roman"/>
          <w:color w:val="auto"/>
          <w:sz w:val="32"/>
          <w:szCs w:val="32"/>
          <w:highlight w:val="none"/>
          <w:lang w:val="zh-CN" w:eastAsia="zh-CN"/>
        </w:rPr>
        <w:t>万元</w:t>
      </w:r>
      <w:r>
        <w:rPr>
          <w:rFonts w:hint="eastAsia" w:eastAsia="仿宋_GB2312" w:cs="Times New Roman"/>
          <w:sz w:val="32"/>
          <w:szCs w:val="32"/>
          <w:highlight w:val="none"/>
          <w:lang w:val="zh-CN" w:eastAsia="zh-CN"/>
        </w:rPr>
        <w:t>。</w:t>
      </w:r>
      <w:r>
        <w:rPr>
          <w:rFonts w:hint="eastAsia" w:eastAsia="仿宋_GB2312" w:cs="Times New Roman"/>
          <w:sz w:val="32"/>
          <w:szCs w:val="32"/>
          <w:highlight w:val="none"/>
          <w:lang w:val="en-US" w:eastAsia="zh-CN"/>
        </w:rPr>
        <w:t>我单位整体支出绩效自评表由主管部门编报并公开。</w:t>
      </w:r>
      <w:r>
        <w:rPr>
          <w:rFonts w:hint="eastAsia" w:ascii="Times New Roman" w:hAnsi="Times New Roman" w:eastAsia="仿宋_GB2312" w:cs="Times New Roman"/>
          <w:color w:val="auto"/>
          <w:sz w:val="32"/>
          <w:szCs w:val="32"/>
          <w:highlight w:val="none"/>
          <w:lang w:val="zh-CN" w:eastAsia="zh-CN"/>
        </w:rPr>
        <w:t>预算绩效评价项目</w:t>
      </w:r>
      <w:r>
        <w:rPr>
          <w:rFonts w:hint="eastAsia" w:ascii="仿宋_GB2312" w:eastAsia="仿宋_GB2312"/>
          <w:color w:val="auto"/>
          <w:sz w:val="32"/>
          <w:szCs w:val="32"/>
          <w:highlight w:val="none"/>
          <w:lang w:val="en-US" w:eastAsia="zh-CN"/>
        </w:rPr>
        <w:t>1</w:t>
      </w:r>
      <w:r>
        <w:rPr>
          <w:rFonts w:hint="eastAsia" w:ascii="仿宋_GB2312" w:eastAsia="仿宋_GB2312"/>
          <w:color w:val="auto"/>
          <w:sz w:val="32"/>
          <w:szCs w:val="32"/>
          <w:highlight w:val="none"/>
          <w:lang w:eastAsia="zh-CN"/>
        </w:rPr>
        <w:t>个，</w:t>
      </w:r>
      <w:r>
        <w:rPr>
          <w:rFonts w:hint="eastAsia" w:ascii="仿宋_GB2312" w:eastAsia="仿宋_GB2312"/>
          <w:color w:val="auto"/>
          <w:sz w:val="32"/>
          <w:szCs w:val="32"/>
          <w:highlight w:val="none"/>
          <w:lang w:val="en-US" w:eastAsia="zh-CN"/>
        </w:rPr>
        <w:t>全年预算数222.04</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全年执行数212.84</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sz w:val="32"/>
          <w:szCs w:val="32"/>
        </w:rPr>
      </w:pPr>
      <w:r>
        <w:rPr>
          <w:rFonts w:hint="eastAsia" w:ascii="仿宋_GB2312" w:eastAsia="仿宋_GB2312"/>
          <w:color w:val="auto"/>
          <w:sz w:val="32"/>
          <w:szCs w:val="32"/>
          <w:highlight w:val="none"/>
          <w:lang w:eastAsia="zh-CN"/>
        </w:rPr>
        <w:t>预算绩效管理取得的成效：</w:t>
      </w:r>
      <w:r>
        <w:rPr>
          <w:rFonts w:ascii="仿宋_GB2312" w:eastAsia="仿宋_GB2312"/>
          <w:sz w:val="32"/>
          <w:szCs w:val="32"/>
        </w:rPr>
        <w:t>一是通过预算绩效管理，强化责任担当、分工负责、压实责任、紧抓落实、稳步推进的原则，顺利按时完成年初的既定</w:t>
      </w:r>
      <w:r>
        <w:rPr>
          <w:rFonts w:hint="eastAsia" w:ascii="仿宋_GB2312" w:eastAsia="仿宋_GB2312"/>
          <w:sz w:val="32"/>
          <w:szCs w:val="32"/>
          <w:lang w:eastAsia="zh-CN"/>
        </w:rPr>
        <w:t>目标</w:t>
      </w:r>
      <w:r>
        <w:rPr>
          <w:rFonts w:ascii="仿宋_GB2312" w:eastAsia="仿宋_GB2312"/>
          <w:sz w:val="32"/>
          <w:szCs w:val="32"/>
        </w:rPr>
        <w:t>，完成了202</w:t>
      </w:r>
      <w:r>
        <w:rPr>
          <w:rFonts w:hint="eastAsia" w:ascii="仿宋_GB2312" w:eastAsia="仿宋_GB2312"/>
          <w:sz w:val="32"/>
          <w:szCs w:val="32"/>
          <w:lang w:val="en-US" w:eastAsia="zh-CN"/>
        </w:rPr>
        <w:t>3</w:t>
      </w:r>
      <w:r>
        <w:rPr>
          <w:rFonts w:ascii="仿宋_GB2312" w:eastAsia="仿宋_GB2312"/>
          <w:sz w:val="32"/>
          <w:szCs w:val="32"/>
        </w:rPr>
        <w:t>年自治区精准康复服务残疾人辅助器具适配服务工作。二是明确绩效管理工作注重事前评估、过程监督、绩效评价、绩效考核，通过考核结果运用全过程，形成有效的激励和约束机制，提高预算管理工作质量。三是通过完善单位内部控制制度建设，提升绩效管理力度，辅助器具服务能力和管理水平，保障单位事务正常运行</w:t>
      </w:r>
      <w:r>
        <w:rPr>
          <w:rFonts w:hint="eastAsia" w:ascii="仿宋_GB2312" w:eastAsia="仿宋_GB2312"/>
          <w:sz w:val="32"/>
          <w:szCs w:val="32"/>
        </w:rPr>
        <w:t>。</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sz w:val="32"/>
          <w:szCs w:val="32"/>
        </w:rPr>
      </w:pPr>
      <w:r>
        <w:rPr>
          <w:rFonts w:hint="eastAsia" w:ascii="仿宋_GB2312" w:eastAsia="仿宋_GB2312"/>
          <w:color w:val="auto"/>
          <w:sz w:val="32"/>
          <w:szCs w:val="32"/>
          <w:highlight w:val="none"/>
          <w:lang w:eastAsia="zh-CN"/>
        </w:rPr>
        <w:t>发现的问题及原因：</w:t>
      </w:r>
      <w:r>
        <w:rPr>
          <w:rFonts w:ascii="仿宋_GB2312" w:eastAsia="仿宋_GB2312"/>
          <w:sz w:val="32"/>
          <w:szCs w:val="32"/>
        </w:rPr>
        <w:t>一是预算绩效管理基础薄弱，绩效管理缺乏系统性。二是绩效管理制度不够完善，绩效管理工作缺乏具体措施，导向引领作用不够突出。三是缺乏绩效管理人员管理理论，管理工作经验，技巧和时间，培训体系不健全</w:t>
      </w:r>
      <w:r>
        <w:rPr>
          <w:rFonts w:hint="eastAsia" w:ascii="仿宋_GB2312" w:eastAsia="仿宋_GB2312"/>
          <w:sz w:val="32"/>
          <w:szCs w:val="32"/>
        </w:rPr>
        <w:t>。</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下一步改进措施：</w:t>
      </w:r>
      <w:r>
        <w:rPr>
          <w:rFonts w:ascii="仿宋_GB2312" w:eastAsia="仿宋_GB2312"/>
          <w:sz w:val="32"/>
          <w:szCs w:val="32"/>
        </w:rPr>
        <w:t>一是继续深入开展预算绩效管理工作，从传统预算管理向电子化、信息化全覆盖。全方面执行预算管理监管和全过程绩效管理。二是健全预算绩效管理制度，通过制度完备、组织得力、责任明确、科学管理的方式，开展以绩效为主的目标体系。三是加强培训和指导，加大参与绩效管理人员的培训力度，进一步统一认识，充实业务知识，有序推进绩效管理工作</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具体</w:t>
      </w:r>
      <w:r>
        <w:rPr>
          <w:rFonts w:hint="eastAsia" w:ascii="仿宋_GB2312" w:eastAsia="仿宋_GB2312"/>
          <w:color w:val="auto"/>
          <w:sz w:val="32"/>
          <w:szCs w:val="32"/>
          <w:highlight w:val="none"/>
        </w:rPr>
        <w:t>项目自评情况附绩效自评表。</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二</w:t>
      </w:r>
      <w:r>
        <w:rPr>
          <w:rFonts w:hint="eastAsia" w:ascii="黑体" w:hAnsi="黑体" w:eastAsia="黑体" w:cs="宋体"/>
          <w:bCs/>
          <w:color w:val="auto"/>
          <w:kern w:val="0"/>
          <w:sz w:val="32"/>
          <w:szCs w:val="32"/>
          <w:highlight w:val="none"/>
          <w:lang w:eastAsia="zh-CN"/>
        </w:rPr>
        <w:t>、其他需说明的事项</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本单位无其他需说明事项</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30" w:name="_Toc24143"/>
      <w:bookmarkStart w:id="31" w:name="_Toc3250"/>
      <w:r>
        <w:rPr>
          <w:rFonts w:hint="eastAsia" w:ascii="黑体" w:hAnsi="黑体" w:eastAsia="黑体"/>
          <w:color w:val="auto"/>
          <w:sz w:val="32"/>
          <w:szCs w:val="32"/>
          <w:highlight w:val="none"/>
        </w:rPr>
        <w:br w:type="page"/>
      </w: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30"/>
      <w:bookmarkEnd w:id="31"/>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color w:val="auto"/>
          <w:sz w:val="32"/>
          <w:szCs w:val="32"/>
          <w:highlight w:val="none"/>
        </w:rPr>
        <w:t>第四部分 部门决算报表（见附表）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2" w:name="_Toc2183"/>
      <w:bookmarkStart w:id="33" w:name="_Toc6062"/>
      <w:r>
        <w:rPr>
          <w:rFonts w:hint="eastAsia" w:ascii="黑体" w:hAnsi="黑体" w:eastAsia="仿宋_GB2312" w:cs="宋体"/>
          <w:bCs/>
          <w:color w:val="auto"/>
          <w:kern w:val="0"/>
          <w:sz w:val="32"/>
          <w:szCs w:val="32"/>
          <w:highlight w:val="none"/>
        </w:rPr>
        <w:t>一、《收入支出决算总表》</w:t>
      </w:r>
      <w:bookmarkEnd w:id="32"/>
      <w:bookmarkEnd w:id="3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4" w:name="_Toc24532"/>
      <w:bookmarkStart w:id="35" w:name="_Toc30364"/>
      <w:r>
        <w:rPr>
          <w:rFonts w:hint="eastAsia" w:ascii="黑体" w:hAnsi="黑体" w:eastAsia="仿宋_GB2312" w:cs="宋体"/>
          <w:bCs/>
          <w:color w:val="auto"/>
          <w:kern w:val="0"/>
          <w:sz w:val="32"/>
          <w:szCs w:val="32"/>
          <w:highlight w:val="none"/>
        </w:rPr>
        <w:t>二、《收入决算表》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6" w:name="_Toc21304"/>
      <w:bookmarkStart w:id="37" w:name="_Toc32434"/>
      <w:r>
        <w:rPr>
          <w:rFonts w:hint="eastAsia" w:ascii="黑体" w:hAnsi="黑体" w:eastAsia="仿宋_GB2312" w:cs="宋体"/>
          <w:bCs/>
          <w:color w:val="auto"/>
          <w:kern w:val="0"/>
          <w:sz w:val="32"/>
          <w:szCs w:val="32"/>
          <w:highlight w:val="none"/>
        </w:rPr>
        <w:t>三、《支出决算表》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8" w:name="_Toc28786"/>
      <w:bookmarkStart w:id="39" w:name="_Toc14238"/>
      <w:r>
        <w:rPr>
          <w:rFonts w:hint="eastAsia" w:ascii="黑体" w:hAnsi="黑体" w:eastAsia="仿宋_GB2312" w:cs="宋体"/>
          <w:bCs/>
          <w:color w:val="auto"/>
          <w:kern w:val="0"/>
          <w:sz w:val="32"/>
          <w:szCs w:val="32"/>
          <w:highlight w:val="none"/>
        </w:rPr>
        <w:t>四、《财政拨款收入支出决算总表》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0" w:name="_Toc10347"/>
      <w:bookmarkStart w:id="41" w:name="_Toc14869"/>
      <w:r>
        <w:rPr>
          <w:rFonts w:hint="eastAsia" w:ascii="黑体" w:hAnsi="黑体" w:eastAsia="仿宋_GB2312" w:cs="宋体"/>
          <w:bCs/>
          <w:color w:val="auto"/>
          <w:kern w:val="0"/>
          <w:sz w:val="32"/>
          <w:szCs w:val="32"/>
          <w:highlight w:val="none"/>
        </w:rPr>
        <w:t>五、《一般公共预算财政拨款支出决算表》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2" w:name="_Toc8884"/>
      <w:bookmarkStart w:id="43" w:name="_Toc5626"/>
      <w:r>
        <w:rPr>
          <w:rFonts w:hint="eastAsia" w:ascii="黑体" w:hAnsi="黑体" w:eastAsia="仿宋_GB2312" w:cs="宋体"/>
          <w:bCs/>
          <w:color w:val="auto"/>
          <w:kern w:val="0"/>
          <w:sz w:val="32"/>
          <w:szCs w:val="32"/>
          <w:highlight w:val="none"/>
        </w:rPr>
        <w:t>六、《一般公共预算财政拨款基本支出决算表》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w:t>
      </w:r>
      <w:bookmarkStart w:id="44" w:name="_Toc32663"/>
      <w:bookmarkStart w:id="45" w:name="_Toc29106"/>
      <w:r>
        <w:rPr>
          <w:rFonts w:hint="eastAsia" w:ascii="黑体" w:hAnsi="黑体" w:eastAsia="仿宋_GB2312" w:cs="宋体"/>
          <w:bCs/>
          <w:color w:val="auto"/>
          <w:kern w:val="0"/>
          <w:sz w:val="32"/>
          <w:szCs w:val="32"/>
          <w:highlight w:val="none"/>
        </w:rPr>
        <w:t>《财政拨款“三公”经费支出决算表》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6" w:name="_Toc5453"/>
      <w:bookmarkStart w:id="47" w:name="_Toc7643"/>
      <w:r>
        <w:rPr>
          <w:rFonts w:hint="eastAsia" w:ascii="黑体" w:hAnsi="黑体" w:eastAsia="仿宋_GB2312" w:cs="宋体"/>
          <w:bCs/>
          <w:color w:val="auto"/>
          <w:kern w:val="0"/>
          <w:sz w:val="32"/>
          <w:szCs w:val="32"/>
          <w:highlight w:val="none"/>
        </w:rPr>
        <w:t>八、《政府性基金预算财政拨款收入支出决算表》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00002FF" w:usb1="4000ACFF" w:usb2="00000001" w:usb3="00000000" w:csb0="2000019F"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00002FF" w:usb1="4000ACFF" w:usb2="00000001" w:usb3="00000000" w:csb0="2000019F" w:csb1="00000000"/>
  </w:font>
  <w:font w:name="Arial">
    <w:panose1 w:val="020B0604020202020204"/>
    <w:charset w:val="01"/>
    <w:family w:val="roman"/>
    <w:pitch w:val="default"/>
    <w:sig w:usb0="E0002AFF" w:usb1="C0007843" w:usb2="00000009" w:usb3="00000000" w:csb0="400001FF" w:csb1="FFFF0000"/>
  </w:font>
  <w:font w:name="Courier New">
    <w:panose1 w:val="02070309020205020404"/>
    <w:charset w:val="01"/>
    <w:family w:val="decorative"/>
    <w:pitch w:val="default"/>
    <w:sig w:usb0="E0002A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2FF" w:usb1="400004FF" w:usb2="00000000" w:usb3="00000000" w:csb0="2000019F" w:csb1="00000000"/>
  </w:font>
  <w:font w:name="Calibri">
    <w:panose1 w:val="020F0502020204030204"/>
    <w:charset w:val="00"/>
    <w:family w:val="modern"/>
    <w:pitch w:val="default"/>
    <w:sig w:usb0="E00002FF" w:usb1="4000ACFF" w:usb2="00000001" w:usb3="00000000" w:csb0="2000019F" w:csb1="00000000"/>
  </w:font>
  <w:font w:name="Arial">
    <w:panose1 w:val="020B0604020202020204"/>
    <w:charset w:val="01"/>
    <w:family w:val="modern"/>
    <w:pitch w:val="default"/>
    <w:sig w:usb0="E0002AFF" w:usb1="C0007843" w:usb2="00000009" w:usb3="00000000" w:csb0="400001FF" w:csb1="FFFF0000"/>
  </w:font>
  <w:font w:name="Courier New">
    <w:panose1 w:val="02070309020205020404"/>
    <w:charset w:val="01"/>
    <w:family w:val="roman"/>
    <w:pitch w:val="default"/>
    <w:sig w:usb0="E0002A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_GBK">
    <w:panose1 w:val="03000502000000000000"/>
    <w:charset w:val="86"/>
    <w:family w:val="script"/>
    <w:pitch w:val="default"/>
    <w:sig w:usb0="00000001" w:usb1="080E0000" w:usb2="00000000" w:usb3="00000000" w:csb0="00040000" w:csb1="00000000"/>
  </w:font>
  <w:font w:name="仿宋_GB2312">
    <w:panose1 w:val="02010609030101010101"/>
    <w:charset w:val="86"/>
    <w:family w:val="decorative"/>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swiss"/>
    <w:pitch w:val="default"/>
    <w:sig w:usb0="00000001" w:usb1="080E0000" w:usb2="00000000" w:usb3="00000000" w:csb0="00040000" w:csb1="00000000"/>
  </w:font>
  <w:font w:name="仿宋_GB2312">
    <w:panose1 w:val="02010609030101010101"/>
    <w:charset w:val="86"/>
    <w:family w:val="roma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M6pebnPAAAABQEAAA8AAAAAAAAAAQAgAAAAIgAAAGRycy9kb3ducmV2LnhtbFBLAQIU&#10;ABQAAAAIAIdO4kAgtDAhwwEAAHADAAAOAAAAAAAAAAEAIAAAAB4BAABkcnMvZTJvRG9jLnhtbFBL&#10;BQYAAAAABgAGAFkBAABTBQ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272565021">
    <w:nsid w:val="103F031D"/>
    <w:multiLevelType w:val="singleLevel"/>
    <w:tmpl w:val="103F031D"/>
    <w:lvl w:ilvl="0" w:tentative="1">
      <w:start w:val="2"/>
      <w:numFmt w:val="chineseCounting"/>
      <w:suff w:val="nothing"/>
      <w:lvlText w:val="（%1）"/>
      <w:lvlJc w:val="left"/>
      <w:rPr>
        <w:rFonts w:hint="eastAsia"/>
      </w:rPr>
    </w:lvl>
  </w:abstractNum>
  <w:num w:numId="1">
    <w:abstractNumId w:val="2725650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E5OTUwMDJlODZiMzZkZmNkN2U5Nzg0ZTNmZjRkY2MifQ=="/>
    <w:docVar w:name="KSO_WPS_MARK_KEY" w:val="41ee2a61-2d54-4f93-83be-afdb9a40d732"/>
  </w:docVars>
  <w:rsids>
    <w:rsidRoot w:val="00000000"/>
    <w:rsid w:val="00213C59"/>
    <w:rsid w:val="003210CE"/>
    <w:rsid w:val="00B70D59"/>
    <w:rsid w:val="00F52A8D"/>
    <w:rsid w:val="019404F8"/>
    <w:rsid w:val="02BD3108"/>
    <w:rsid w:val="02F73D26"/>
    <w:rsid w:val="034D4FEF"/>
    <w:rsid w:val="035D1785"/>
    <w:rsid w:val="039F47CE"/>
    <w:rsid w:val="03C36C25"/>
    <w:rsid w:val="03E05CE8"/>
    <w:rsid w:val="03F973EE"/>
    <w:rsid w:val="043E5B56"/>
    <w:rsid w:val="04C04386"/>
    <w:rsid w:val="04FA68C4"/>
    <w:rsid w:val="053F5AE6"/>
    <w:rsid w:val="057C0B0F"/>
    <w:rsid w:val="05EF4B48"/>
    <w:rsid w:val="05F76ECA"/>
    <w:rsid w:val="06792773"/>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4903E8"/>
    <w:rsid w:val="0D7A4A46"/>
    <w:rsid w:val="0E4C5684"/>
    <w:rsid w:val="0E640559"/>
    <w:rsid w:val="0F1113DA"/>
    <w:rsid w:val="0F3E33E7"/>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5A53BA"/>
    <w:rsid w:val="167268FB"/>
    <w:rsid w:val="16D24760"/>
    <w:rsid w:val="16D50C50"/>
    <w:rsid w:val="16E120E1"/>
    <w:rsid w:val="17385A05"/>
    <w:rsid w:val="173B3901"/>
    <w:rsid w:val="176747F9"/>
    <w:rsid w:val="17954A6E"/>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21DC"/>
    <w:rsid w:val="1EE869A7"/>
    <w:rsid w:val="1FA15E62"/>
    <w:rsid w:val="1FED69B6"/>
    <w:rsid w:val="2064678E"/>
    <w:rsid w:val="20DC1AB9"/>
    <w:rsid w:val="20DD6197"/>
    <w:rsid w:val="212631E0"/>
    <w:rsid w:val="21A53757"/>
    <w:rsid w:val="221236C6"/>
    <w:rsid w:val="22D7662C"/>
    <w:rsid w:val="22DB6FA9"/>
    <w:rsid w:val="23326B7F"/>
    <w:rsid w:val="23461E0F"/>
    <w:rsid w:val="2380045B"/>
    <w:rsid w:val="23BC04D2"/>
    <w:rsid w:val="23EF1892"/>
    <w:rsid w:val="2483647E"/>
    <w:rsid w:val="24925E82"/>
    <w:rsid w:val="24A32D55"/>
    <w:rsid w:val="25292727"/>
    <w:rsid w:val="252E5CA9"/>
    <w:rsid w:val="256F7692"/>
    <w:rsid w:val="25BA2154"/>
    <w:rsid w:val="25C8773F"/>
    <w:rsid w:val="264A7253"/>
    <w:rsid w:val="26F0170C"/>
    <w:rsid w:val="27201D62"/>
    <w:rsid w:val="27286E73"/>
    <w:rsid w:val="27CF2642"/>
    <w:rsid w:val="27E777F5"/>
    <w:rsid w:val="27EA1D4C"/>
    <w:rsid w:val="27EA2E41"/>
    <w:rsid w:val="282459E2"/>
    <w:rsid w:val="283A7FE5"/>
    <w:rsid w:val="285F51FF"/>
    <w:rsid w:val="28DF2665"/>
    <w:rsid w:val="29072599"/>
    <w:rsid w:val="291029F3"/>
    <w:rsid w:val="2966709D"/>
    <w:rsid w:val="29CB58F0"/>
    <w:rsid w:val="2A053397"/>
    <w:rsid w:val="2A145E96"/>
    <w:rsid w:val="2AF5378F"/>
    <w:rsid w:val="2BB94DBF"/>
    <w:rsid w:val="2C6F314E"/>
    <w:rsid w:val="2CC206BE"/>
    <w:rsid w:val="2D1136DF"/>
    <w:rsid w:val="2D20606D"/>
    <w:rsid w:val="2DB87198"/>
    <w:rsid w:val="2DB93C54"/>
    <w:rsid w:val="2E3D144C"/>
    <w:rsid w:val="2E891204"/>
    <w:rsid w:val="2F3F0A28"/>
    <w:rsid w:val="2FBF7029"/>
    <w:rsid w:val="2FD0187F"/>
    <w:rsid w:val="2FD27414"/>
    <w:rsid w:val="2FFE4BB0"/>
    <w:rsid w:val="300E7B60"/>
    <w:rsid w:val="300F6E18"/>
    <w:rsid w:val="30862F5F"/>
    <w:rsid w:val="314029C9"/>
    <w:rsid w:val="31C63837"/>
    <w:rsid w:val="31C82E39"/>
    <w:rsid w:val="32601BAD"/>
    <w:rsid w:val="329F6389"/>
    <w:rsid w:val="3389023A"/>
    <w:rsid w:val="33CB74FA"/>
    <w:rsid w:val="343642F2"/>
    <w:rsid w:val="343F3010"/>
    <w:rsid w:val="345D0A00"/>
    <w:rsid w:val="34713BFD"/>
    <w:rsid w:val="34C13589"/>
    <w:rsid w:val="353369E3"/>
    <w:rsid w:val="35E00D72"/>
    <w:rsid w:val="36965B9D"/>
    <w:rsid w:val="36C549FD"/>
    <w:rsid w:val="372A3EFB"/>
    <w:rsid w:val="37A755DD"/>
    <w:rsid w:val="37F94FA0"/>
    <w:rsid w:val="380D3381"/>
    <w:rsid w:val="38115B1F"/>
    <w:rsid w:val="385E3AC3"/>
    <w:rsid w:val="387D6B9E"/>
    <w:rsid w:val="38B75FF0"/>
    <w:rsid w:val="38D45016"/>
    <w:rsid w:val="38D90432"/>
    <w:rsid w:val="3914510A"/>
    <w:rsid w:val="3926770B"/>
    <w:rsid w:val="398D3668"/>
    <w:rsid w:val="39DA0497"/>
    <w:rsid w:val="3A893816"/>
    <w:rsid w:val="3A893B6D"/>
    <w:rsid w:val="3AD1763A"/>
    <w:rsid w:val="3B6716E3"/>
    <w:rsid w:val="3B6C6B2D"/>
    <w:rsid w:val="3C242659"/>
    <w:rsid w:val="3C96719C"/>
    <w:rsid w:val="3CA72BE8"/>
    <w:rsid w:val="3CF37F8C"/>
    <w:rsid w:val="3D137554"/>
    <w:rsid w:val="3D5275AC"/>
    <w:rsid w:val="3DCC2473"/>
    <w:rsid w:val="3DEB0883"/>
    <w:rsid w:val="3E2527BF"/>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34E6957"/>
    <w:rsid w:val="43B1159A"/>
    <w:rsid w:val="43BA0E31"/>
    <w:rsid w:val="43C15147"/>
    <w:rsid w:val="43E14DD2"/>
    <w:rsid w:val="43F800E9"/>
    <w:rsid w:val="443A7E4B"/>
    <w:rsid w:val="452F5B3A"/>
    <w:rsid w:val="454E7FD2"/>
    <w:rsid w:val="46061BDC"/>
    <w:rsid w:val="461404F8"/>
    <w:rsid w:val="46413018"/>
    <w:rsid w:val="464B7E04"/>
    <w:rsid w:val="46776B7E"/>
    <w:rsid w:val="468041AA"/>
    <w:rsid w:val="468123C6"/>
    <w:rsid w:val="46901EEE"/>
    <w:rsid w:val="469C74D2"/>
    <w:rsid w:val="47445515"/>
    <w:rsid w:val="474B4782"/>
    <w:rsid w:val="47D90D14"/>
    <w:rsid w:val="48387FB0"/>
    <w:rsid w:val="483A6114"/>
    <w:rsid w:val="488727DB"/>
    <w:rsid w:val="48B82268"/>
    <w:rsid w:val="48C354B3"/>
    <w:rsid w:val="493D58B5"/>
    <w:rsid w:val="494A7A04"/>
    <w:rsid w:val="4A0A26D2"/>
    <w:rsid w:val="4A2019A5"/>
    <w:rsid w:val="4A241A0B"/>
    <w:rsid w:val="4A7B2875"/>
    <w:rsid w:val="4A934476"/>
    <w:rsid w:val="4AAA220A"/>
    <w:rsid w:val="4AE12E67"/>
    <w:rsid w:val="4B4C0111"/>
    <w:rsid w:val="4B8553A9"/>
    <w:rsid w:val="4BDB3730"/>
    <w:rsid w:val="4C0B62D7"/>
    <w:rsid w:val="4C200F7A"/>
    <w:rsid w:val="4C2B18E6"/>
    <w:rsid w:val="4CEE3180"/>
    <w:rsid w:val="4D0F4AF6"/>
    <w:rsid w:val="4DF94F37"/>
    <w:rsid w:val="4E0A1DD5"/>
    <w:rsid w:val="4E3160E5"/>
    <w:rsid w:val="4E4D37AF"/>
    <w:rsid w:val="4E8C6496"/>
    <w:rsid w:val="4EF06FBF"/>
    <w:rsid w:val="4EFD18DE"/>
    <w:rsid w:val="4F144236"/>
    <w:rsid w:val="4F663C87"/>
    <w:rsid w:val="4F7E29A8"/>
    <w:rsid w:val="4F9E1FFC"/>
    <w:rsid w:val="50447CC2"/>
    <w:rsid w:val="50874A7C"/>
    <w:rsid w:val="50895EE7"/>
    <w:rsid w:val="50921B9D"/>
    <w:rsid w:val="50D16158"/>
    <w:rsid w:val="50DB5F45"/>
    <w:rsid w:val="51025EB1"/>
    <w:rsid w:val="51141503"/>
    <w:rsid w:val="518D0ED5"/>
    <w:rsid w:val="525C687F"/>
    <w:rsid w:val="52F647F7"/>
    <w:rsid w:val="52F92565"/>
    <w:rsid w:val="53D03877"/>
    <w:rsid w:val="542F73CA"/>
    <w:rsid w:val="5430786D"/>
    <w:rsid w:val="54C811C0"/>
    <w:rsid w:val="556A442D"/>
    <w:rsid w:val="55DA564E"/>
    <w:rsid w:val="5604127D"/>
    <w:rsid w:val="56166703"/>
    <w:rsid w:val="56510474"/>
    <w:rsid w:val="56861525"/>
    <w:rsid w:val="56A93273"/>
    <w:rsid w:val="56BD550C"/>
    <w:rsid w:val="56E07045"/>
    <w:rsid w:val="56FF28AF"/>
    <w:rsid w:val="57540E7D"/>
    <w:rsid w:val="577B4878"/>
    <w:rsid w:val="57926973"/>
    <w:rsid w:val="58175352"/>
    <w:rsid w:val="581F2200"/>
    <w:rsid w:val="583059FA"/>
    <w:rsid w:val="584A0929"/>
    <w:rsid w:val="586A26B6"/>
    <w:rsid w:val="58CD2491"/>
    <w:rsid w:val="591B41B2"/>
    <w:rsid w:val="59254A26"/>
    <w:rsid w:val="59326325"/>
    <w:rsid w:val="595C505B"/>
    <w:rsid w:val="595E55C3"/>
    <w:rsid w:val="596E7E20"/>
    <w:rsid w:val="59820767"/>
    <w:rsid w:val="5A60780B"/>
    <w:rsid w:val="5AB34579"/>
    <w:rsid w:val="5AFC6609"/>
    <w:rsid w:val="5B113480"/>
    <w:rsid w:val="5BD456CE"/>
    <w:rsid w:val="5C0D1F49"/>
    <w:rsid w:val="5C1B1821"/>
    <w:rsid w:val="5CBB0CE2"/>
    <w:rsid w:val="5CBE1B59"/>
    <w:rsid w:val="5CC17177"/>
    <w:rsid w:val="5CF306BC"/>
    <w:rsid w:val="5D3F3D64"/>
    <w:rsid w:val="5D833043"/>
    <w:rsid w:val="5DD92690"/>
    <w:rsid w:val="5DDB1CFD"/>
    <w:rsid w:val="5E7E6D93"/>
    <w:rsid w:val="5ED44800"/>
    <w:rsid w:val="5F350BDE"/>
    <w:rsid w:val="5F61632C"/>
    <w:rsid w:val="5FA17648"/>
    <w:rsid w:val="5FE705CB"/>
    <w:rsid w:val="603D5080"/>
    <w:rsid w:val="60D0261B"/>
    <w:rsid w:val="6106763F"/>
    <w:rsid w:val="618E3791"/>
    <w:rsid w:val="61947DCA"/>
    <w:rsid w:val="61A46A97"/>
    <w:rsid w:val="61D1382F"/>
    <w:rsid w:val="61DC2B1A"/>
    <w:rsid w:val="61F114A2"/>
    <w:rsid w:val="62512BB4"/>
    <w:rsid w:val="625D7D1A"/>
    <w:rsid w:val="62DD7D21"/>
    <w:rsid w:val="637D586B"/>
    <w:rsid w:val="6396389B"/>
    <w:rsid w:val="63A5560B"/>
    <w:rsid w:val="63E9091F"/>
    <w:rsid w:val="64322AF9"/>
    <w:rsid w:val="64D6010D"/>
    <w:rsid w:val="64D82665"/>
    <w:rsid w:val="64E47C96"/>
    <w:rsid w:val="651E5741"/>
    <w:rsid w:val="658A4877"/>
    <w:rsid w:val="65A00902"/>
    <w:rsid w:val="65AC6EDD"/>
    <w:rsid w:val="65D41D56"/>
    <w:rsid w:val="65D97752"/>
    <w:rsid w:val="66085536"/>
    <w:rsid w:val="66105BF7"/>
    <w:rsid w:val="66150023"/>
    <w:rsid w:val="6628010D"/>
    <w:rsid w:val="669B4528"/>
    <w:rsid w:val="66CC12D7"/>
    <w:rsid w:val="67134CEF"/>
    <w:rsid w:val="671F1ABD"/>
    <w:rsid w:val="672E7154"/>
    <w:rsid w:val="67521A59"/>
    <w:rsid w:val="67C304AB"/>
    <w:rsid w:val="683F0658"/>
    <w:rsid w:val="689C6793"/>
    <w:rsid w:val="68DB0208"/>
    <w:rsid w:val="68FB170C"/>
    <w:rsid w:val="691B3D98"/>
    <w:rsid w:val="693748F0"/>
    <w:rsid w:val="69846A0E"/>
    <w:rsid w:val="69AD798C"/>
    <w:rsid w:val="69D005C0"/>
    <w:rsid w:val="69D80B96"/>
    <w:rsid w:val="6B68175F"/>
    <w:rsid w:val="6BFD799F"/>
    <w:rsid w:val="6C4A2E5A"/>
    <w:rsid w:val="6C8138D0"/>
    <w:rsid w:val="6CEF0725"/>
    <w:rsid w:val="6D4B2604"/>
    <w:rsid w:val="6D8030E4"/>
    <w:rsid w:val="6E0E35C4"/>
    <w:rsid w:val="6E0F7A08"/>
    <w:rsid w:val="6E3947F5"/>
    <w:rsid w:val="6E9C74ED"/>
    <w:rsid w:val="6EF72976"/>
    <w:rsid w:val="6F795A80"/>
    <w:rsid w:val="6F7C1D2E"/>
    <w:rsid w:val="6F8E0407"/>
    <w:rsid w:val="6FDD069F"/>
    <w:rsid w:val="70285114"/>
    <w:rsid w:val="702B4D16"/>
    <w:rsid w:val="70AA6621"/>
    <w:rsid w:val="7111480F"/>
    <w:rsid w:val="71261F49"/>
    <w:rsid w:val="712E6956"/>
    <w:rsid w:val="71473612"/>
    <w:rsid w:val="71504F32"/>
    <w:rsid w:val="7152309F"/>
    <w:rsid w:val="718F7F65"/>
    <w:rsid w:val="727B234E"/>
    <w:rsid w:val="72D068C7"/>
    <w:rsid w:val="72E42ED8"/>
    <w:rsid w:val="735E6655"/>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70719AC"/>
    <w:rsid w:val="776526CC"/>
    <w:rsid w:val="77A262E1"/>
    <w:rsid w:val="77B13C33"/>
    <w:rsid w:val="77ED6F44"/>
    <w:rsid w:val="77F45548"/>
    <w:rsid w:val="77FB1EA3"/>
    <w:rsid w:val="784E7CA6"/>
    <w:rsid w:val="78574801"/>
    <w:rsid w:val="7873527F"/>
    <w:rsid w:val="790A6425"/>
    <w:rsid w:val="790E2D96"/>
    <w:rsid w:val="791B54B2"/>
    <w:rsid w:val="795A0A34"/>
    <w:rsid w:val="797339C3"/>
    <w:rsid w:val="79D57D57"/>
    <w:rsid w:val="79F00650"/>
    <w:rsid w:val="7A1168E0"/>
    <w:rsid w:val="7A6242BF"/>
    <w:rsid w:val="7A794513"/>
    <w:rsid w:val="7AE952D2"/>
    <w:rsid w:val="7BD20556"/>
    <w:rsid w:val="7C976D69"/>
    <w:rsid w:val="7CD752DA"/>
    <w:rsid w:val="7CDE40AB"/>
    <w:rsid w:val="7CF057E2"/>
    <w:rsid w:val="7D1548B5"/>
    <w:rsid w:val="7DF84014"/>
    <w:rsid w:val="7E207949"/>
    <w:rsid w:val="7E5C0A47"/>
    <w:rsid w:val="7E670C75"/>
    <w:rsid w:val="7EE24272"/>
    <w:rsid w:val="7EEA6053"/>
    <w:rsid w:val="7F487C04"/>
    <w:rsid w:val="7FB45F21"/>
    <w:rsid w:val="7FE57088"/>
    <w:rsid w:val="7FF37FA3"/>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11">
    <w:name w:val="Normal Table"/>
    <w:semiHidden/>
    <w:qFormat/>
    <w:uiPriority w:val="0"/>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0">
    <w:name w:val="Strong"/>
    <w:basedOn w:val="9"/>
    <w:qFormat/>
    <w:uiPriority w:val="0"/>
    <w:rPr>
      <w:b/>
    </w:rPr>
  </w:style>
  <w:style w:type="paragraph" w:customStyle="1" w:styleId="12">
    <w:name w:val="WPSOffice手动目录 3"/>
    <w:qFormat/>
    <w:uiPriority w:val="0"/>
    <w:pPr>
      <w:ind w:leftChars="400"/>
    </w:pPr>
    <w:rPr>
      <w:rFonts w:ascii="Times New Roman" w:hAnsi="Times New Roman" w:eastAsia="宋体" w:cs="Times New Roman"/>
      <w:sz w:val="20"/>
      <w:szCs w:val="20"/>
    </w:rPr>
  </w:style>
  <w:style w:type="paragraph" w:customStyle="1" w:styleId="13">
    <w:name w:val="WPSOffice手动目录 2"/>
    <w:qFormat/>
    <w:uiPriority w:val="0"/>
    <w:pPr>
      <w:ind w:leftChars="200"/>
    </w:pPr>
    <w:rPr>
      <w:rFonts w:ascii="Times New Roman" w:hAnsi="Times New Roman" w:eastAsia="宋体" w:cs="Times New Roman"/>
      <w:sz w:val="20"/>
      <w:szCs w:val="20"/>
    </w:rPr>
  </w:style>
  <w:style w:type="paragraph" w:customStyle="1" w:styleId="14">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5617</Words>
  <Characters>6317</Characters>
  <Lines>0</Lines>
  <Paragraphs>0</Paragraphs>
  <ScaleCrop>false</ScaleCrop>
  <LinksUpToDate>false</LinksUpToDate>
  <CharactersWithSpaces>6331</CharactersWithSpaces>
  <Application>WPS Office_10.8.0.5391_F1E327BC-269C-435d-A152-05C5408002CA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cp:lastPrinted>2024-10-17T10:54:56Z</cp:lastPrinted>
  <dcterms:modified xsi:type="dcterms:W3CDTF">2024-10-17T11:00:32Z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2052-10.8.0.5391</vt:lpwstr>
  </property>
  <property fmtid="{D5CDD505-2E9C-101B-9397-08002B2CF9AE}" pid="3" name="ICV">
    <vt:lpwstr>D624B15633CD43C8BF9435464A96BF70</vt:lpwstr>
  </property>
</Properties>
</file>