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新疆维吾尔自治区残疾人劳动就业服务中心(新疆维吾尔自治区盲人按摩指导中心)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2023年度</w:t>
      </w:r>
      <w:r>
        <w:rPr>
          <w:rFonts w:hint="eastAsia" w:ascii="方正小标宋_GBK" w:hAnsi="宋体" w:eastAsia="方正小标宋_GBK"/>
          <w:sz w:val="44"/>
          <w:szCs w:val="44"/>
          <w:highlight w:val="none"/>
          <w:shd w:val="clear"/>
          <w:lang w:eastAsia="zh-CN"/>
        </w:rPr>
        <w:t>部门</w:t>
      </w:r>
      <w:r>
        <w:rPr>
          <w:rFonts w:hint="eastAsia" w:ascii="方正小标宋_GBK" w:hAnsi="宋体" w:eastAsia="方正小标宋_GBK"/>
          <w:sz w:val="44"/>
          <w:szCs w:val="44"/>
          <w:highlight w:val="none"/>
        </w:rPr>
        <w:t>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rPr>
          <w:rFonts w:hint="eastAsia" w:ascii="仿宋_GB2312" w:eastAsia="仿宋_GB2312"/>
          <w:sz w:val="32"/>
          <w:szCs w:val="32"/>
          <w:highlight w:val="none"/>
        </w:rPr>
      </w:pPr>
      <w:r>
        <w:rPr>
          <w:rFonts w:hint="eastAsia" w:ascii="仿宋_GB2312" w:eastAsia="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567"/>
      <w:bookmarkStart w:id="3" w:name="_Toc307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lang w:eastAsia="zh-CN"/>
        </w:rPr>
      </w:pPr>
      <w:bookmarkStart w:id="4" w:name="_Toc31238"/>
      <w:bookmarkStart w:id="5" w:name="_Toc2151"/>
      <w:r>
        <w:rPr>
          <w:rFonts w:ascii="仿宋_GB2312" w:eastAsia="仿宋_GB2312"/>
          <w:sz w:val="32"/>
          <w:szCs w:val="32"/>
        </w:rPr>
        <w:t>新疆维吾尔自治区残疾人劳动就业服务中心（新疆维吾尔自治区盲人按摩指导中心）的主要职能</w:t>
      </w:r>
      <w:r>
        <w:rPr>
          <w:rFonts w:hint="eastAsia" w:ascii="仿宋_GB2312" w:eastAsia="仿宋_GB2312"/>
          <w:sz w:val="32"/>
          <w:szCs w:val="32"/>
          <w:lang w:eastAsia="zh-CN"/>
        </w:rPr>
        <w:t>是承担全区残疾人就业服务指导工作，推行按比例安排残疾人就业；承担自治区残疾人的待业调查、就失业登记、能力评估、职业培训、就业介绍、残疾人大学生就业援助等工作；承担自治区盲人医疗按摩人员相关管理和服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sz w:val="32"/>
          <w:szCs w:val="32"/>
          <w:highlight w:val="none"/>
        </w:rPr>
      </w:pPr>
      <w:r>
        <w:rPr>
          <w:rFonts w:hint="eastAsia" w:ascii="仿宋_GB2312" w:eastAsia="仿宋_GB2312"/>
          <w:sz w:val="32"/>
          <w:szCs w:val="32"/>
          <w:highlight w:val="none"/>
          <w:lang w:val="en-US" w:eastAsia="zh-CN"/>
        </w:rPr>
        <w:t>新疆维吾尔自治区残疾人劳动就业服务中心(新疆维吾尔自治区盲人按摩指导中心)</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zh-CN" w:eastAsia="zh-CN"/>
        </w:rPr>
        <w:t>25</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15</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10</w:t>
      </w:r>
      <w:r>
        <w:rPr>
          <w:rFonts w:hint="eastAsia" w:ascii="仿宋_GB2312" w:eastAsia="仿宋_GB2312"/>
          <w:sz w:val="32"/>
          <w:szCs w:val="32"/>
          <w:highlight w:val="none"/>
        </w:rPr>
        <w:t>人。</w:t>
      </w:r>
    </w:p>
    <w:p>
      <w:pPr>
        <w:ind w:firstLine="640" w:firstLineChars="200"/>
        <w:rPr>
          <w:rFonts w:hint="eastAsia" w:ascii="仿宋_GB2312" w:hAnsi="宋体" w:eastAsia="仿宋_GB2312" w:cs="宋体"/>
          <w:kern w:val="0"/>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个处室，分别是：办公室、职业能力建设科、就业服务指导科、盲人按摩指导科、集中就业科</w:t>
      </w:r>
      <w:r>
        <w:rPr>
          <w:rFonts w:hint="eastAsia" w:ascii="仿宋_GB2312" w:hAnsi="宋体" w:eastAsia="仿宋_GB2312" w:cs="宋体"/>
          <w:kern w:val="0"/>
          <w:sz w:val="32"/>
          <w:szCs w:val="32"/>
        </w:rPr>
        <w:t>。</w:t>
      </w:r>
    </w:p>
    <w:p>
      <w:pPr>
        <w:rPr>
          <w:rFonts w:hint="eastAsia" w:ascii="仿宋_GB2312" w:hAnsi="宋体" w:eastAsia="仿宋_GB2312" w:cs="宋体"/>
          <w:kern w:val="0"/>
          <w:sz w:val="32"/>
          <w:szCs w:val="32"/>
        </w:rPr>
      </w:pPr>
      <w:r>
        <w:rPr>
          <w:rFonts w:hint="eastAsia" w:ascii="仿宋_GB2312" w:hAnsi="宋体" w:eastAsia="仿宋_GB2312" w:cs="宋体"/>
          <w:kern w:val="0"/>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w:t>
      </w:r>
      <w:r>
        <w:rPr>
          <w:rFonts w:hint="eastAsia" w:ascii="仿宋_GB2312" w:eastAsia="仿宋_GB2312"/>
          <w:spacing w:val="0"/>
          <w:sz w:val="32"/>
          <w:szCs w:val="32"/>
          <w:highlight w:val="none"/>
          <w:lang w:val="en-US" w:eastAsia="zh-CN"/>
        </w:rPr>
        <w:t>收入总计</w:t>
      </w:r>
      <w:r>
        <w:rPr>
          <w:rFonts w:hint="eastAsia" w:ascii="仿宋_GB2312" w:eastAsia="仿宋_GB2312"/>
          <w:spacing w:val="0"/>
          <w:sz w:val="32"/>
          <w:szCs w:val="32"/>
          <w:highlight w:val="none"/>
          <w:lang w:eastAsia="zh-CN"/>
        </w:rPr>
        <w:t>838.47万元，</w:t>
      </w:r>
      <w:r>
        <w:rPr>
          <w:rFonts w:hint="eastAsia" w:ascii="仿宋_GB2312" w:eastAsia="仿宋_GB2312"/>
          <w:spacing w:val="0"/>
          <w:sz w:val="32"/>
          <w:szCs w:val="32"/>
          <w:highlight w:val="none"/>
          <w:lang w:val="en-US" w:eastAsia="zh-CN"/>
        </w:rPr>
        <w:t>其中：本年收入合计</w:t>
      </w:r>
      <w:r>
        <w:rPr>
          <w:rFonts w:hint="eastAsia" w:ascii="仿宋_GB2312" w:eastAsia="仿宋_GB2312"/>
          <w:spacing w:val="0"/>
          <w:sz w:val="32"/>
          <w:szCs w:val="32"/>
          <w:highlight w:val="none"/>
          <w:lang w:eastAsia="zh-CN"/>
        </w:rPr>
        <w:t>749.73万元，使用非财政拨款结余0.00万元，年初结转和结余88.74万元。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2023</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度</w:t>
      </w:r>
      <w:r>
        <w:rPr>
          <w:rFonts w:hint="eastAsia" w:ascii="仿宋_GB2312" w:eastAsia="仿宋_GB2312"/>
          <w:spacing w:val="0"/>
          <w:sz w:val="32"/>
          <w:szCs w:val="32"/>
          <w:highlight w:val="none"/>
          <w:lang w:eastAsia="zh-CN"/>
        </w:rPr>
        <w:t>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eastAsia="zh-CN"/>
        </w:rPr>
        <w:t>838.47万元，</w:t>
      </w:r>
      <w:r>
        <w:rPr>
          <w:rFonts w:hint="eastAsia" w:ascii="仿宋_GB2312" w:eastAsia="仿宋_GB2312"/>
          <w:spacing w:val="0"/>
          <w:sz w:val="32"/>
          <w:szCs w:val="32"/>
          <w:highlight w:val="none"/>
          <w:lang w:val="en-US" w:eastAsia="zh-CN"/>
        </w:rPr>
        <w:t>其中：本年支出合计</w:t>
      </w:r>
      <w:r>
        <w:rPr>
          <w:rFonts w:hint="eastAsia" w:ascii="仿宋_GB2312" w:eastAsia="仿宋_GB2312"/>
          <w:spacing w:val="0"/>
          <w:sz w:val="32"/>
          <w:szCs w:val="32"/>
          <w:highlight w:val="none"/>
          <w:lang w:eastAsia="zh-CN"/>
        </w:rPr>
        <w:t>749.63万元，</w:t>
      </w:r>
      <w:r>
        <w:rPr>
          <w:rFonts w:hint="eastAsia" w:ascii="仿宋_GB2312" w:eastAsia="仿宋_GB2312"/>
          <w:spacing w:val="0"/>
          <w:sz w:val="32"/>
          <w:szCs w:val="32"/>
          <w:highlight w:val="none"/>
          <w:lang w:val="en-US" w:eastAsia="zh-CN"/>
        </w:rPr>
        <w:t>结余分配</w:t>
      </w:r>
      <w:r>
        <w:rPr>
          <w:rFonts w:hint="eastAsia" w:ascii="仿宋_GB2312" w:eastAsia="仿宋_GB2312"/>
          <w:spacing w:val="0"/>
          <w:sz w:val="32"/>
          <w:szCs w:val="32"/>
          <w:highlight w:val="none"/>
          <w:lang w:eastAsia="zh-CN"/>
        </w:rPr>
        <w:t>0.00万元，年末结转和结余88.84万元。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val="en-US" w:eastAsia="zh-CN"/>
        </w:rPr>
        <w:t>收入支出总体与上年相比</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增加129.62万元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增长18.29%</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本年收入</w:t>
      </w:r>
      <w:r>
        <w:rPr>
          <w:rFonts w:hint="eastAsia" w:ascii="仿宋_GB2312" w:eastAsia="仿宋_GB2312"/>
          <w:sz w:val="32"/>
          <w:szCs w:val="32"/>
          <w:highlight w:val="none"/>
          <w:lang w:eastAsia="zh-CN"/>
        </w:rPr>
        <w:t>749.73</w:t>
      </w:r>
      <w:r>
        <w:rPr>
          <w:rFonts w:hint="eastAsia" w:ascii="仿宋_GB2312" w:eastAsia="仿宋_GB2312"/>
          <w:sz w:val="32"/>
          <w:szCs w:val="32"/>
          <w:highlight w:val="none"/>
        </w:rPr>
        <w:t>万元，其中：财政拨款收入</w:t>
      </w:r>
      <w:r>
        <w:rPr>
          <w:rFonts w:hint="eastAsia" w:ascii="仿宋_GB2312" w:eastAsia="仿宋_GB2312"/>
          <w:sz w:val="32"/>
          <w:szCs w:val="32"/>
          <w:highlight w:val="none"/>
          <w:lang w:val="zh-CN"/>
        </w:rPr>
        <w:t>749.49</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99.97</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0.25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0.03</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2" w:name="_Toc27961"/>
      <w:bookmarkStart w:id="13" w:name="_Toc1320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sz w:val="30"/>
          <w:szCs w:val="30"/>
          <w:highlight w:val="none"/>
          <w:lang w:val="zh-CN" w:eastAsia="zh-CN"/>
        </w:rPr>
      </w:pPr>
      <w:r>
        <w:rPr>
          <w:rFonts w:hint="eastAsia" w:ascii="Times New Roman" w:hAnsi="Times New Roman" w:eastAsia="仿宋_GB2312" w:cs="仿宋_GB2312"/>
          <w:sz w:val="32"/>
          <w:szCs w:val="32"/>
          <w:highlight w:val="none"/>
          <w:lang w:val="zh-CN" w:eastAsia="zh-CN"/>
        </w:rPr>
        <w:t>本年支出749.63万元，其中：基本支出342.80万元，占45.73%；项目支出406.82万元，占54.27%；上缴上级支出0.00万元，占0.00%；经营支出0.00万元，占0.00%；对附属单位补助支出0.00万元，占0.00%。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4" w:name="_Toc4393"/>
      <w:bookmarkStart w:id="15" w:name="_Toc26564"/>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2023年度财政拨款收入</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其中：年初财政拨款结转和结余</w:t>
      </w:r>
      <w:r>
        <w:rPr>
          <w:rFonts w:hint="eastAsia" w:ascii="仿宋_GB2312" w:eastAsia="仿宋_GB2312"/>
          <w:spacing w:val="0"/>
          <w:sz w:val="32"/>
          <w:szCs w:val="32"/>
          <w:highlight w:val="none"/>
          <w:lang w:val="zh-CN" w:eastAsia="zh-CN"/>
        </w:rPr>
        <w:t>88.74</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本年财政拨款收入</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万元。财政拨款支出</w:t>
      </w:r>
      <w:r>
        <w:rPr>
          <w:rFonts w:hint="eastAsia" w:ascii="仿宋_GB2312" w:eastAsia="仿宋_GB2312"/>
          <w:spacing w:val="0"/>
          <w:sz w:val="32"/>
          <w:szCs w:val="32"/>
          <w:highlight w:val="none"/>
          <w:lang w:val="en-US" w:eastAsia="zh-CN"/>
        </w:rPr>
        <w:t>总计</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其中：年末财政拨款结转和结余</w:t>
      </w:r>
      <w:r>
        <w:rPr>
          <w:rFonts w:hint="eastAsia" w:ascii="仿宋_GB2312" w:eastAsia="仿宋_GB2312"/>
          <w:spacing w:val="0"/>
          <w:sz w:val="32"/>
          <w:szCs w:val="32"/>
          <w:highlight w:val="none"/>
          <w:lang w:val="zh-CN" w:eastAsia="zh-CN"/>
        </w:rPr>
        <w:t>88.74</w:t>
      </w:r>
      <w:r>
        <w:rPr>
          <w:rFonts w:hint="eastAsia" w:ascii="仿宋_GB2312" w:eastAsia="仿宋_GB2312"/>
          <w:spacing w:val="0"/>
          <w:sz w:val="32"/>
          <w:szCs w:val="32"/>
          <w:highlight w:val="none"/>
          <w:lang w:eastAsia="zh-CN"/>
        </w:rPr>
        <w:t>万元，</w:t>
      </w:r>
      <w:r>
        <w:rPr>
          <w:rFonts w:hint="eastAsia" w:ascii="仿宋_GB2312" w:eastAsia="仿宋_GB2312"/>
          <w:spacing w:val="0"/>
          <w:sz w:val="32"/>
          <w:szCs w:val="32"/>
          <w:highlight w:val="none"/>
          <w:lang w:val="en-US" w:eastAsia="zh-CN"/>
        </w:rPr>
        <w:t>本年财政拨款支出</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财政拨款收入支出总体与上年相比</w:t>
      </w:r>
      <w:r>
        <w:rPr>
          <w:rFonts w:hint="eastAsia" w:ascii="仿宋_GB2312" w:eastAsia="仿宋_GB2312"/>
          <w:spacing w:val="0"/>
          <w:sz w:val="32"/>
          <w:szCs w:val="32"/>
          <w:highlight w:val="none"/>
          <w:lang w:val="en-US" w:eastAsia="zh-CN"/>
        </w:rPr>
        <w:t>,</w:t>
      </w:r>
      <w:r>
        <w:rPr>
          <w:rFonts w:hint="eastAsia" w:ascii="仿宋_GB2312" w:eastAsia="仿宋_GB2312"/>
          <w:spacing w:val="0"/>
          <w:sz w:val="32"/>
          <w:szCs w:val="32"/>
          <w:highlight w:val="none"/>
          <w:lang w:val="zh-CN" w:eastAsia="zh-CN"/>
        </w:rPr>
        <w:t>增加129.7</w:t>
      </w:r>
      <w:r>
        <w:rPr>
          <w:rFonts w:hint="eastAsia" w:ascii="仿宋_GB2312" w:eastAsia="仿宋_GB2312"/>
          <w:spacing w:val="0"/>
          <w:sz w:val="32"/>
          <w:szCs w:val="32"/>
          <w:highlight w:val="none"/>
          <w:lang w:val="en-US" w:eastAsia="zh-CN"/>
        </w:rPr>
        <w:t>5</w:t>
      </w:r>
      <w:r>
        <w:rPr>
          <w:rFonts w:hint="eastAsia" w:ascii="仿宋_GB2312" w:eastAsia="仿宋_GB2312"/>
          <w:spacing w:val="0"/>
          <w:sz w:val="32"/>
          <w:szCs w:val="32"/>
          <w:highlight w:val="none"/>
          <w:lang w:val="zh-CN" w:eastAsia="zh-CN"/>
        </w:rPr>
        <w:t>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增长18.3</w:t>
      </w:r>
      <w:r>
        <w:rPr>
          <w:rFonts w:hint="eastAsia" w:ascii="仿宋_GB2312" w:eastAsia="仿宋_GB2312"/>
          <w:spacing w:val="0"/>
          <w:sz w:val="32"/>
          <w:szCs w:val="32"/>
          <w:highlight w:val="none"/>
          <w:lang w:val="en-US" w:eastAsia="zh-CN"/>
        </w:rPr>
        <w:t>1</w:t>
      </w:r>
      <w:r>
        <w:rPr>
          <w:rFonts w:hint="eastAsia" w:ascii="仿宋_GB2312" w:eastAsia="仿宋_GB2312"/>
          <w:spacing w:val="0"/>
          <w:sz w:val="32"/>
          <w:szCs w:val="32"/>
          <w:highlight w:val="none"/>
          <w:lang w:val="zh-CN" w:eastAsia="zh-CN"/>
        </w:rPr>
        <w:t>%，</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追加了调增基本工资、年度绩效考核奖、单位职业年金缴费等基本支出，追加全国及全疆残疾人职业技能竞赛培训项目经费。与年初预算相比，年初预算数</w:t>
      </w:r>
      <w:r>
        <w:rPr>
          <w:rFonts w:hint="eastAsia" w:ascii="仿宋_GB2312" w:eastAsia="仿宋_GB2312"/>
          <w:spacing w:val="0"/>
          <w:sz w:val="32"/>
          <w:szCs w:val="32"/>
          <w:highlight w:val="none"/>
          <w:lang w:val="zh-CN" w:eastAsia="zh-CN"/>
        </w:rPr>
        <w:t>586.42</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838.22</w:t>
      </w:r>
      <w:r>
        <w:rPr>
          <w:rFonts w:hint="eastAsia" w:ascii="仿宋_GB2312" w:eastAsia="仿宋_GB2312"/>
          <w:spacing w:val="0"/>
          <w:sz w:val="32"/>
          <w:szCs w:val="32"/>
          <w:highlight w:val="none"/>
          <w:lang w:eastAsia="zh-CN"/>
        </w:rPr>
        <w:t>万元，预决算差异率42.94%，主要原因是：</w:t>
      </w:r>
      <w:r>
        <w:rPr>
          <w:rFonts w:hint="eastAsia" w:ascii="仿宋_GB2312" w:eastAsia="仿宋_GB2312"/>
          <w:spacing w:val="0"/>
          <w:sz w:val="32"/>
          <w:szCs w:val="32"/>
          <w:highlight w:val="none"/>
          <w:lang w:eastAsia="zh-CN"/>
        </w:rPr>
        <w:t>基本支出预算年中追加在职人员绩效考核奖、调增艰边贴、第三季度职业年金及退休人员提高基础绩效奖；</w:t>
      </w:r>
      <w:r>
        <w:rPr>
          <w:rFonts w:hint="eastAsia" w:ascii="仿宋_GB2312" w:eastAsia="仿宋_GB2312"/>
          <w:spacing w:val="0"/>
          <w:sz w:val="32"/>
          <w:szCs w:val="32"/>
          <w:highlight w:val="none"/>
          <w:lang w:val="en-US" w:eastAsia="zh-CN"/>
        </w:rPr>
        <w:t>年中追加第六届自治区残疾人职业技能竞赛及组团参加由人社部和中国残联举办的第七届全国残疾人职业技能大赛暨第四届全国残疾人展能节经费。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6" w:name="_Toc13833"/>
      <w:bookmarkStart w:id="17" w:name="_Toc20360"/>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eastAsia="zh-CN"/>
        </w:rPr>
        <w:t>2023年度一般公共预算财政拨款支出749.49万元，占本年支出合计的</w:t>
      </w:r>
      <w:r>
        <w:rPr>
          <w:rFonts w:hint="eastAsia" w:ascii="仿宋_GB2312" w:eastAsia="仿宋_GB2312"/>
          <w:spacing w:val="0"/>
          <w:sz w:val="32"/>
          <w:szCs w:val="32"/>
          <w:highlight w:val="none"/>
          <w:lang w:val="zh-CN" w:eastAsia="zh-CN"/>
        </w:rPr>
        <w:t>99.98%</w:t>
      </w:r>
      <w:r>
        <w:rPr>
          <w:rFonts w:hint="eastAsia" w:ascii="仿宋_GB2312" w:eastAsia="仿宋_GB2312"/>
          <w:spacing w:val="0"/>
          <w:sz w:val="32"/>
          <w:szCs w:val="32"/>
          <w:highlight w:val="none"/>
          <w:lang w:eastAsia="zh-CN"/>
        </w:rPr>
        <w:t>。与上年相比，</w:t>
      </w:r>
      <w:r>
        <w:rPr>
          <w:rFonts w:hint="eastAsia" w:ascii="仿宋_GB2312" w:eastAsia="仿宋_GB2312"/>
          <w:spacing w:val="0"/>
          <w:sz w:val="32"/>
          <w:szCs w:val="32"/>
          <w:highlight w:val="none"/>
          <w:lang w:val="zh-CN" w:eastAsia="zh-CN"/>
        </w:rPr>
        <w:t>增加129.7</w:t>
      </w:r>
      <w:r>
        <w:rPr>
          <w:rFonts w:hint="eastAsia" w:ascii="仿宋_GB2312" w:eastAsia="仿宋_GB2312"/>
          <w:spacing w:val="0"/>
          <w:sz w:val="32"/>
          <w:szCs w:val="32"/>
          <w:highlight w:val="none"/>
          <w:lang w:val="en-US" w:eastAsia="zh-CN"/>
        </w:rPr>
        <w:t>6</w:t>
      </w:r>
      <w:r>
        <w:rPr>
          <w:rFonts w:hint="eastAsia" w:ascii="仿宋_GB2312" w:eastAsia="仿宋_GB2312"/>
          <w:spacing w:val="0"/>
          <w:sz w:val="32"/>
          <w:szCs w:val="32"/>
          <w:highlight w:val="none"/>
          <w:lang w:val="zh-CN" w:eastAsia="zh-CN"/>
        </w:rPr>
        <w:t>万元</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zh-CN" w:eastAsia="zh-CN"/>
        </w:rPr>
        <w:t>增长20.94%，</w:t>
      </w:r>
      <w:r>
        <w:rPr>
          <w:rFonts w:hint="eastAsia" w:ascii="仿宋_GB2312" w:eastAsia="仿宋_GB2312"/>
          <w:spacing w:val="0"/>
          <w:sz w:val="32"/>
          <w:szCs w:val="32"/>
          <w:highlight w:val="none"/>
          <w:lang w:eastAsia="zh-CN"/>
        </w:rPr>
        <w:t>主要原因是：</w:t>
      </w:r>
      <w:r>
        <w:rPr>
          <w:rFonts w:hint="eastAsia" w:ascii="仿宋_GB2312" w:eastAsia="仿宋_GB2312"/>
          <w:spacing w:val="0"/>
          <w:sz w:val="32"/>
          <w:szCs w:val="32"/>
          <w:highlight w:val="none"/>
          <w:lang w:val="en-US" w:eastAsia="zh-CN"/>
        </w:rPr>
        <w:t>2023年</w:t>
      </w:r>
      <w:r>
        <w:rPr>
          <w:rFonts w:hint="eastAsia" w:ascii="仿宋_GB2312" w:eastAsia="仿宋_GB2312"/>
          <w:spacing w:val="0"/>
          <w:sz w:val="32"/>
          <w:szCs w:val="32"/>
          <w:highlight w:val="none"/>
          <w:lang w:eastAsia="zh-CN"/>
        </w:rPr>
        <w:t>追加了调增基本工资、年度绩效考核奖、单位职业年金缴费等基本支出，追加全国及全疆残疾人职业技能竞赛培训项目经费。与年初预算相比，年初预算数</w:t>
      </w:r>
      <w:r>
        <w:rPr>
          <w:rFonts w:hint="eastAsia" w:ascii="仿宋_GB2312" w:eastAsia="仿宋_GB2312"/>
          <w:spacing w:val="0"/>
          <w:sz w:val="32"/>
          <w:szCs w:val="32"/>
          <w:highlight w:val="none"/>
          <w:lang w:val="zh-CN" w:eastAsia="zh-CN"/>
        </w:rPr>
        <w:t>586.42</w:t>
      </w:r>
      <w:r>
        <w:rPr>
          <w:rFonts w:hint="eastAsia" w:ascii="仿宋_GB2312" w:eastAsia="仿宋_GB2312"/>
          <w:spacing w:val="0"/>
          <w:sz w:val="32"/>
          <w:szCs w:val="32"/>
          <w:highlight w:val="none"/>
          <w:lang w:eastAsia="zh-CN"/>
        </w:rPr>
        <w:t>万元，决算数</w:t>
      </w:r>
      <w:r>
        <w:rPr>
          <w:rFonts w:hint="eastAsia" w:ascii="仿宋_GB2312" w:eastAsia="仿宋_GB2312"/>
          <w:spacing w:val="0"/>
          <w:sz w:val="32"/>
          <w:szCs w:val="32"/>
          <w:highlight w:val="none"/>
          <w:lang w:val="zh-CN" w:eastAsia="zh-CN"/>
        </w:rPr>
        <w:t>749.49</w:t>
      </w:r>
      <w:r>
        <w:rPr>
          <w:rFonts w:hint="eastAsia" w:ascii="仿宋_GB2312" w:eastAsia="仿宋_GB2312"/>
          <w:spacing w:val="0"/>
          <w:sz w:val="32"/>
          <w:szCs w:val="32"/>
          <w:highlight w:val="none"/>
          <w:lang w:eastAsia="zh-CN"/>
        </w:rPr>
        <w:t>万元，预决算差异率</w:t>
      </w:r>
      <w:r>
        <w:rPr>
          <w:rFonts w:hint="eastAsia" w:ascii="仿宋_GB2312" w:eastAsia="仿宋_GB2312"/>
          <w:spacing w:val="0"/>
          <w:sz w:val="32"/>
          <w:szCs w:val="32"/>
          <w:highlight w:val="none"/>
          <w:lang w:val="zh-CN" w:eastAsia="zh-CN"/>
        </w:rPr>
        <w:t>27.81%</w:t>
      </w:r>
      <w:r>
        <w:rPr>
          <w:rFonts w:hint="eastAsia" w:ascii="仿宋_GB2312" w:eastAsia="仿宋_GB2312"/>
          <w:spacing w:val="0"/>
          <w:sz w:val="32"/>
          <w:szCs w:val="32"/>
          <w:highlight w:val="none"/>
          <w:lang w:eastAsia="zh-CN"/>
        </w:rPr>
        <w:t>，主要原因是：</w:t>
      </w:r>
      <w:r>
        <w:rPr>
          <w:rFonts w:hint="eastAsia" w:ascii="仿宋_GB2312" w:hAnsi="仿宋" w:eastAsia="仿宋_GB2312"/>
          <w:color w:val="000000"/>
          <w:sz w:val="32"/>
          <w:szCs w:val="32"/>
        </w:rPr>
        <w:t>基本支出预算年中追加在职人员绩效</w:t>
      </w:r>
      <w:r>
        <w:rPr>
          <w:rFonts w:hint="eastAsia" w:ascii="仿宋_GB2312" w:hAnsi="仿宋" w:eastAsia="仿宋_GB2312"/>
          <w:color w:val="000000"/>
          <w:sz w:val="32"/>
          <w:szCs w:val="32"/>
          <w:lang w:eastAsia="zh-CN"/>
        </w:rPr>
        <w:t>考核奖</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eastAsia="zh-CN"/>
        </w:rPr>
        <w:t>调增艰边贴、第三季度职业年金及</w:t>
      </w:r>
      <w:r>
        <w:rPr>
          <w:rFonts w:hint="eastAsia" w:ascii="仿宋_GB2312" w:hAnsi="仿宋" w:eastAsia="仿宋_GB2312"/>
          <w:color w:val="000000"/>
          <w:sz w:val="32"/>
          <w:szCs w:val="32"/>
        </w:rPr>
        <w:t>退休人员</w:t>
      </w:r>
      <w:r>
        <w:rPr>
          <w:rFonts w:hint="eastAsia" w:ascii="仿宋_GB2312" w:hAnsi="仿宋" w:eastAsia="仿宋_GB2312"/>
          <w:color w:val="000000"/>
          <w:sz w:val="32"/>
          <w:szCs w:val="32"/>
          <w:lang w:eastAsia="zh-CN"/>
        </w:rPr>
        <w:t>提高基础</w:t>
      </w:r>
      <w:r>
        <w:rPr>
          <w:rFonts w:hint="eastAsia" w:ascii="仿宋_GB2312" w:hAnsi="仿宋" w:eastAsia="仿宋_GB2312"/>
          <w:color w:val="000000"/>
          <w:sz w:val="32"/>
          <w:szCs w:val="32"/>
        </w:rPr>
        <w:t>绩效奖；</w:t>
      </w:r>
      <w:r>
        <w:rPr>
          <w:rFonts w:hint="eastAsia" w:ascii="仿宋_GB2312" w:hAnsi="仿宋" w:eastAsia="仿宋_GB2312"/>
          <w:color w:val="000000"/>
          <w:sz w:val="32"/>
          <w:szCs w:val="32"/>
          <w:lang w:val="en-US" w:eastAsia="zh-CN"/>
        </w:rPr>
        <w:t>年中追加</w:t>
      </w:r>
      <w:r>
        <w:rPr>
          <w:rFonts w:hint="eastAsia" w:ascii="仿宋" w:hAnsi="仿宋" w:eastAsia="仿宋" w:cs="仿宋"/>
          <w:b w:val="0"/>
          <w:bCs w:val="0"/>
          <w:color w:val="000000"/>
          <w:sz w:val="32"/>
          <w:szCs w:val="32"/>
          <w:lang w:val="en-US" w:eastAsia="zh-CN"/>
        </w:rPr>
        <w:t>第六届自治区残疾人职业技能竞赛</w:t>
      </w:r>
      <w:r>
        <w:rPr>
          <w:rFonts w:hint="eastAsia" w:ascii="仿宋_GB2312" w:hAnsi="仿宋" w:eastAsia="仿宋_GB2312"/>
          <w:b w:val="0"/>
          <w:bCs w:val="0"/>
          <w:color w:val="000000"/>
          <w:sz w:val="32"/>
          <w:szCs w:val="32"/>
          <w:lang w:val="en-US" w:eastAsia="zh-CN"/>
        </w:rPr>
        <w:t>及</w:t>
      </w:r>
      <w:r>
        <w:rPr>
          <w:rFonts w:hint="eastAsia" w:ascii="仿宋" w:hAnsi="仿宋" w:eastAsia="仿宋" w:cs="仿宋"/>
          <w:b w:val="0"/>
          <w:bCs w:val="0"/>
          <w:color w:val="000000"/>
          <w:sz w:val="32"/>
          <w:szCs w:val="32"/>
          <w:lang w:val="en-US" w:eastAsia="zh-CN"/>
        </w:rPr>
        <w:t>组团参加由人社部和中国残联举办的第七届全国残疾人职业技能大赛暨第四届全国残疾人展能节经费</w:t>
      </w:r>
      <w:r>
        <w:rPr>
          <w:rFonts w:hint="eastAsia" w:ascii="仿宋_GB2312" w:hAnsi="仿宋" w:eastAsia="仿宋_GB2312"/>
          <w:color w:val="00000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1</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社会保障和就业支出（类）</w:t>
      </w:r>
      <w:r>
        <w:rPr>
          <w:rFonts w:hint="eastAsia" w:ascii="仿宋_GB2312" w:hAnsi="Times New Roman" w:eastAsia="仿宋_GB2312" w:cs="Times New Roman"/>
          <w:spacing w:val="0"/>
          <w:kern w:val="2"/>
          <w:sz w:val="32"/>
          <w:szCs w:val="32"/>
          <w:highlight w:val="none"/>
          <w:lang w:val="zh-CN" w:eastAsia="zh-CN" w:bidi="ar-SA"/>
        </w:rPr>
        <w:t>702.18</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93.69</w:t>
      </w:r>
      <w:r>
        <w:rPr>
          <w:rFonts w:hint="default" w:ascii="仿宋_GB2312" w:hAnsi="Times New Roman" w:eastAsia="仿宋_GB2312" w:cs="Times New Roman"/>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2</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卫生健康支出（类）</w:t>
      </w:r>
      <w:r>
        <w:rPr>
          <w:rFonts w:hint="eastAsia" w:ascii="仿宋_GB2312" w:hAnsi="Times New Roman" w:eastAsia="仿宋_GB2312" w:cs="Times New Roman"/>
          <w:spacing w:val="0"/>
          <w:kern w:val="2"/>
          <w:sz w:val="32"/>
          <w:szCs w:val="32"/>
          <w:highlight w:val="none"/>
          <w:lang w:val="zh-CN" w:eastAsia="zh-CN" w:bidi="ar-SA"/>
        </w:rPr>
        <w:t>25.89</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3.45</w:t>
      </w:r>
      <w:r>
        <w:rPr>
          <w:rFonts w:hint="default" w:ascii="仿宋_GB2312" w:hAnsi="Times New Roman" w:eastAsia="仿宋_GB2312" w:cs="Times New Roman"/>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spacing w:val="0"/>
          <w:kern w:val="2"/>
          <w:sz w:val="32"/>
          <w:szCs w:val="32"/>
          <w:highlight w:val="none"/>
          <w:lang w:val="zh-CN" w:eastAsia="zh-CN" w:bidi="ar-SA"/>
        </w:rPr>
      </w:pPr>
      <w:r>
        <w:rPr>
          <w:rFonts w:hint="eastAsia" w:ascii="仿宋_GB2312" w:eastAsia="仿宋_GB2312" w:cs="Times New Roman"/>
          <w:spacing w:val="0"/>
          <w:kern w:val="2"/>
          <w:sz w:val="32"/>
          <w:szCs w:val="32"/>
          <w:lang w:val="en-US" w:eastAsia="zh-CN" w:bidi="ar-SA"/>
        </w:rPr>
        <w:t>3</w:t>
      </w:r>
      <w:r>
        <w:rPr>
          <w:rFonts w:hint="default" w:ascii="仿宋_GB2312" w:hAnsi="Times New Roman" w:eastAsia="仿宋_GB2312" w:cs="Times New Roman"/>
          <w:spacing w:val="0"/>
          <w:kern w:val="2"/>
          <w:sz w:val="32"/>
          <w:szCs w:val="32"/>
          <w:lang w:val="zh-CN" w:eastAsia="zh-CN" w:bidi="ar-SA"/>
        </w:rPr>
        <w:t>.</w:t>
      </w:r>
      <w:r>
        <w:rPr>
          <w:rFonts w:hint="default" w:ascii="仿宋_GB2312" w:hAnsi="Times New Roman" w:eastAsia="仿宋_GB2312" w:cs="Times New Roman"/>
          <w:spacing w:val="0"/>
          <w:kern w:val="2"/>
          <w:sz w:val="32"/>
          <w:szCs w:val="32"/>
          <w:highlight w:val="none"/>
          <w:lang w:val="zh-CN" w:eastAsia="zh-CN" w:bidi="ar-SA"/>
        </w:rPr>
        <w:t>住房保障支出（类）</w:t>
      </w:r>
      <w:r>
        <w:rPr>
          <w:rFonts w:hint="eastAsia" w:ascii="仿宋_GB2312" w:hAnsi="Times New Roman" w:eastAsia="仿宋_GB2312" w:cs="Times New Roman"/>
          <w:spacing w:val="0"/>
          <w:kern w:val="2"/>
          <w:sz w:val="32"/>
          <w:szCs w:val="32"/>
          <w:highlight w:val="none"/>
          <w:lang w:val="zh-CN" w:eastAsia="zh-CN" w:bidi="ar-SA"/>
        </w:rPr>
        <w:t>21.42</w:t>
      </w:r>
      <w:r>
        <w:rPr>
          <w:rFonts w:hint="default" w:ascii="仿宋_GB2312" w:hAnsi="Times New Roman" w:eastAsia="仿宋_GB2312" w:cs="Times New Roman"/>
          <w:spacing w:val="0"/>
          <w:kern w:val="2"/>
          <w:sz w:val="32"/>
          <w:szCs w:val="32"/>
          <w:highlight w:val="none"/>
          <w:lang w:val="zh-CN" w:eastAsia="zh-CN" w:bidi="ar-SA"/>
        </w:rPr>
        <w:t>万元，占</w:t>
      </w:r>
      <w:r>
        <w:rPr>
          <w:rFonts w:hint="eastAsia" w:ascii="仿宋_GB2312" w:hAnsi="Times New Roman" w:eastAsia="仿宋_GB2312" w:cs="Times New Roman"/>
          <w:spacing w:val="0"/>
          <w:kern w:val="2"/>
          <w:sz w:val="32"/>
          <w:szCs w:val="32"/>
          <w:highlight w:val="none"/>
          <w:lang w:val="zh-CN" w:eastAsia="zh-CN" w:bidi="ar-SA"/>
        </w:rPr>
        <w:t>2.86</w:t>
      </w:r>
      <w:r>
        <w:rPr>
          <w:rFonts w:hint="default" w:ascii="仿宋_GB2312" w:hAnsi="Times New Roman" w:eastAsia="仿宋_GB2312" w:cs="Times New Roman"/>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（三）一般公共预算财政拨款支出决算具体情况</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1.社会保障和就业支出（类）残疾人事业（款）残疾人就业（项）:支出决算数为650.16万元，比上年决算增加158.16万元，增长32.15%，主要原因是：2023年追加了</w:t>
      </w:r>
      <w:r>
        <w:rPr>
          <w:rFonts w:hint="eastAsia" w:ascii="仿宋_GB2312" w:eastAsia="仿宋_GB2312"/>
          <w:sz w:val="32"/>
          <w:szCs w:val="32"/>
          <w:lang w:val="zh-CN" w:eastAsia="zh-CN"/>
        </w:rPr>
        <w:t>举办全疆残疾人职业技能竞赛及参加全国残疾人职业竞赛项目资金；</w:t>
      </w:r>
      <w:r>
        <w:rPr>
          <w:rFonts w:hint="eastAsia" w:ascii="仿宋_GB2312" w:eastAsia="仿宋_GB2312"/>
          <w:sz w:val="32"/>
          <w:szCs w:val="32"/>
          <w:lang w:val="en-US" w:eastAsia="zh-CN"/>
        </w:rPr>
        <w:t>2023年列支了新疆残疾人双创基地的年度运营管理费。</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2.卫生健康支出（类）行政事业单位医疗（款）事业单位医疗（项）:支出决算数为13.39万元，比上年决算增加1.42万元，增长</w:t>
      </w:r>
      <w:r>
        <w:rPr>
          <w:rFonts w:hint="eastAsia" w:ascii="仿宋_GB2312" w:eastAsia="仿宋_GB2312"/>
          <w:sz w:val="32"/>
          <w:szCs w:val="32"/>
          <w:shd w:val="clear"/>
          <w:lang w:val="en-US" w:eastAsia="zh-CN"/>
        </w:rPr>
        <w:t>11.86%</w:t>
      </w:r>
      <w:r>
        <w:rPr>
          <w:rFonts w:hint="eastAsia" w:ascii="仿宋_GB2312" w:eastAsia="仿宋_GB2312"/>
          <w:sz w:val="32"/>
          <w:szCs w:val="32"/>
          <w:lang w:val="en-US" w:eastAsia="zh-CN"/>
        </w:rPr>
        <w:t>，主要原因是：2023年事业单位医疗项中职工基本医疗保险缴费基数较上年调增。</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3.卫生健康支出（类）行政事业单位医疗（款）公务员医疗补助（项）:支出决算数为12.50万元，比上年决算增加3.19万元，增长34.26%，主要原因是：2023年事业单位医疗项中职工公务员医疗补助缴费基数较上年调增。</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4.住房保障支出（类）住房改革支出（款）住房公积金（项）:支出决算数为21.42万元，比上年决算增加4.79万元，增长28.80%，主要原因是：2023年职工住房公积金缴费基数较上年调增。</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5.社会保障和就业支出（类）行政事业单位养老支出（款）事业单位离退休（项）:支出决算数为15.99万元，比上年决算增加2.85万元，增长21.69%，主要原因是：退休人员绩效奖金较去年增长。</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6.社会保障和就业支出（类）行政事业单位养老支出（款）机关事业单位职业年金缴费支出（项）:支出决算数为7.46万元，比上年决算增加7.46万元，增长100%，主要原因是：2023年退休人员增加1人</w:t>
      </w:r>
      <w:r>
        <w:rPr>
          <w:rFonts w:hint="eastAsia" w:ascii="仿宋_GB2312" w:eastAsia="仿宋_GB2312"/>
          <w:sz w:val="32"/>
          <w:szCs w:val="32"/>
          <w:lang w:val="zh-CN" w:eastAsia="zh-CN"/>
        </w:rPr>
        <w:t>。</w:t>
      </w:r>
    </w:p>
    <w:p>
      <w:pPr>
        <w:ind w:firstLine="640" w:firstLineChars="200"/>
        <w:outlineLvl w:val="1"/>
        <w:rPr>
          <w:rFonts w:hint="eastAsia" w:ascii="仿宋_GB2312" w:eastAsia="仿宋_GB2312"/>
          <w:sz w:val="32"/>
          <w:szCs w:val="32"/>
          <w:lang w:val="zh-CN" w:eastAsia="zh-CN"/>
        </w:rPr>
      </w:pPr>
      <w:r>
        <w:rPr>
          <w:rFonts w:hint="eastAsia" w:ascii="仿宋_GB2312" w:eastAsia="仿宋_GB2312"/>
          <w:sz w:val="32"/>
          <w:szCs w:val="32"/>
          <w:lang w:val="en-US" w:eastAsia="zh-CN"/>
        </w:rPr>
        <w:t>7.社会保障和就业支出（类）行政事业单位养老支出（款）机关事业单位基本养老保险缴费支出（项）:支出决算数为28.56万元，比上年决算增加6.39万元，增长</w:t>
      </w:r>
      <w:bookmarkStart w:id="48" w:name="_GoBack"/>
      <w:r>
        <w:rPr>
          <w:rFonts w:hint="eastAsia" w:ascii="仿宋_GB2312" w:eastAsia="仿宋_GB2312"/>
          <w:sz w:val="32"/>
          <w:szCs w:val="32"/>
          <w:shd w:val="clear"/>
          <w:lang w:val="en-US" w:eastAsia="zh-CN"/>
        </w:rPr>
        <w:t>28.82%</w:t>
      </w:r>
      <w:r>
        <w:rPr>
          <w:rFonts w:hint="eastAsia" w:ascii="仿宋_GB2312" w:eastAsia="仿宋_GB2312"/>
          <w:sz w:val="32"/>
          <w:szCs w:val="32"/>
          <w:shd w:val="clear"/>
          <w:lang w:val="en-US" w:eastAsia="zh-CN"/>
        </w:rPr>
        <w:t>，</w:t>
      </w:r>
      <w:bookmarkEnd w:id="48"/>
      <w:r>
        <w:rPr>
          <w:rFonts w:hint="eastAsia" w:ascii="仿宋_GB2312" w:eastAsia="仿宋_GB2312"/>
          <w:sz w:val="32"/>
          <w:szCs w:val="32"/>
          <w:lang w:val="en-US" w:eastAsia="zh-CN"/>
        </w:rPr>
        <w:t>主要原因是：2023年机关事业单位基本养老保险缴费基数较上年调增。</w:t>
      </w:r>
    </w:p>
    <w:p>
      <w:pPr>
        <w:ind w:firstLine="640" w:firstLineChars="200"/>
        <w:outlineLvl w:val="1"/>
        <w:rPr>
          <w:rFonts w:hint="eastAsia" w:ascii="Times New Roman" w:hAnsi="Times New Roman" w:eastAsia="仿宋_GB2312" w:cs="Times New Roman"/>
          <w:kern w:val="2"/>
          <w:sz w:val="32"/>
          <w:szCs w:val="32"/>
          <w:highlight w:val="yellow"/>
          <w:lang w:val="zh-CN" w:eastAsia="zh-CN" w:bidi="ar-SA"/>
        </w:rPr>
      </w:pPr>
      <w:r>
        <w:rPr>
          <w:rFonts w:hint="eastAsia" w:ascii="仿宋_GB2312" w:eastAsia="仿宋_GB2312"/>
          <w:sz w:val="32"/>
          <w:szCs w:val="32"/>
          <w:lang w:val="en-US" w:eastAsia="zh-CN"/>
        </w:rPr>
        <w:t>8.社会保障和就业支出（类）残疾人事业（款）其他残疾人事业支出（项）:支出决算数为0.00万元，比上年决算减少54.52万元，下降100%，主要原因是：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年其他残疾人事业支出科目中</w:t>
      </w:r>
      <w:r>
        <w:rPr>
          <w:rFonts w:hint="eastAsia" w:ascii="仿宋_GB2312" w:eastAsia="仿宋_GB2312"/>
          <w:sz w:val="32"/>
          <w:szCs w:val="32"/>
          <w:lang w:eastAsia="zh-CN"/>
        </w:rPr>
        <w:t>减少</w:t>
      </w:r>
      <w:r>
        <w:rPr>
          <w:rFonts w:hint="eastAsia" w:ascii="仿宋_GB2312" w:eastAsia="仿宋_GB2312"/>
          <w:sz w:val="32"/>
          <w:szCs w:val="32"/>
        </w:rPr>
        <w:t>了新疆残疾人双创基地的年度运营管理费。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eastAsia="zh-CN"/>
        </w:rPr>
        <w:t>342.80</w:t>
      </w:r>
      <w:r>
        <w:rPr>
          <w:rFonts w:hint="eastAsia" w:ascii="仿宋_GB2312" w:eastAsia="仿宋_GB2312"/>
          <w:sz w:val="32"/>
          <w:szCs w:val="32"/>
          <w:highlight w:val="none"/>
        </w:rPr>
        <w:t>万元，其中：人员经费</w:t>
      </w:r>
      <w:r>
        <w:rPr>
          <w:rFonts w:hint="eastAsia" w:ascii="仿宋_GB2312" w:eastAsia="仿宋_GB2312"/>
          <w:sz w:val="32"/>
          <w:szCs w:val="32"/>
          <w:highlight w:val="none"/>
          <w:lang w:eastAsia="zh-CN"/>
        </w:rPr>
        <w:t>322.93</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sz w:val="32"/>
          <w:szCs w:val="32"/>
          <w:highlight w:val="red"/>
          <w:lang w:val="en-US"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eastAsia="zh-CN"/>
        </w:rPr>
        <w:t>19.87</w:t>
      </w:r>
      <w:r>
        <w:rPr>
          <w:rFonts w:hint="eastAsia" w:ascii="仿宋_GB2312" w:eastAsia="仿宋_GB2312"/>
          <w:sz w:val="32"/>
          <w:szCs w:val="32"/>
          <w:highlight w:val="none"/>
        </w:rPr>
        <w:t>万元，包括：</w:t>
      </w:r>
      <w:r>
        <w:rPr>
          <w:rFonts w:hint="eastAsia" w:ascii="仿宋_GB2312" w:eastAsia="仿宋_GB2312"/>
          <w:sz w:val="32"/>
          <w:szCs w:val="32"/>
          <w:highlight w:val="none"/>
          <w:lang w:val="en-US" w:eastAsia="zh-CN"/>
        </w:rPr>
        <w:t>办公费、水费、电费、邮电费、取暖费、差旅费、工会经费、福利费、公务用车运行维护费、其他交通费用、其他商品和服务支出。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2023年度</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lang w:val="zh-CN" w:eastAsia="zh-CN"/>
        </w:rPr>
        <w:t>“三公”经费支出1.90万元，</w:t>
      </w:r>
      <w:r>
        <w:rPr>
          <w:rFonts w:hint="eastAsia" w:ascii="仿宋_GB2312" w:eastAsia="仿宋_GB2312"/>
          <w:sz w:val="32"/>
          <w:szCs w:val="32"/>
          <w:highlight w:val="none"/>
          <w:lang w:val="en-US" w:eastAsia="zh-CN"/>
        </w:rPr>
        <w:t>比上年</w:t>
      </w:r>
      <w:r>
        <w:rPr>
          <w:rFonts w:hint="eastAsia" w:ascii="仿宋_GB2312" w:eastAsia="仿宋_GB2312"/>
          <w:sz w:val="32"/>
          <w:szCs w:val="32"/>
          <w:highlight w:val="none"/>
          <w:lang w:val="zh-CN" w:eastAsia="zh-CN"/>
        </w:rPr>
        <w:t>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sz w:val="32"/>
          <w:szCs w:val="32"/>
          <w:highlight w:val="none"/>
          <w:lang w:val="zh-CN" w:eastAsia="zh-CN"/>
        </w:rPr>
        <w:t>；公务用车购置及运行维护费支出1.90万元，占100.00%，比上年增加0.00万元，增长0.00%，主要原因是：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eastAsia="zh-CN"/>
        </w:rPr>
        <w:t>具体情况如下：</w:t>
      </w:r>
    </w:p>
    <w:p>
      <w:pPr>
        <w:ind w:firstLine="640" w:firstLineChars="200"/>
        <w:rPr>
          <w:rFonts w:ascii="仿宋_GB2312" w:eastAsia="仿宋_GB2312"/>
          <w:sz w:val="32"/>
          <w:szCs w:val="32"/>
        </w:rPr>
      </w:pPr>
      <w:bookmarkStart w:id="18" w:name="_Toc5810"/>
      <w:bookmarkStart w:id="19" w:name="_Toc7927"/>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hint="eastAsia" w:ascii="仿宋_GB2312" w:eastAsia="仿宋_GB2312"/>
          <w:sz w:val="32"/>
          <w:szCs w:val="32"/>
          <w:highlight w:val="none"/>
        </w:rPr>
      </w:pPr>
      <w:r>
        <w:rPr>
          <w:rFonts w:hint="eastAsia" w:ascii="仿宋_GB2312" w:eastAsia="仿宋_GB2312"/>
          <w:sz w:val="32"/>
          <w:szCs w:val="32"/>
        </w:rPr>
        <w:t>公务用车购置及运行维护费</w:t>
      </w:r>
      <w:r>
        <w:rPr>
          <w:rFonts w:ascii="仿宋_GB2312" w:eastAsia="仿宋_GB2312"/>
          <w:sz w:val="32"/>
          <w:szCs w:val="32"/>
        </w:rPr>
        <w:t>1.90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1.90</w:t>
      </w:r>
      <w:r>
        <w:rPr>
          <w:rFonts w:hint="eastAsia" w:ascii="仿宋_GB2312" w:eastAsia="仿宋_GB2312"/>
          <w:sz w:val="32"/>
          <w:szCs w:val="32"/>
        </w:rPr>
        <w:t>万元。公务用车运行维护费开支内容包括车辆保险、燃油费、维修费、停车费等支出。公务用车购置数0辆，公务用车保有量1辆。</w:t>
      </w:r>
      <w:r>
        <w:rPr>
          <w:rFonts w:hint="eastAsia" w:ascii="仿宋_GB2312" w:eastAsia="仿宋_GB2312"/>
          <w:sz w:val="32"/>
          <w:szCs w:val="32"/>
          <w:highlight w:val="none"/>
        </w:rPr>
        <w:t>国有资产占用情况</w:t>
      </w:r>
      <w:r>
        <w:rPr>
          <w:rFonts w:hint="eastAsia" w:ascii="仿宋_GB2312" w:eastAsia="仿宋_GB2312"/>
          <w:sz w:val="32"/>
          <w:szCs w:val="32"/>
          <w:highlight w:val="none"/>
          <w:lang w:val="en-US" w:eastAsia="zh-CN"/>
        </w:rPr>
        <w:t>中固定资产车辆1</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与全年预算数相比情况：“三公”经费支出全年预算数1.90万元，决算数</w:t>
      </w:r>
      <w:r>
        <w:rPr>
          <w:rFonts w:ascii="仿宋_GB2312" w:eastAsia="仿宋_GB2312"/>
          <w:sz w:val="32"/>
          <w:szCs w:val="32"/>
        </w:rPr>
        <w:t>1.90</w:t>
      </w:r>
      <w:r>
        <w:rPr>
          <w:rFonts w:hint="eastAsia" w:ascii="仿宋_GB2312" w:eastAsia="仿宋_GB2312"/>
          <w:sz w:val="32"/>
          <w:szCs w:val="32"/>
        </w:rPr>
        <w:t>万元，预决算差异率0.00%，主要原因是：预算数与决算数无差别。</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预算数1.90万元，决算数1.90万元，预决算差异率0.00%，主要原因是：预算数与决算数无差别；</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lang w:eastAsia="zh-CN"/>
        </w:rPr>
        <w:t>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0" w:name="_Toc7314"/>
      <w:bookmarkStart w:id="21"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rPr>
      </w:pPr>
      <w:bookmarkStart w:id="22" w:name="_Toc14519"/>
      <w:bookmarkStart w:id="23"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highlight w:val="none"/>
          <w:lang w:val="zh-CN" w:eastAsia="zh-CN"/>
        </w:rPr>
      </w:pPr>
      <w:bookmarkStart w:id="24" w:name="_Toc26704"/>
      <w:bookmarkStart w:id="25" w:name="_Toc227"/>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en-US" w:eastAsia="zh-CN"/>
        </w:rPr>
        <w:t>新疆维吾尔自治区残疾人劳动就业服务中心(新疆维吾尔自治区盲人按摩指导中心)</w:t>
      </w:r>
      <w:r>
        <w:rPr>
          <w:rFonts w:hint="eastAsia" w:ascii="Times New Roman" w:hAnsi="Times New Roman" w:eastAsia="仿宋_GB2312" w:cs="Times New Roman"/>
          <w:sz w:val="32"/>
          <w:szCs w:val="32"/>
          <w:highlight w:val="none"/>
          <w:lang w:val="zh-CN" w:eastAsia="zh-CN"/>
        </w:rPr>
        <w:t>（事业单位）公用经费支出19.87万元，比上年减少0.1</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zh-CN" w:eastAsia="zh-CN"/>
        </w:rPr>
        <w:t>万元，下降0.7</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zh-CN" w:eastAsia="zh-CN"/>
        </w:rPr>
        <w:t>%，主要原因是：</w:t>
      </w:r>
      <w:r>
        <w:rPr>
          <w:rFonts w:hint="eastAsia" w:eastAsia="仿宋_GB2312" w:cs="Times New Roman"/>
          <w:sz w:val="32"/>
          <w:szCs w:val="32"/>
          <w:highlight w:val="none"/>
          <w:lang w:val="en-US" w:eastAsia="zh-CN"/>
        </w:rPr>
        <w:t>2023年在职人员较上年减少1人</w:t>
      </w:r>
      <w:r>
        <w:rPr>
          <w:rFonts w:hint="eastAsia" w:ascii="Times New Roman"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r>
        <w:rPr>
          <w:rFonts w:hint="eastAsia" w:ascii="Times New Roman" w:hAnsi="Times New Roman" w:eastAsia="黑体" w:cs="Times New Roman"/>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eastAsia="zh-CN"/>
        </w:rPr>
        <w:t>2023年度</w:t>
      </w:r>
      <w:r>
        <w:rPr>
          <w:rFonts w:hint="eastAsia" w:ascii="Times New Roman" w:hAnsi="Times New Roman" w:eastAsia="仿宋_GB2312" w:cs="Times New Roman"/>
          <w:sz w:val="32"/>
          <w:szCs w:val="32"/>
          <w:highlight w:val="none"/>
          <w:lang w:val="zh-CN"/>
        </w:rPr>
        <w:t>政府采购支出总额</w:t>
      </w:r>
      <w:r>
        <w:rPr>
          <w:rFonts w:hint="eastAsia" w:ascii="Times New Roman" w:hAnsi="Times New Roman" w:eastAsia="仿宋_GB2312" w:cs="Times New Roman"/>
          <w:sz w:val="32"/>
          <w:szCs w:val="32"/>
          <w:highlight w:val="none"/>
          <w:lang w:val="zh-CN" w:eastAsia="zh-CN"/>
        </w:rPr>
        <w:t>112.54万元</w:t>
      </w:r>
      <w:r>
        <w:rPr>
          <w:rFonts w:hint="eastAsia" w:ascii="Times New Roman" w:hAnsi="Times New Roman" w:eastAsia="仿宋_GB2312" w:cs="Times New Roman"/>
          <w:sz w:val="32"/>
          <w:szCs w:val="32"/>
          <w:highlight w:val="none"/>
          <w:lang w:val="zh-CN"/>
        </w:rPr>
        <w:t>，</w:t>
      </w:r>
      <w:r>
        <w:rPr>
          <w:rFonts w:hint="eastAsia" w:ascii="Times New Roman" w:hAnsi="Times New Roman" w:eastAsia="仿宋_GB2312" w:cs="Times New Roman"/>
          <w:sz w:val="32"/>
          <w:szCs w:val="32"/>
          <w:highlight w:val="none"/>
          <w:lang w:val="zh-CN" w:eastAsia="zh-CN"/>
        </w:rPr>
        <w:t>其中：政府采购货物支出5.24万元、政府采购工程支出0.00万元、政府采购服务支出107.30万元。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zh-CN" w:eastAsia="zh-CN"/>
        </w:rPr>
        <w:t>授予中小企业合同金额112.54万元，占政府采购支出总额的100.00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zh-CN" w:eastAsia="zh-CN"/>
        </w:rPr>
        <w:t>，其中：授予小微企业合同金额112.54万元，占政府采购支出总额的100.00</w:t>
      </w:r>
      <w:r>
        <w:rPr>
          <w:rFonts w:hint="default"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bookmarkStart w:id="26" w:name="_Toc4591"/>
      <w:bookmarkStart w:id="27" w:name="_Toc8391"/>
      <w:r>
        <w:rPr>
          <w:rFonts w:hint="eastAsia" w:ascii="Times New Roman" w:hAnsi="Times New Roman" w:eastAsia="黑体" w:cs="Times New Roman"/>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sz w:val="32"/>
          <w:szCs w:val="32"/>
          <w:highlight w:val="none"/>
          <w:lang w:val="zh-CN" w:eastAsia="zh-CN"/>
        </w:rPr>
      </w:pPr>
      <w:r>
        <w:rPr>
          <w:rFonts w:hint="eastAsia" w:ascii="Times New Roman" w:hAnsi="Times New Roman" w:eastAsia="仿宋_GB2312" w:cs="Times New Roman"/>
          <w:sz w:val="32"/>
          <w:szCs w:val="32"/>
          <w:highlight w:val="none"/>
          <w:lang w:val="en-US" w:eastAsia="zh-CN"/>
        </w:rPr>
        <w:t>截至2023</w:t>
      </w:r>
      <w:r>
        <w:rPr>
          <w:rFonts w:hint="eastAsia" w:ascii="Times New Roman" w:hAnsi="Times New Roman" w:eastAsia="仿宋_GB2312" w:cs="Times New Roman"/>
          <w:sz w:val="32"/>
          <w:szCs w:val="32"/>
          <w:highlight w:val="none"/>
          <w:lang w:val="zh-CN" w:eastAsia="zh-CN"/>
        </w:rPr>
        <w:t>年</w:t>
      </w:r>
      <w:r>
        <w:rPr>
          <w:rFonts w:hint="eastAsia" w:ascii="Times New Roman" w:hAnsi="Times New Roman" w:eastAsia="仿宋_GB2312" w:cs="Times New Roman"/>
          <w:sz w:val="32"/>
          <w:szCs w:val="32"/>
          <w:highlight w:val="none"/>
          <w:lang w:val="en-US" w:eastAsia="zh-CN"/>
        </w:rPr>
        <w:t>12月31日</w:t>
      </w:r>
      <w:r>
        <w:rPr>
          <w:rFonts w:hint="eastAsia" w:ascii="Times New Roman" w:hAnsi="Times New Roman" w:eastAsia="仿宋_GB2312" w:cs="Times New Roman"/>
          <w:sz w:val="32"/>
          <w:szCs w:val="32"/>
          <w:highlight w:val="none"/>
          <w:lang w:val="zh-CN" w:eastAsia="zh-CN"/>
        </w:rPr>
        <w:t>，</w:t>
      </w:r>
      <w:r>
        <w:rPr>
          <w:rFonts w:hint="eastAsia" w:ascii="Times New Roman" w:hAnsi="Times New Roman" w:eastAsia="仿宋_GB2312" w:cs="Times New Roman"/>
          <w:sz w:val="32"/>
          <w:szCs w:val="32"/>
          <w:highlight w:val="none"/>
          <w:lang w:val="en-US" w:eastAsia="zh-CN"/>
        </w:rPr>
        <w:t>固定资产原值</w:t>
      </w:r>
      <w:r>
        <w:rPr>
          <w:rFonts w:hint="eastAsia" w:ascii="Times New Roman" w:hAnsi="Times New Roman" w:eastAsia="仿宋_GB2312" w:cs="Times New Roman"/>
          <w:sz w:val="32"/>
          <w:szCs w:val="32"/>
          <w:highlight w:val="none"/>
          <w:lang w:val="zh-CN" w:eastAsia="zh-CN"/>
        </w:rPr>
        <w:t>439.89</w:t>
      </w:r>
      <w:r>
        <w:rPr>
          <w:rFonts w:hint="eastAsia" w:ascii="Times New Roman" w:hAnsi="Times New Roman" w:eastAsia="仿宋_GB2312" w:cs="Times New Roman"/>
          <w:sz w:val="32"/>
          <w:szCs w:val="32"/>
          <w:highlight w:val="none"/>
          <w:lang w:val="en-US" w:eastAsia="zh-CN"/>
        </w:rPr>
        <w:t>万元，房</w:t>
      </w:r>
      <w:r>
        <w:rPr>
          <w:rFonts w:hint="eastAsia" w:ascii="Times New Roman" w:hAnsi="Times New Roman" w:eastAsia="仿宋_GB2312" w:cs="Times New Roman"/>
          <w:sz w:val="32"/>
          <w:szCs w:val="32"/>
          <w:highlight w:val="none"/>
          <w:lang w:val="zh-CN" w:eastAsia="zh-CN"/>
        </w:rPr>
        <w:t>屋0.0平方米，价值0.00万元。车辆1辆，价值18.19万元，其中：副部（省）级及以上领导用车0辆、主要</w:t>
      </w:r>
      <w:r>
        <w:rPr>
          <w:rFonts w:hint="eastAsia" w:ascii="Times New Roman" w:hAnsi="Times New Roman" w:eastAsia="仿宋_GB2312" w:cs="Times New Roman"/>
          <w:sz w:val="32"/>
          <w:szCs w:val="32"/>
          <w:highlight w:val="none"/>
          <w:lang w:val="en-US" w:eastAsia="zh-CN"/>
        </w:rPr>
        <w:t>负责人</w:t>
      </w:r>
      <w:r>
        <w:rPr>
          <w:rFonts w:hint="eastAsia" w:ascii="Times New Roman" w:hAnsi="Times New Roman" w:eastAsia="仿宋_GB2312" w:cs="Times New Roman"/>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sz w:val="32"/>
          <w:szCs w:val="32"/>
          <w:highlight w:val="none"/>
          <w:lang w:val="en-US" w:eastAsia="zh-CN"/>
        </w:rPr>
        <w:t>服务</w:t>
      </w:r>
      <w:r>
        <w:rPr>
          <w:rFonts w:hint="eastAsia" w:ascii="Times New Roman" w:hAnsi="Times New Roman" w:eastAsia="仿宋_GB2312" w:cs="Times New Roman"/>
          <w:sz w:val="32"/>
          <w:szCs w:val="32"/>
          <w:highlight w:val="none"/>
          <w:lang w:val="zh-CN" w:eastAsia="zh-CN"/>
        </w:rPr>
        <w:t>用车0辆、其他用车1辆，其他用车主要是：</w:t>
      </w:r>
      <w:r>
        <w:rPr>
          <w:rFonts w:hint="eastAsia" w:ascii="仿宋_GB2312" w:eastAsia="仿宋_GB2312"/>
          <w:sz w:val="32"/>
          <w:szCs w:val="32"/>
        </w:rPr>
        <w:t>用于单位公务出行</w:t>
      </w:r>
      <w:r>
        <w:rPr>
          <w:rFonts w:hint="eastAsia" w:ascii="Times New Roman" w:hAnsi="Times New Roman" w:eastAsia="仿宋_GB2312" w:cs="Times New Roman"/>
          <w:sz w:val="32"/>
          <w:szCs w:val="32"/>
          <w:highlight w:val="none"/>
          <w:lang w:val="zh-CN" w:eastAsia="zh-CN"/>
        </w:rPr>
        <w:t>；单价100万元（含）以上设备（不含车辆）0</w:t>
      </w:r>
      <w:r>
        <w:rPr>
          <w:rFonts w:hint="eastAsia" w:ascii="Times New Roman" w:hAnsi="Times New Roman" w:eastAsia="仿宋_GB2312" w:cs="Times New Roman"/>
          <w:sz w:val="32"/>
          <w:szCs w:val="32"/>
          <w:highlight w:val="none"/>
          <w:lang w:val="en-US" w:eastAsia="zh-CN"/>
        </w:rPr>
        <w:t>台（</w:t>
      </w:r>
      <w:r>
        <w:rPr>
          <w:rFonts w:hint="eastAsia" w:ascii="Times New Roman" w:hAnsi="Times New Roman" w:eastAsia="仿宋_GB2312" w:cs="Times New Roman"/>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8" w:name="_Toc435"/>
      <w:bookmarkStart w:id="29" w:name="_Toc11283"/>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w:t>
      </w:r>
      <w:r>
        <w:rPr>
          <w:rFonts w:hint="eastAsia" w:ascii="Times New Roman" w:hAnsi="Times New Roman" w:eastAsia="仿宋_GB2312" w:cs="Times New Roman"/>
          <w:sz w:val="32"/>
          <w:szCs w:val="32"/>
          <w:highlight w:val="none"/>
          <w:lang w:val="zh-CN" w:eastAsia="zh-CN"/>
        </w:rPr>
        <w:t>我</w:t>
      </w:r>
      <w:r>
        <w:rPr>
          <w:rFonts w:hint="eastAsia" w:ascii="Times New Roman" w:hAnsi="Times New Roman" w:eastAsia="仿宋_GB2312" w:cs="Times New Roman"/>
          <w:sz w:val="32"/>
          <w:szCs w:val="32"/>
          <w:highlight w:val="none"/>
          <w:lang w:val="en-US" w:eastAsia="zh-CN"/>
        </w:rPr>
        <w:t>单位</w:t>
      </w:r>
      <w:r>
        <w:rPr>
          <w:rFonts w:hint="eastAsia" w:ascii="Times New Roman" w:hAnsi="Times New Roman" w:eastAsia="仿宋_GB2312" w:cs="Times New Roman"/>
          <w:sz w:val="32"/>
          <w:szCs w:val="32"/>
          <w:highlight w:val="none"/>
          <w:lang w:val="zh-CN" w:eastAsia="zh-CN"/>
        </w:rPr>
        <w:t>2023年度预算绩效管理整体</w:t>
      </w:r>
      <w:r>
        <w:rPr>
          <w:rFonts w:hint="eastAsia" w:ascii="Times New Roman" w:hAnsi="Times New Roman" w:eastAsia="仿宋_GB2312" w:cs="Times New Roman"/>
          <w:sz w:val="32"/>
          <w:szCs w:val="32"/>
          <w:highlight w:val="none"/>
          <w:lang w:val="en-US" w:eastAsia="zh-CN"/>
        </w:rPr>
        <w:t>支出</w:t>
      </w:r>
      <w:r>
        <w:rPr>
          <w:rFonts w:hint="eastAsia" w:ascii="Times New Roman" w:hAnsi="Times New Roman" w:eastAsia="仿宋_GB2312" w:cs="Times New Roman"/>
          <w:sz w:val="32"/>
          <w:szCs w:val="32"/>
          <w:highlight w:val="none"/>
          <w:lang w:val="zh-CN" w:eastAsia="zh-CN"/>
        </w:rPr>
        <w:t>绩效自评表</w:t>
      </w:r>
      <w:r>
        <w:rPr>
          <w:rFonts w:hint="eastAsia" w:ascii="Times New Roman" w:hAnsi="Times New Roman" w:eastAsia="仿宋_GB2312" w:cs="Times New Roman"/>
          <w:sz w:val="32"/>
          <w:szCs w:val="32"/>
          <w:highlight w:val="none"/>
          <w:lang w:val="en-US" w:eastAsia="zh-CN"/>
        </w:rPr>
        <w:t>0个，全年预算总额0</w:t>
      </w:r>
      <w:r>
        <w:rPr>
          <w:rFonts w:hint="eastAsia" w:ascii="Times New Roman" w:hAnsi="Times New Roman" w:eastAsia="仿宋_GB2312" w:cs="Times New Roman"/>
          <w:sz w:val="32"/>
          <w:szCs w:val="32"/>
          <w:highlight w:val="none"/>
          <w:lang w:val="zh-CN" w:eastAsia="zh-CN"/>
        </w:rPr>
        <w:t>万元，</w:t>
      </w:r>
      <w:r>
        <w:rPr>
          <w:rFonts w:hint="eastAsia" w:ascii="Times New Roman" w:hAnsi="Times New Roman" w:eastAsia="仿宋_GB2312" w:cs="Times New Roman"/>
          <w:sz w:val="32"/>
          <w:szCs w:val="32"/>
          <w:highlight w:val="none"/>
          <w:lang w:val="en-US" w:eastAsia="zh-CN"/>
        </w:rPr>
        <w:t>实际执行总额0</w:t>
      </w:r>
      <w:r>
        <w:rPr>
          <w:rFonts w:hint="eastAsia" w:ascii="Times New Roman" w:hAnsi="Times New Roman" w:eastAsia="仿宋_GB2312" w:cs="Times New Roman"/>
          <w:sz w:val="32"/>
          <w:szCs w:val="32"/>
          <w:highlight w:val="none"/>
          <w:lang w:val="zh-CN" w:eastAsia="zh-CN"/>
        </w:rPr>
        <w:t>万元</w:t>
      </w:r>
      <w:r>
        <w:rPr>
          <w:rFonts w:hint="eastAsia" w:eastAsia="仿宋_GB2312" w:cs="Times New Roman"/>
          <w:sz w:val="32"/>
          <w:szCs w:val="32"/>
          <w:highlight w:val="none"/>
          <w:lang w:val="zh-CN" w:eastAsia="zh-CN"/>
        </w:rPr>
        <w:t>。</w:t>
      </w:r>
      <w:r>
        <w:rPr>
          <w:rFonts w:hint="eastAsia" w:eastAsia="仿宋_GB2312" w:cs="Times New Roman"/>
          <w:sz w:val="32"/>
          <w:szCs w:val="32"/>
          <w:highlight w:val="none"/>
          <w:lang w:val="en-US" w:eastAsia="zh-CN"/>
        </w:rPr>
        <w:t>我单位整体支出绩效自评表由主管部门编报并公开。</w:t>
      </w:r>
      <w:r>
        <w:rPr>
          <w:rFonts w:hint="eastAsia" w:ascii="Times New Roman" w:hAnsi="Times New Roman" w:eastAsia="仿宋_GB2312" w:cs="Times New Roman"/>
          <w:sz w:val="32"/>
          <w:szCs w:val="32"/>
          <w:highlight w:val="none"/>
          <w:lang w:val="zh-CN" w:eastAsia="zh-CN"/>
        </w:rPr>
        <w:t>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全年预算数451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全年执行数406.82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highlight w:val="none"/>
          <w:lang w:eastAsia="zh-CN"/>
        </w:rPr>
        <w:t>预算绩效管理取得的成效：</w:t>
      </w:r>
      <w:r>
        <w:rPr>
          <w:rFonts w:ascii="仿宋_GB2312" w:eastAsia="仿宋_GB2312"/>
          <w:sz w:val="32"/>
          <w:szCs w:val="32"/>
        </w:rPr>
        <w:t>一是绩效目标的编审能力得到提升，通过预算绩效管理职业能力建设科、盲人按摩科、办公室等各部门的职责与整体绩效目标更加对应，每一项绩效目标与指标的设置更加具体，实际工作中的绩效意识得到了提升；二是绩效运行监控力度明显加大，通过预算绩效管理对各项培训、盲人按摩考试、按比例就业联网认证工作等项目进行全面监控，防止工作目标出现偏差，合理使用资金，把握好项目时间进度，确保绩效目标的顺利实现；三是各部门履职用财能力得到改善，通过将整体绩效目标分解到各科室的具体工作目标考核中，以残疾人的就业与职业能力提升为需求设置项目、采购专用设备、细分经费，达到了少花钱多办事的效果</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发现的问题及原因：</w:t>
      </w:r>
      <w:r>
        <w:rPr>
          <w:rFonts w:ascii="仿宋_GB2312" w:eastAsia="仿宋_GB2312"/>
          <w:sz w:val="32"/>
          <w:szCs w:val="32"/>
        </w:rPr>
        <w:t>部门预算绩效目标的设定及考核机制不太完善，造成绩效目标流于形式，财政资金可能没有发挥最大效用，反映出预算执行中过于注重资金执行进度而轻绩效目标的考核等问题</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下一步改进措施：</w:t>
      </w:r>
      <w:r>
        <w:rPr>
          <w:rFonts w:ascii="仿宋_GB2312" w:eastAsia="仿宋_GB2312"/>
          <w:sz w:val="32"/>
          <w:szCs w:val="32"/>
        </w:rPr>
        <w:t>202</w:t>
      </w:r>
      <w:r>
        <w:rPr>
          <w:rFonts w:hint="eastAsia" w:ascii="仿宋_GB2312" w:eastAsia="仿宋_GB2312"/>
          <w:sz w:val="32"/>
          <w:szCs w:val="32"/>
          <w:lang w:val="en-US" w:eastAsia="zh-CN"/>
        </w:rPr>
        <w:t>4</w:t>
      </w:r>
      <w:r>
        <w:rPr>
          <w:rFonts w:ascii="仿宋_GB2312" w:eastAsia="仿宋_GB2312"/>
          <w:sz w:val="32"/>
          <w:szCs w:val="32"/>
        </w:rPr>
        <w:t>年将改进预算绩效目标的设定及考核机制、制定合理工作计划，加大预算执行力度，争取将财政资金发挥到最大效用</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具体</w:t>
      </w:r>
      <w:r>
        <w:rPr>
          <w:rFonts w:hint="eastAsia" w:ascii="仿宋_GB2312" w:eastAsia="仿宋_GB2312"/>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0" w:name="_Toc3250"/>
      <w:bookmarkStart w:id="31" w:name="_Toc24143"/>
      <w:r>
        <w:rPr>
          <w:rFonts w:hint="eastAsia" w:ascii="黑体" w:hAnsi="黑体" w:eastAsia="黑体"/>
          <w:sz w:val="32"/>
          <w:szCs w:val="32"/>
          <w:highlight w:val="none"/>
        </w:rPr>
        <w:br w:type="page"/>
      </w: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2" w:name="_Toc6062"/>
      <w:bookmarkStart w:id="33" w:name="_Toc2183"/>
      <w:r>
        <w:rPr>
          <w:rFonts w:hint="eastAsia" w:ascii="黑体" w:hAnsi="黑体" w:eastAsia="仿宋_GB2312" w:cs="宋体"/>
          <w:bCs/>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4" w:name="_Toc24532"/>
      <w:bookmarkStart w:id="35" w:name="_Toc30364"/>
      <w:r>
        <w:rPr>
          <w:rFonts w:hint="eastAsia" w:ascii="黑体" w:hAnsi="黑体" w:eastAsia="仿宋_GB2312" w:cs="宋体"/>
          <w:bCs/>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6" w:name="_Toc32434"/>
      <w:bookmarkStart w:id="37" w:name="_Toc21304"/>
      <w:r>
        <w:rPr>
          <w:rFonts w:hint="eastAsia" w:ascii="黑体" w:hAnsi="黑体" w:eastAsia="仿宋_GB2312" w:cs="宋体"/>
          <w:bCs/>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8" w:name="_Toc14238"/>
      <w:bookmarkStart w:id="39" w:name="_Toc28786"/>
      <w:r>
        <w:rPr>
          <w:rFonts w:hint="eastAsia" w:ascii="黑体" w:hAnsi="黑体" w:eastAsia="仿宋_GB2312" w:cs="宋体"/>
          <w:bCs/>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0" w:name="_Toc14869"/>
      <w:bookmarkStart w:id="41" w:name="_Toc10347"/>
      <w:r>
        <w:rPr>
          <w:rFonts w:hint="eastAsia" w:ascii="黑体" w:hAnsi="黑体" w:eastAsia="仿宋_GB2312" w:cs="宋体"/>
          <w:bCs/>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2" w:name="_Toc5626"/>
      <w:bookmarkStart w:id="43" w:name="_Toc8884"/>
      <w:r>
        <w:rPr>
          <w:rFonts w:hint="eastAsia" w:ascii="黑体" w:hAnsi="黑体" w:eastAsia="仿宋_GB2312" w:cs="宋体"/>
          <w:bCs/>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29106"/>
      <w:bookmarkStart w:id="45" w:name="_Toc32663"/>
      <w:r>
        <w:rPr>
          <w:rFonts w:hint="eastAsia" w:ascii="黑体" w:hAnsi="黑体" w:eastAsia="仿宋_GB2312" w:cs="宋体"/>
          <w:bCs/>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6" w:name="_Toc5453"/>
      <w:bookmarkStart w:id="47" w:name="_Toc7643"/>
      <w:r>
        <w:rPr>
          <w:rFonts w:hint="eastAsia" w:ascii="黑体" w:hAnsi="黑体" w:eastAsia="仿宋_GB2312" w:cs="宋体"/>
          <w:bCs/>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lang w:val="en-US" w:eastAsia="zh-CN"/>
        </w:rPr>
        <w:t>九</w:t>
      </w:r>
      <w:r>
        <w:rPr>
          <w:rFonts w:hint="eastAsia" w:ascii="黑体" w:hAnsi="黑体" w:eastAsia="仿宋_GB2312" w:cs="宋体"/>
          <w:bCs/>
          <w:kern w:val="0"/>
          <w:sz w:val="32"/>
          <w:szCs w:val="32"/>
          <w:highlight w:val="none"/>
        </w:rPr>
        <w:t>、《</w:t>
      </w:r>
      <w:r>
        <w:rPr>
          <w:rFonts w:hint="eastAsia" w:ascii="黑体" w:hAnsi="黑体" w:eastAsia="仿宋_GB2312" w:cs="宋体"/>
          <w:bCs/>
          <w:kern w:val="0"/>
          <w:sz w:val="32"/>
          <w:szCs w:val="32"/>
          <w:highlight w:val="none"/>
          <w:lang w:eastAsia="zh-CN"/>
        </w:rPr>
        <w:t>国有资本经营</w:t>
      </w:r>
      <w:r>
        <w:rPr>
          <w:rFonts w:hint="eastAsia" w:ascii="黑体" w:hAnsi="黑体" w:eastAsia="仿宋_GB2312" w:cs="宋体"/>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1E16BAA"/>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422688"/>
    <w:rsid w:val="085854ED"/>
    <w:rsid w:val="0879188F"/>
    <w:rsid w:val="08A0354D"/>
    <w:rsid w:val="08CD4C49"/>
    <w:rsid w:val="09114954"/>
    <w:rsid w:val="095A5B83"/>
    <w:rsid w:val="096466E3"/>
    <w:rsid w:val="0968304D"/>
    <w:rsid w:val="09AF3D17"/>
    <w:rsid w:val="0A713635"/>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7F1E29"/>
    <w:rsid w:val="1BFB2A1F"/>
    <w:rsid w:val="1C015D4A"/>
    <w:rsid w:val="1C290ED5"/>
    <w:rsid w:val="1C317E4F"/>
    <w:rsid w:val="1C472464"/>
    <w:rsid w:val="1D22799A"/>
    <w:rsid w:val="1D5C1A72"/>
    <w:rsid w:val="1DAF458D"/>
    <w:rsid w:val="1E086ACE"/>
    <w:rsid w:val="1E62130A"/>
    <w:rsid w:val="1E97358B"/>
    <w:rsid w:val="1EAA4A5F"/>
    <w:rsid w:val="1EE869A7"/>
    <w:rsid w:val="1F435D57"/>
    <w:rsid w:val="1FA15E62"/>
    <w:rsid w:val="1FED69B6"/>
    <w:rsid w:val="2064678E"/>
    <w:rsid w:val="20DC1AB9"/>
    <w:rsid w:val="20DD6197"/>
    <w:rsid w:val="212631E0"/>
    <w:rsid w:val="21A53757"/>
    <w:rsid w:val="221236C6"/>
    <w:rsid w:val="23326B7F"/>
    <w:rsid w:val="2380045B"/>
    <w:rsid w:val="23BC04D2"/>
    <w:rsid w:val="23EF1892"/>
    <w:rsid w:val="242B3FE6"/>
    <w:rsid w:val="2483647E"/>
    <w:rsid w:val="24A32D55"/>
    <w:rsid w:val="24A3323E"/>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0F2FFF"/>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1D4E0B"/>
    <w:rsid w:val="343642F2"/>
    <w:rsid w:val="343F3010"/>
    <w:rsid w:val="345D0A00"/>
    <w:rsid w:val="34713BFD"/>
    <w:rsid w:val="34C13589"/>
    <w:rsid w:val="353369E3"/>
    <w:rsid w:val="35E00D72"/>
    <w:rsid w:val="36965B9D"/>
    <w:rsid w:val="36C549FD"/>
    <w:rsid w:val="37A755DD"/>
    <w:rsid w:val="37F94FA0"/>
    <w:rsid w:val="38115B1F"/>
    <w:rsid w:val="385E3AC3"/>
    <w:rsid w:val="387D6B9E"/>
    <w:rsid w:val="38B75FF0"/>
    <w:rsid w:val="38D45016"/>
    <w:rsid w:val="38D90432"/>
    <w:rsid w:val="3914510A"/>
    <w:rsid w:val="3926770B"/>
    <w:rsid w:val="398D3668"/>
    <w:rsid w:val="39DA0497"/>
    <w:rsid w:val="39DA3EE8"/>
    <w:rsid w:val="3A893816"/>
    <w:rsid w:val="3A893B6D"/>
    <w:rsid w:val="3AD1763A"/>
    <w:rsid w:val="3B6716E3"/>
    <w:rsid w:val="3B6C6B2D"/>
    <w:rsid w:val="3C242659"/>
    <w:rsid w:val="3C7261DC"/>
    <w:rsid w:val="3C96719C"/>
    <w:rsid w:val="3CA72BE8"/>
    <w:rsid w:val="3CF37F8C"/>
    <w:rsid w:val="3D137554"/>
    <w:rsid w:val="3D5275AC"/>
    <w:rsid w:val="3DCC2473"/>
    <w:rsid w:val="3DEB0883"/>
    <w:rsid w:val="3E2527BF"/>
    <w:rsid w:val="3E273809"/>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14D61"/>
    <w:rsid w:val="461404F8"/>
    <w:rsid w:val="46196AEB"/>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8465BE"/>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C2A5D"/>
    <w:rsid w:val="50D16158"/>
    <w:rsid w:val="50DB5F45"/>
    <w:rsid w:val="51025EB1"/>
    <w:rsid w:val="51141503"/>
    <w:rsid w:val="518D0ED5"/>
    <w:rsid w:val="520729BC"/>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C60489"/>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A1C0E"/>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9D91A22"/>
    <w:rsid w:val="6B68175F"/>
    <w:rsid w:val="6BFD799F"/>
    <w:rsid w:val="6C4A2E5A"/>
    <w:rsid w:val="6CEF0725"/>
    <w:rsid w:val="6D4B2604"/>
    <w:rsid w:val="6D8030E4"/>
    <w:rsid w:val="6E0E35C4"/>
    <w:rsid w:val="6E0F7A08"/>
    <w:rsid w:val="6E3947F5"/>
    <w:rsid w:val="6E9C74ED"/>
    <w:rsid w:val="6EF72976"/>
    <w:rsid w:val="6F795A80"/>
    <w:rsid w:val="6F7C1D2E"/>
    <w:rsid w:val="6F8E0407"/>
    <w:rsid w:val="6FDD069F"/>
    <w:rsid w:val="700853C0"/>
    <w:rsid w:val="702B4D16"/>
    <w:rsid w:val="70AA6621"/>
    <w:rsid w:val="710372F5"/>
    <w:rsid w:val="7111480F"/>
    <w:rsid w:val="71261F49"/>
    <w:rsid w:val="712E6956"/>
    <w:rsid w:val="71473612"/>
    <w:rsid w:val="71504F32"/>
    <w:rsid w:val="7152309F"/>
    <w:rsid w:val="718F7F65"/>
    <w:rsid w:val="727B234E"/>
    <w:rsid w:val="72D068C7"/>
    <w:rsid w:val="72E42ED8"/>
    <w:rsid w:val="73153463"/>
    <w:rsid w:val="735F4CB9"/>
    <w:rsid w:val="73674C62"/>
    <w:rsid w:val="73845865"/>
    <w:rsid w:val="739B6D9E"/>
    <w:rsid w:val="73A10CE9"/>
    <w:rsid w:val="73BC1D76"/>
    <w:rsid w:val="73FB6630"/>
    <w:rsid w:val="748D790E"/>
    <w:rsid w:val="749820CC"/>
    <w:rsid w:val="74CE04EC"/>
    <w:rsid w:val="74E76DCD"/>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821A2"/>
    <w:rsid w:val="795A0A34"/>
    <w:rsid w:val="797339C3"/>
    <w:rsid w:val="79D57D57"/>
    <w:rsid w:val="79F00650"/>
    <w:rsid w:val="7A6242BF"/>
    <w:rsid w:val="7A794513"/>
    <w:rsid w:val="7AE952D2"/>
    <w:rsid w:val="7BF94115"/>
    <w:rsid w:val="7C4C19CF"/>
    <w:rsid w:val="7C976D69"/>
    <w:rsid w:val="7CD752DA"/>
    <w:rsid w:val="7CDE40AB"/>
    <w:rsid w:val="7D1548B5"/>
    <w:rsid w:val="7DF84014"/>
    <w:rsid w:val="7E207949"/>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5897</Words>
  <Characters>6546</Characters>
  <Lines>0</Lines>
  <Paragraphs>0</Paragraphs>
  <ScaleCrop>false</ScaleCrop>
  <LinksUpToDate>false</LinksUpToDate>
  <CharactersWithSpaces>6556</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2024-10-16T10:04:00Z</cp:lastPrinted>
  <dcterms:modified xsi:type="dcterms:W3CDTF">2024-10-17T09:45:32Z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34A4DC6C1FEF42448F61363EE04F5F4F_13</vt:lpwstr>
  </property>
</Properties>
</file>