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96564">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C90802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C43711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eastAsia="zh-CN"/>
        </w:rPr>
      </w:pPr>
      <w:r>
        <w:rPr>
          <w:rFonts w:hint="eastAsia" w:ascii="方正小标宋_GBK" w:hAnsi="宋体" w:eastAsia="方正小标宋_GBK"/>
          <w:color w:val="auto"/>
          <w:sz w:val="44"/>
          <w:szCs w:val="44"/>
          <w:highlight w:val="none"/>
          <w:lang w:val="en-US" w:eastAsia="zh-CN"/>
        </w:rPr>
        <w:t>新疆残疾人职业中专学校</w:t>
      </w:r>
      <w:r>
        <w:rPr>
          <w:rFonts w:hint="eastAsia" w:ascii="方正小标宋_GBK" w:hAnsi="宋体" w:eastAsia="方正小标宋_GBK"/>
          <w:color w:val="auto"/>
          <w:sz w:val="44"/>
          <w:szCs w:val="44"/>
          <w:highlight w:val="none"/>
          <w:lang w:eastAsia="zh-CN"/>
        </w:rPr>
        <w:t>2023年度</w:t>
      </w:r>
    </w:p>
    <w:p w14:paraId="24A5866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部门</w:t>
      </w:r>
      <w:r>
        <w:rPr>
          <w:rFonts w:hint="eastAsia" w:ascii="方正小标宋_GBK" w:hAnsi="宋体" w:eastAsia="方正小标宋_GBK"/>
          <w:color w:val="auto"/>
          <w:sz w:val="44"/>
          <w:szCs w:val="44"/>
          <w:highlight w:val="none"/>
        </w:rPr>
        <w:t>决算公开说明</w:t>
      </w:r>
    </w:p>
    <w:p w14:paraId="5DC59238">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45A262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C33AC0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val="en-US"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557CC5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7EDBAA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BF33DC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5CC583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6F471CA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3E810F8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109F15D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7D67C3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BF1D0A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7E8F30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F50BC4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B59C5A4">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D2A9DC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2326E4E">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43BCFEC">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3E4F407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FC65DF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4380A1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8DD6EB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61DBB6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A33EA3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19FCCD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ED3B96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3DA79C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6AA035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1E0DD5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088CEC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4BC8B9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CCA7E0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7BAB87C">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87D7EE8">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3202C8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val="en-US" w:eastAsia="zh-CN"/>
        </w:rPr>
        <w:t>单位</w:t>
      </w:r>
      <w:r>
        <w:rPr>
          <w:rFonts w:hint="eastAsia" w:ascii="黑体" w:hAnsi="黑体" w:eastAsia="黑体"/>
          <w:color w:val="auto"/>
          <w:sz w:val="32"/>
          <w:szCs w:val="32"/>
          <w:highlight w:val="none"/>
        </w:rPr>
        <w:t>概况</w:t>
      </w:r>
      <w:bookmarkEnd w:id="0"/>
      <w:bookmarkEnd w:id="1"/>
    </w:p>
    <w:p w14:paraId="6EA458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BD74FF0">
      <w:pPr>
        <w:ind w:firstLine="640" w:firstLineChars="200"/>
        <w:rPr>
          <w:rFonts w:ascii="黑体" w:hAnsi="黑体" w:eastAsia="黑体" w:cs="宋体"/>
          <w:bCs/>
          <w:kern w:val="0"/>
          <w:sz w:val="32"/>
          <w:szCs w:val="32"/>
          <w:highlight w:val="none"/>
        </w:rPr>
      </w:pPr>
      <w:bookmarkStart w:id="4" w:name="_Toc31238"/>
      <w:bookmarkStart w:id="5" w:name="_Toc2151"/>
      <w:r>
        <w:rPr>
          <w:rFonts w:ascii="仿宋_GB2312" w:eastAsia="仿宋_GB2312"/>
          <w:sz w:val="32"/>
          <w:szCs w:val="32"/>
          <w:highlight w:val="none"/>
        </w:rPr>
        <w:t>新疆残疾人职业中专学校主要职能是</w:t>
      </w:r>
      <w:r>
        <w:rPr>
          <w:rFonts w:hint="eastAsia" w:ascii="仿宋_GB2312" w:eastAsia="仿宋_GB2312"/>
          <w:sz w:val="32"/>
          <w:szCs w:val="32"/>
          <w:highlight w:val="none"/>
          <w:lang w:val="en-US" w:eastAsia="zh-CN"/>
        </w:rPr>
        <w:t>负责</w:t>
      </w:r>
      <w:r>
        <w:rPr>
          <w:rFonts w:ascii="仿宋_GB2312" w:eastAsia="仿宋_GB2312"/>
          <w:sz w:val="32"/>
          <w:szCs w:val="32"/>
          <w:highlight w:val="none"/>
        </w:rPr>
        <w:t>全区残疾人职业技术教育及各类残疾人职业技能中、短期培训工作；</w:t>
      </w:r>
      <w:r>
        <w:rPr>
          <w:rFonts w:hint="eastAsia" w:ascii="仿宋_GB2312" w:eastAsia="仿宋_GB2312"/>
          <w:sz w:val="32"/>
          <w:szCs w:val="32"/>
          <w:highlight w:val="none"/>
          <w:lang w:val="en-US" w:eastAsia="zh-CN"/>
        </w:rPr>
        <w:t>负责</w:t>
      </w:r>
      <w:r>
        <w:rPr>
          <w:rFonts w:ascii="仿宋_GB2312" w:eastAsia="仿宋_GB2312"/>
          <w:sz w:val="32"/>
          <w:szCs w:val="32"/>
          <w:highlight w:val="none"/>
        </w:rPr>
        <w:t>全区残疾人工作者及特殊教育教师的继续教育工作</w:t>
      </w:r>
      <w:r>
        <w:rPr>
          <w:rFonts w:hint="eastAsia" w:ascii="仿宋_GB2312" w:eastAsia="仿宋_GB2312"/>
          <w:sz w:val="32"/>
          <w:szCs w:val="32"/>
          <w:highlight w:val="none"/>
        </w:rPr>
        <w:t>。</w:t>
      </w:r>
    </w:p>
    <w:p w14:paraId="5C62F5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4C8D0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bookmarkStart w:id="6" w:name="_Toc3092"/>
      <w:bookmarkStart w:id="7" w:name="_Toc29374"/>
      <w:r>
        <w:rPr>
          <w:rFonts w:hint="eastAsia" w:ascii="仿宋_GB2312" w:hAnsi="Times New Roman" w:eastAsia="仿宋_GB2312" w:cs="Times New Roman"/>
          <w:sz w:val="32"/>
          <w:szCs w:val="32"/>
          <w:highlight w:val="none"/>
          <w:lang w:val="en-US" w:eastAsia="zh-CN"/>
        </w:rPr>
        <w:t>新疆残疾人职业中专学校</w:t>
      </w: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eastAsia="仿宋_GB2312" w:cs="Times New Roman"/>
          <w:color w:val="auto"/>
          <w:sz w:val="30"/>
          <w:szCs w:val="30"/>
          <w:highlight w:val="none"/>
          <w:lang w:val="en-US" w:eastAsia="zh-CN"/>
        </w:rPr>
        <w:t>108</w:t>
      </w:r>
      <w:r>
        <w:rPr>
          <w:rFonts w:hint="eastAsia" w:ascii="仿宋_GB2312" w:eastAsia="仿宋_GB2312"/>
          <w:sz w:val="32"/>
          <w:szCs w:val="32"/>
          <w:highlight w:val="none"/>
        </w:rPr>
        <w:t>人，其中：在职人员</w:t>
      </w:r>
      <w:r>
        <w:rPr>
          <w:rFonts w:hint="eastAsia" w:ascii="Times New Roman" w:hAnsi="Times New Roman" w:eastAsia="仿宋_GB2312" w:cs="Times New Roman"/>
          <w:sz w:val="30"/>
          <w:szCs w:val="30"/>
          <w:highlight w:val="none"/>
          <w:lang w:val="zh-CN" w:eastAsia="zh-CN"/>
        </w:rPr>
        <w:t>76</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Times New Roman" w:hAnsi="Times New Roman" w:eastAsia="仿宋_GB2312" w:cs="Times New Roman"/>
          <w:sz w:val="30"/>
          <w:szCs w:val="30"/>
          <w:highlight w:val="none"/>
          <w:lang w:val="zh-CN" w:eastAsia="zh-CN"/>
        </w:rPr>
        <w:t>0</w:t>
      </w:r>
      <w:r>
        <w:rPr>
          <w:rFonts w:hint="eastAsia" w:ascii="仿宋_GB2312" w:eastAsia="仿宋_GB2312"/>
          <w:sz w:val="32"/>
          <w:szCs w:val="32"/>
          <w:highlight w:val="none"/>
        </w:rPr>
        <w:t>人，退休人员</w:t>
      </w:r>
      <w:r>
        <w:rPr>
          <w:rFonts w:hint="eastAsia" w:ascii="Times New Roman" w:hAnsi="Times New Roman" w:eastAsia="仿宋_GB2312" w:cs="Times New Roman"/>
          <w:sz w:val="30"/>
          <w:szCs w:val="30"/>
          <w:highlight w:val="none"/>
          <w:lang w:val="zh-CN" w:eastAsia="zh-CN"/>
        </w:rPr>
        <w:t>32</w:t>
      </w:r>
      <w:r>
        <w:rPr>
          <w:rFonts w:hint="eastAsia" w:ascii="仿宋_GB2312" w:eastAsia="仿宋_GB2312"/>
          <w:sz w:val="32"/>
          <w:szCs w:val="32"/>
          <w:highlight w:val="none"/>
        </w:rPr>
        <w:t>人。</w:t>
      </w:r>
    </w:p>
    <w:p w14:paraId="38F275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lang w:val="en-US" w:eastAsia="zh-CN"/>
        </w:rPr>
        <w:t>6</w:t>
      </w:r>
      <w:r>
        <w:rPr>
          <w:rFonts w:hint="eastAsia" w:ascii="仿宋_GB2312" w:hAnsi="黑体" w:eastAsia="仿宋_GB2312" w:cs="宋体"/>
          <w:bCs/>
          <w:kern w:val="0"/>
          <w:sz w:val="32"/>
          <w:szCs w:val="32"/>
          <w:highlight w:val="none"/>
        </w:rPr>
        <w:t>个处室，分别是：</w:t>
      </w:r>
      <w:r>
        <w:rPr>
          <w:rFonts w:hint="eastAsia" w:ascii="仿宋_GB2312" w:hAnsi="黑体" w:eastAsia="仿宋_GB2312" w:cs="宋体"/>
          <w:bCs/>
          <w:kern w:val="0"/>
          <w:sz w:val="32"/>
          <w:szCs w:val="32"/>
          <w:highlight w:val="none"/>
        </w:rPr>
        <w:t>办公室、教务科、学生科、计算机教研室、服务中心、科研科</w:t>
      </w:r>
      <w:r>
        <w:rPr>
          <w:rFonts w:hint="eastAsia" w:ascii="仿宋_GB2312" w:hAnsi="宋体" w:eastAsia="仿宋_GB2312" w:cs="宋体"/>
          <w:kern w:val="0"/>
          <w:sz w:val="32"/>
          <w:szCs w:val="32"/>
          <w:highlight w:val="none"/>
        </w:rPr>
        <w:t>。</w:t>
      </w:r>
    </w:p>
    <w:p w14:paraId="76FD2B6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1E1DFE7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3C09337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4E469D0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7087408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117ED39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14866F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61CD99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274FD9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378F13C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7A499A0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0A036B2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highlight w:val="none"/>
        </w:rPr>
      </w:pPr>
    </w:p>
    <w:p w14:paraId="7EFD27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EE8C8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5FA69C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4,402.92万元，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4,380.78万元，使用非财政拨款结余0.00万元，年初结转和结余22.14万元。</w:t>
      </w:r>
    </w:p>
    <w:p w14:paraId="313170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4,402.92万元，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4,395.06万元，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0.00万元，年末结转和结余7.86万元。</w:t>
      </w:r>
    </w:p>
    <w:p w14:paraId="4738A4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增加1,310.79万元</w:t>
      </w:r>
      <w:r>
        <w:rPr>
          <w:rFonts w:hint="eastAsia" w:ascii="仿宋_GB2312" w:eastAsia="仿宋_GB2312"/>
          <w:color w:val="auto"/>
          <w:spacing w:val="0"/>
          <w:sz w:val="32"/>
          <w:szCs w:val="32"/>
          <w:highlight w:val="none"/>
          <w:lang w:eastAsia="zh-CN"/>
        </w:rPr>
        <w:t>，增长42.39%，主要原因是：</w:t>
      </w:r>
      <w:r>
        <w:rPr>
          <w:rFonts w:hint="eastAsia" w:ascii="仿宋_GB2312" w:eastAsia="仿宋_GB2312"/>
          <w:color w:val="auto"/>
          <w:spacing w:val="0"/>
          <w:sz w:val="32"/>
          <w:szCs w:val="32"/>
          <w:highlight w:val="none"/>
          <w:lang w:val="en-US" w:eastAsia="zh-CN"/>
        </w:rPr>
        <w:t>2023年收到</w:t>
      </w:r>
      <w:r>
        <w:rPr>
          <w:rFonts w:hint="eastAsia" w:ascii="仿宋_GB2312" w:eastAsia="仿宋_GB2312"/>
          <w:color w:val="auto"/>
          <w:spacing w:val="0"/>
          <w:sz w:val="32"/>
          <w:szCs w:val="32"/>
          <w:highlight w:val="none"/>
          <w:lang w:eastAsia="zh-CN"/>
        </w:rPr>
        <w:t>文化体育训练基地建设项目自治区配套</w:t>
      </w:r>
      <w:r>
        <w:rPr>
          <w:rFonts w:hint="eastAsia" w:ascii="仿宋_GB2312" w:eastAsia="仿宋_GB2312"/>
          <w:color w:val="auto"/>
          <w:spacing w:val="0"/>
          <w:sz w:val="32"/>
          <w:szCs w:val="32"/>
          <w:highlight w:val="none"/>
          <w:lang w:val="en-US" w:eastAsia="zh-CN"/>
        </w:rPr>
        <w:t>建设</w:t>
      </w:r>
      <w:r>
        <w:rPr>
          <w:rFonts w:hint="eastAsia" w:ascii="仿宋_GB2312" w:eastAsia="仿宋_GB2312"/>
          <w:color w:val="auto"/>
          <w:spacing w:val="0"/>
          <w:sz w:val="32"/>
          <w:szCs w:val="32"/>
          <w:highlight w:val="none"/>
          <w:lang w:eastAsia="zh-CN"/>
        </w:rPr>
        <w:t>资金及场馆内设施设备采购</w:t>
      </w:r>
      <w:r>
        <w:rPr>
          <w:rFonts w:hint="eastAsia" w:ascii="仿宋_GB2312" w:eastAsia="仿宋_GB2312"/>
          <w:color w:val="auto"/>
          <w:spacing w:val="0"/>
          <w:sz w:val="32"/>
          <w:szCs w:val="32"/>
          <w:highlight w:val="none"/>
          <w:lang w:val="en-US" w:eastAsia="zh-CN"/>
        </w:rPr>
        <w:t>资金</w:t>
      </w:r>
      <w:r>
        <w:rPr>
          <w:rFonts w:hint="eastAsia" w:ascii="仿宋_GB2312" w:eastAsia="仿宋_GB2312"/>
          <w:color w:val="auto"/>
          <w:spacing w:val="0"/>
          <w:sz w:val="32"/>
          <w:szCs w:val="32"/>
          <w:highlight w:val="none"/>
          <w:lang w:eastAsia="zh-CN"/>
        </w:rPr>
        <w:t>1308万元；收到2023年中央残疾人事业发展补助资金（</w:t>
      </w:r>
      <w:r>
        <w:rPr>
          <w:rFonts w:hint="eastAsia" w:ascii="仿宋_GB2312" w:eastAsia="仿宋_GB2312"/>
          <w:color w:val="auto"/>
          <w:spacing w:val="0"/>
          <w:sz w:val="32"/>
          <w:szCs w:val="32"/>
          <w:highlight w:val="none"/>
          <w:lang w:val="en-US" w:eastAsia="zh-CN"/>
        </w:rPr>
        <w:t>专项彩票公益金</w:t>
      </w:r>
      <w:r>
        <w:rPr>
          <w:rFonts w:hint="eastAsia" w:ascii="仿宋_GB2312" w:eastAsia="仿宋_GB2312"/>
          <w:color w:val="auto"/>
          <w:spacing w:val="0"/>
          <w:sz w:val="32"/>
          <w:szCs w:val="32"/>
          <w:highlight w:val="none"/>
          <w:lang w:eastAsia="zh-CN"/>
        </w:rPr>
        <w:t>）66.17万元。</w:t>
      </w:r>
    </w:p>
    <w:p w14:paraId="7F8873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B6BFC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4,380.78</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4,321.48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98.65%</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58.92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1.34%</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0.37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w:t>
      </w:r>
    </w:p>
    <w:p w14:paraId="24251D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245B50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本年支出4,395.06万元，其中：基本支出1,973.52万元，占44.90%；项目支出2,421.54万元，占55.10%；上缴上级支出0.00万元，占0.00%；经营支出0.00万元，占0.00%；对附属单位补助支出0.00万元，占0.00%。</w:t>
      </w:r>
    </w:p>
    <w:p w14:paraId="257B0B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4ADCC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4,341.64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20.16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4,321.48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4,341.64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7.47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4,334.17</w:t>
      </w:r>
      <w:r>
        <w:rPr>
          <w:rFonts w:hint="eastAsia" w:ascii="仿宋_GB2312" w:eastAsia="仿宋_GB2312"/>
          <w:color w:val="auto"/>
          <w:spacing w:val="0"/>
          <w:sz w:val="32"/>
          <w:szCs w:val="32"/>
          <w:highlight w:val="none"/>
          <w:lang w:eastAsia="zh-CN"/>
        </w:rPr>
        <w:t>万元。</w:t>
      </w:r>
    </w:p>
    <w:p w14:paraId="4BADC9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增加1,290.77万元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增长42.31%,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eastAsia="zh-CN"/>
        </w:rPr>
        <w:t>2023年收到文化体育训练基地建设项目自治区配套建设资金及场馆内设施设备采购资金1308万元；收到2023年中央残疾人事业发展补助资金（专项彩票公益金）66.17万元。</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4,109.41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4,341.64</w:t>
      </w:r>
      <w:r>
        <w:rPr>
          <w:rFonts w:hint="eastAsia" w:ascii="仿宋_GB2312" w:eastAsia="仿宋_GB2312"/>
          <w:color w:val="auto"/>
          <w:spacing w:val="0"/>
          <w:sz w:val="32"/>
          <w:szCs w:val="32"/>
          <w:highlight w:val="none"/>
          <w:lang w:eastAsia="zh-CN"/>
        </w:rPr>
        <w:t>万元，预决算差异率5.65%，主要原因是：2023年收到</w:t>
      </w:r>
      <w:r>
        <w:rPr>
          <w:rFonts w:hint="eastAsia" w:ascii="仿宋_GB2312" w:eastAsia="仿宋_GB2312"/>
          <w:color w:val="auto"/>
          <w:spacing w:val="0"/>
          <w:sz w:val="32"/>
          <w:szCs w:val="32"/>
          <w:highlight w:val="none"/>
          <w:lang w:val="en-US" w:eastAsia="zh-CN"/>
        </w:rPr>
        <w:t>教育厅年中追加各类学生资助补助经费</w:t>
      </w:r>
      <w:r>
        <w:rPr>
          <w:rFonts w:hint="eastAsia" w:ascii="仿宋_GB2312" w:eastAsia="仿宋_GB2312"/>
          <w:color w:val="auto"/>
          <w:spacing w:val="0"/>
          <w:sz w:val="32"/>
          <w:szCs w:val="32"/>
          <w:highlight w:val="none"/>
          <w:lang w:eastAsia="zh-CN"/>
        </w:rPr>
        <w:t>。</w:t>
      </w:r>
    </w:p>
    <w:p w14:paraId="1C2FCE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C7934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929E47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2023年度一般公共预算财政拨款支出3,000.09万元，占本年支出合计的</w:t>
      </w:r>
      <w:r>
        <w:rPr>
          <w:rFonts w:hint="eastAsia" w:ascii="仿宋_GB2312" w:eastAsia="仿宋_GB2312"/>
          <w:color w:val="auto"/>
          <w:spacing w:val="0"/>
          <w:sz w:val="32"/>
          <w:szCs w:val="32"/>
          <w:highlight w:val="none"/>
          <w:lang w:val="zh-CN" w:eastAsia="zh-CN"/>
        </w:rPr>
        <w:t>68.26%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增加116.93万元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增长4.06%,</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highlight w:val="none"/>
          <w:lang w:val="en-US" w:eastAsia="zh-CN"/>
        </w:rPr>
        <w:t>追加</w:t>
      </w:r>
      <w:r>
        <w:rPr>
          <w:rFonts w:hint="eastAsia" w:ascii="仿宋_GB2312" w:hAnsi="仿宋" w:eastAsia="仿宋_GB2312"/>
          <w:sz w:val="32"/>
          <w:szCs w:val="32"/>
          <w:highlight w:val="none"/>
          <w:lang w:val="en-US" w:eastAsia="zh-CN"/>
        </w:rPr>
        <w:t>新进人员工资及社保</w:t>
      </w:r>
      <w:r>
        <w:rPr>
          <w:rFonts w:hint="eastAsia" w:ascii="仿宋_GB2312" w:hAnsi="仿宋" w:eastAsia="仿宋_GB2312"/>
          <w:sz w:val="32"/>
          <w:szCs w:val="32"/>
          <w:highlight w:val="none"/>
        </w:rPr>
        <w:t>、基础绩效奖、年度考核奖；</w:t>
      </w:r>
      <w:r>
        <w:rPr>
          <w:rFonts w:hint="eastAsia" w:ascii="仿宋_GB2312" w:hAnsi="仿宋" w:eastAsia="仿宋_GB2312"/>
          <w:sz w:val="32"/>
          <w:szCs w:val="32"/>
          <w:highlight w:val="none"/>
          <w:lang w:val="en-US" w:eastAsia="zh-CN"/>
        </w:rPr>
        <w:t>追加退休人员2022年提高基础绩效、</w:t>
      </w:r>
      <w:r>
        <w:rPr>
          <w:rFonts w:hint="eastAsia" w:ascii="仿宋_GB2312" w:hAnsi="仿宋" w:eastAsia="仿宋_GB2312"/>
          <w:sz w:val="32"/>
          <w:szCs w:val="32"/>
          <w:highlight w:val="none"/>
        </w:rPr>
        <w:t>退休职工职业年金缴费</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2,633.19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3,000.09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13.93%</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highlight w:val="none"/>
          <w:lang w:val="en-US" w:eastAsia="zh-CN"/>
        </w:rPr>
        <w:t>追加</w:t>
      </w:r>
      <w:r>
        <w:rPr>
          <w:rFonts w:hint="eastAsia" w:ascii="仿宋_GB2312" w:hAnsi="仿宋" w:eastAsia="仿宋_GB2312"/>
          <w:sz w:val="32"/>
          <w:szCs w:val="32"/>
          <w:highlight w:val="none"/>
          <w:lang w:val="en-US" w:eastAsia="zh-CN"/>
        </w:rPr>
        <w:t>新进人员工资及社保</w:t>
      </w:r>
      <w:r>
        <w:rPr>
          <w:rFonts w:hint="eastAsia" w:ascii="仿宋_GB2312" w:hAnsi="仿宋" w:eastAsia="仿宋_GB2312"/>
          <w:sz w:val="32"/>
          <w:szCs w:val="32"/>
          <w:highlight w:val="none"/>
        </w:rPr>
        <w:t>、基础绩效奖、年度考核奖；</w:t>
      </w:r>
      <w:r>
        <w:rPr>
          <w:rFonts w:hint="eastAsia" w:ascii="仿宋_GB2312" w:hAnsi="仿宋" w:eastAsia="仿宋_GB2312"/>
          <w:sz w:val="32"/>
          <w:szCs w:val="32"/>
          <w:highlight w:val="none"/>
          <w:lang w:val="en-US" w:eastAsia="zh-CN"/>
        </w:rPr>
        <w:t>追加退休人员2022年提高基础绩效、</w:t>
      </w:r>
      <w:r>
        <w:rPr>
          <w:rFonts w:hint="eastAsia" w:ascii="仿宋_GB2312" w:hAnsi="仿宋" w:eastAsia="仿宋_GB2312"/>
          <w:sz w:val="32"/>
          <w:szCs w:val="32"/>
          <w:highlight w:val="none"/>
        </w:rPr>
        <w:t>退休职工职业年金缴费</w:t>
      </w:r>
      <w:r>
        <w:rPr>
          <w:rFonts w:hint="eastAsia" w:ascii="仿宋_GB2312" w:hAnsi="仿宋" w:eastAsia="仿宋_GB2312"/>
          <w:sz w:val="32"/>
          <w:szCs w:val="32"/>
          <w:highlight w:val="none"/>
          <w:lang w:eastAsia="zh-CN"/>
        </w:rPr>
        <w:t>，资金执行情况较好</w:t>
      </w:r>
      <w:r>
        <w:rPr>
          <w:rFonts w:hint="eastAsia" w:ascii="仿宋_GB2312" w:eastAsia="仿宋_GB2312"/>
          <w:sz w:val="32"/>
          <w:szCs w:val="32"/>
          <w:highlight w:val="none"/>
        </w:rPr>
        <w:t>。</w:t>
      </w:r>
    </w:p>
    <w:p w14:paraId="0667787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D06705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1.教育支出（类）</w:t>
      </w:r>
      <w:r>
        <w:rPr>
          <w:rFonts w:hint="eastAsia" w:ascii="仿宋_GB2312" w:hAnsi="Times New Roman" w:eastAsia="仿宋_GB2312" w:cs="Times New Roman"/>
          <w:color w:val="auto"/>
          <w:spacing w:val="0"/>
          <w:kern w:val="2"/>
          <w:sz w:val="32"/>
          <w:szCs w:val="32"/>
          <w:highlight w:val="none"/>
          <w:lang w:val="zh-CN" w:eastAsia="zh-CN" w:bidi="ar-SA"/>
        </w:rPr>
        <w:t>2,446.94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81.56%</w:t>
      </w:r>
      <w:r>
        <w:rPr>
          <w:rFonts w:hint="default" w:ascii="仿宋_GB2312" w:hAnsi="Times New Roman" w:eastAsia="仿宋_GB2312" w:cs="Times New Roman"/>
          <w:color w:val="auto"/>
          <w:spacing w:val="0"/>
          <w:kern w:val="2"/>
          <w:sz w:val="32"/>
          <w:szCs w:val="32"/>
          <w:highlight w:val="none"/>
          <w:lang w:val="zh-CN" w:eastAsia="zh-CN" w:bidi="ar-SA"/>
        </w:rPr>
        <w:t>；</w:t>
      </w:r>
    </w:p>
    <w:p w14:paraId="246346B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553.15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18.44%</w:t>
      </w:r>
      <w:r>
        <w:rPr>
          <w:rFonts w:hint="default" w:ascii="仿宋_GB2312" w:hAnsi="Times New Roman" w:eastAsia="仿宋_GB2312" w:cs="Times New Roman"/>
          <w:color w:val="auto"/>
          <w:spacing w:val="0"/>
          <w:kern w:val="2"/>
          <w:sz w:val="32"/>
          <w:szCs w:val="32"/>
          <w:highlight w:val="none"/>
          <w:lang w:val="zh-CN" w:eastAsia="zh-CN" w:bidi="ar-SA"/>
        </w:rPr>
        <w:t>；</w:t>
      </w:r>
    </w:p>
    <w:p w14:paraId="0FE2BF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61EDC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残疾人事业（款）残疾人就业（项）:支出决算数为535.73万元，比上年决算减少29.08万元，下降5.15%，主要原因是：2023年特殊教育职业教育经费就业培训项目中电子政务外网项目已完成，减少该项目申报金额。</w:t>
      </w:r>
    </w:p>
    <w:p w14:paraId="00C629FE">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2.社会保障和就业支出（类）行政事业单位养老支出（款）事业单位离退休（项）:支出决算数为7.44万元，比上年决算增加7.44万元，增长100%，主要原因是：</w:t>
      </w:r>
      <w:r>
        <w:rPr>
          <w:rFonts w:hint="eastAsia" w:ascii="仿宋_GB2312" w:hAnsi="仿宋" w:eastAsia="仿宋_GB2312"/>
          <w:sz w:val="32"/>
          <w:szCs w:val="32"/>
          <w:highlight w:val="none"/>
          <w:lang w:val="en-US" w:eastAsia="zh-CN"/>
        </w:rPr>
        <w:t>追加退休人员2022年提高基础绩效</w:t>
      </w:r>
      <w:r>
        <w:rPr>
          <w:rFonts w:hint="eastAsia" w:ascii="仿宋_GB2312" w:eastAsia="仿宋_GB2312"/>
          <w:sz w:val="32"/>
          <w:szCs w:val="32"/>
          <w:highlight w:val="none"/>
        </w:rPr>
        <w:t>。</w:t>
      </w:r>
    </w:p>
    <w:p w14:paraId="65E845B5">
      <w:pPr>
        <w:ind w:firstLine="640" w:firstLineChars="200"/>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3.教育支出（类）职业教育（款）中等职业教育（项）:支出决算数为190.70万元，比上年决算增加10.46万元，增长5.80%，主要原因是：我校</w:t>
      </w:r>
      <w:r>
        <w:rPr>
          <w:rFonts w:hint="eastAsia" w:ascii="仿宋_GB2312" w:eastAsia="仿宋_GB2312"/>
          <w:sz w:val="32"/>
          <w:szCs w:val="32"/>
          <w:highlight w:val="none"/>
          <w:lang w:eastAsia="zh-CN"/>
        </w:rPr>
        <w:t>学生人数增加，相应中央及自治区各类补助经费增加。</w:t>
      </w:r>
    </w:p>
    <w:p w14:paraId="076B08B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4.教育支出（类）特殊教育（款）特殊学校教育（项）:支出决算数为2,256.24万元，比上年决算增加143.12万元，增长6.77%，主要原因是：</w:t>
      </w:r>
      <w:r>
        <w:rPr>
          <w:rFonts w:hint="eastAsia" w:ascii="仿宋_GB2312" w:eastAsia="仿宋_GB2312"/>
          <w:sz w:val="32"/>
          <w:szCs w:val="32"/>
          <w:highlight w:val="none"/>
          <w:lang w:eastAsia="zh-CN"/>
        </w:rPr>
        <w:t>年中追加</w:t>
      </w:r>
      <w:r>
        <w:rPr>
          <w:rFonts w:hint="eastAsia" w:ascii="仿宋_GB2312" w:hAnsi="仿宋" w:eastAsia="仿宋_GB2312"/>
          <w:sz w:val="32"/>
          <w:szCs w:val="32"/>
          <w:highlight w:val="none"/>
          <w:lang w:val="en-US" w:eastAsia="zh-CN"/>
        </w:rPr>
        <w:t>新进人员工资及社保</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教职工</w:t>
      </w:r>
      <w:r>
        <w:rPr>
          <w:rFonts w:hint="eastAsia" w:ascii="仿宋_GB2312" w:hAnsi="仿宋" w:eastAsia="仿宋_GB2312"/>
          <w:sz w:val="32"/>
          <w:szCs w:val="32"/>
          <w:highlight w:val="none"/>
        </w:rPr>
        <w:t>基础绩效奖</w:t>
      </w:r>
      <w:r>
        <w:rPr>
          <w:rFonts w:hint="eastAsia" w:ascii="仿宋_GB2312" w:hAnsi="仿宋" w:eastAsia="仿宋_GB2312"/>
          <w:sz w:val="32"/>
          <w:szCs w:val="32"/>
          <w:highlight w:val="none"/>
          <w:lang w:eastAsia="zh-CN"/>
        </w:rPr>
        <w:t>及</w:t>
      </w:r>
      <w:r>
        <w:rPr>
          <w:rFonts w:hint="eastAsia" w:ascii="仿宋_GB2312" w:hAnsi="仿宋" w:eastAsia="仿宋_GB2312"/>
          <w:sz w:val="32"/>
          <w:szCs w:val="32"/>
          <w:highlight w:val="none"/>
        </w:rPr>
        <w:t>年度考核奖</w:t>
      </w:r>
      <w:r>
        <w:rPr>
          <w:rFonts w:hint="eastAsia" w:ascii="仿宋_GB2312" w:hAnsi="仿宋" w:eastAsia="仿宋_GB2312"/>
          <w:sz w:val="32"/>
          <w:szCs w:val="32"/>
          <w:highlight w:val="none"/>
          <w:lang w:eastAsia="zh-CN"/>
        </w:rPr>
        <w:t>。</w:t>
      </w:r>
    </w:p>
    <w:p w14:paraId="574549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5.社会保障和就业支出（类）行政事业单位养老支出（款）机关事业单位职业年金缴费支出（项）:支出决算数为9.98万元，比上年决算减少15.02万元，下降60.08%，主要原因是：</w:t>
      </w:r>
      <w:r>
        <w:rPr>
          <w:rFonts w:hint="eastAsia" w:ascii="仿宋_GB2312" w:eastAsia="仿宋_GB2312"/>
          <w:sz w:val="32"/>
          <w:szCs w:val="32"/>
          <w:highlight w:val="none"/>
        </w:rPr>
        <w:t>我校</w:t>
      </w:r>
      <w:r>
        <w:rPr>
          <w:rFonts w:hint="eastAsia" w:ascii="仿宋_GB2312" w:eastAsia="仿宋_GB2312"/>
          <w:sz w:val="32"/>
          <w:szCs w:val="32"/>
          <w:highlight w:val="none"/>
          <w:lang w:val="en-US" w:eastAsia="zh-CN"/>
        </w:rPr>
        <w:t>2023</w:t>
      </w:r>
      <w:r>
        <w:rPr>
          <w:rFonts w:hint="eastAsia" w:ascii="仿宋_GB2312" w:eastAsia="仿宋_GB2312"/>
          <w:sz w:val="32"/>
          <w:szCs w:val="32"/>
          <w:highlight w:val="none"/>
        </w:rPr>
        <w:t>年退休人数</w:t>
      </w:r>
      <w:r>
        <w:rPr>
          <w:rFonts w:hint="eastAsia" w:ascii="仿宋_GB2312" w:eastAsia="仿宋_GB2312"/>
          <w:sz w:val="32"/>
          <w:szCs w:val="32"/>
          <w:highlight w:val="none"/>
          <w:lang w:val="en-US" w:eastAsia="zh-CN"/>
        </w:rPr>
        <w:t>较上年</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lang w:val="en-US" w:eastAsia="zh-CN"/>
        </w:rPr>
        <w:t>职业年金缴费减少</w:t>
      </w:r>
      <w:r>
        <w:rPr>
          <w:rFonts w:hint="eastAsia" w:ascii="仿宋_GB2312" w:eastAsia="仿宋_GB2312"/>
          <w:sz w:val="32"/>
          <w:szCs w:val="32"/>
          <w:highlight w:val="none"/>
        </w:rPr>
        <w:t>。</w:t>
      </w:r>
    </w:p>
    <w:p w14:paraId="6E6A76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95433F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1,973.52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1,466.72</w:t>
      </w:r>
      <w:r>
        <w:rPr>
          <w:rFonts w:hint="eastAsia" w:ascii="仿宋_GB2312" w:eastAsia="仿宋_GB2312"/>
          <w:color w:val="auto"/>
          <w:sz w:val="32"/>
          <w:szCs w:val="32"/>
          <w:highlight w:val="none"/>
        </w:rPr>
        <w:t>万元，包括：</w:t>
      </w:r>
      <w:r>
        <w:rPr>
          <w:rFonts w:hint="eastAsia" w:ascii="仿宋_GB2312" w:eastAsia="仿宋_GB2312"/>
          <w:sz w:val="32"/>
          <w:szCs w:val="32"/>
          <w:highlight w:val="none"/>
        </w:rPr>
        <w:t>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医疗费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、退休费、抚恤金、其他对个人和家庭的补助。</w:t>
      </w:r>
    </w:p>
    <w:p w14:paraId="1DBDCCD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506.80</w:t>
      </w:r>
      <w:r>
        <w:rPr>
          <w:rFonts w:hint="eastAsia" w:ascii="仿宋_GB2312" w:eastAsia="仿宋_GB2312"/>
          <w:color w:val="auto"/>
          <w:sz w:val="32"/>
          <w:szCs w:val="32"/>
          <w:highlight w:val="none"/>
        </w:rPr>
        <w:t>万元，包括：</w:t>
      </w:r>
      <w:r>
        <w:rPr>
          <w:rFonts w:hint="eastAsia" w:ascii="仿宋_GB2312" w:eastAsia="仿宋_GB2312"/>
          <w:sz w:val="32"/>
          <w:szCs w:val="32"/>
          <w:highlight w:val="none"/>
        </w:rPr>
        <w:t>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印刷费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物业管理费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租赁费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专用材料费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委托业务费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福利费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14:paraId="2701F4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DBBD3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“三公”经费支出14.44万元，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减少0.83万元，</w:t>
      </w:r>
      <w:r>
        <w:rPr>
          <w:rFonts w:hint="eastAsia" w:ascii="仿宋_GB2312" w:eastAsia="仿宋_GB2312"/>
          <w:color w:val="auto"/>
          <w:spacing w:val="0"/>
          <w:sz w:val="32"/>
          <w:szCs w:val="32"/>
          <w:highlight w:val="none"/>
          <w:lang w:val="en-US" w:eastAsia="zh-CN"/>
        </w:rPr>
        <w:t>下降5.44%,</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w:t>
      </w:r>
      <w:r>
        <w:rPr>
          <w:rFonts w:hint="eastAsia" w:ascii="仿宋_GB2312" w:eastAsia="仿宋_GB2312"/>
          <w:sz w:val="32"/>
          <w:szCs w:val="32"/>
          <w:highlight w:val="none"/>
          <w:lang w:val="en-US" w:eastAsia="zh-CN"/>
        </w:rPr>
        <w:t>单位</w:t>
      </w:r>
      <w:r>
        <w:rPr>
          <w:rFonts w:ascii="仿宋_GB2312" w:eastAsia="仿宋_GB2312"/>
          <w:sz w:val="32"/>
          <w:szCs w:val="32"/>
          <w:highlight w:val="none"/>
        </w:rPr>
        <w:t>公务车辆按照统一管理的原则，使用和调度严格执行公务车辆管理办法，减少不必要公出的次数</w:t>
      </w:r>
      <w:r>
        <w:rPr>
          <w:rFonts w:hint="eastAsia" w:ascii="Times New Roman" w:hAnsi="Times New Roman" w:eastAsia="仿宋_GB2312" w:cs="Times New Roman"/>
          <w:sz w:val="30"/>
          <w:szCs w:val="30"/>
          <w:highlight w:val="none"/>
          <w:lang w:val="zh-CN"/>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我单位无因公出国（境）费</w:t>
      </w:r>
      <w:r>
        <w:rPr>
          <w:rFonts w:hint="eastAsia" w:ascii="Times New Roman" w:hAnsi="Times New Roman" w:eastAsia="仿宋_GB2312" w:cs="Times New Roman"/>
          <w:sz w:val="30"/>
          <w:szCs w:val="30"/>
          <w:highlight w:val="none"/>
          <w:lang w:val="zh-CN"/>
        </w:rPr>
        <w:t>；</w:t>
      </w:r>
      <w:r>
        <w:rPr>
          <w:rFonts w:hint="eastAsia" w:ascii="仿宋_GB2312" w:eastAsia="仿宋_GB2312"/>
          <w:color w:val="auto"/>
          <w:sz w:val="32"/>
          <w:szCs w:val="32"/>
          <w:highlight w:val="none"/>
          <w:lang w:val="zh-CN" w:eastAsia="zh-CN"/>
        </w:rPr>
        <w:t>公务用车购置及运行维护费支出14.44万元，占100.00%，比上年减少0.83万元，</w:t>
      </w:r>
      <w:r>
        <w:rPr>
          <w:rFonts w:hint="eastAsia" w:ascii="仿宋_GB2312" w:eastAsia="仿宋_GB2312"/>
          <w:color w:val="auto"/>
          <w:spacing w:val="0"/>
          <w:sz w:val="32"/>
          <w:szCs w:val="32"/>
          <w:highlight w:val="none"/>
          <w:lang w:val="en-US" w:eastAsia="zh-CN"/>
        </w:rPr>
        <w:t>下降5.44%,</w:t>
      </w:r>
      <w:r>
        <w:rPr>
          <w:rFonts w:hint="eastAsia" w:ascii="仿宋_GB2312" w:eastAsia="仿宋_GB2312"/>
          <w:color w:val="auto"/>
          <w:sz w:val="32"/>
          <w:szCs w:val="32"/>
          <w:highlight w:val="none"/>
          <w:lang w:val="zh-CN" w:eastAsia="zh-CN"/>
        </w:rPr>
        <w:t>主要原因是：我单位公务车辆按照统一管理的原则，使用和调度严格执行公务车辆管理办法，减少不必要公出的次数；公务接待费支出0.00万元，占0.00%，比上年增加0.00万元，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w:t>
      </w:r>
      <w:r>
        <w:rPr>
          <w:rFonts w:hint="eastAsia" w:ascii="Times New Roman" w:hAnsi="Times New Roman" w:eastAsia="仿宋_GB2312" w:cs="Times New Roman"/>
          <w:sz w:val="30"/>
          <w:szCs w:val="30"/>
          <w:highlight w:val="none"/>
          <w:lang w:val="zh-CN"/>
        </w:rPr>
        <w:t>公务接待费支出。</w:t>
      </w:r>
    </w:p>
    <w:p w14:paraId="3CA4C75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1AFC9CA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eastAsia="仿宋_GB2312" w:cs="Times New Roman"/>
          <w:color w:val="auto"/>
          <w:sz w:val="30"/>
          <w:szCs w:val="30"/>
          <w:highlight w:val="none"/>
          <w:lang w:val="en-US" w:eastAsia="zh-CN"/>
        </w:rPr>
        <w:t>我单位无</w:t>
      </w:r>
      <w:r>
        <w:rPr>
          <w:rFonts w:hint="eastAsia" w:ascii="Times New Roman" w:hAnsi="Times New Roman" w:eastAsia="仿宋_GB2312" w:cs="Times New Roman"/>
          <w:color w:val="auto"/>
          <w:sz w:val="30"/>
          <w:szCs w:val="30"/>
          <w:highlight w:val="none"/>
          <w:lang w:val="zh-CN"/>
        </w:rPr>
        <w:t>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14:paraId="70AFA6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公务用车购置及运行维护费14.44万元，其中：公务用车购置费0.00万元，公务用车运行维护费14.44万元。公务用车运行维护费开支内容包括</w:t>
      </w:r>
      <w:r>
        <w:rPr>
          <w:rFonts w:hint="eastAsia" w:ascii="Times New Roman" w:hAnsi="Times New Roman" w:eastAsia="仿宋_GB2312" w:cs="Times New Roman"/>
          <w:sz w:val="30"/>
          <w:szCs w:val="30"/>
          <w:highlight w:val="none"/>
          <w:lang w:val="zh-CN"/>
        </w:rPr>
        <w:t>车辆燃油费、车辆保险费、车辆维修保养费、车辆过路过桥费及停车费</w:t>
      </w:r>
      <w:r>
        <w:rPr>
          <w:rFonts w:hint="eastAsia" w:ascii="仿宋_GB2312" w:eastAsia="仿宋_GB2312"/>
          <w:color w:val="auto"/>
          <w:sz w:val="32"/>
          <w:szCs w:val="32"/>
          <w:highlight w:val="none"/>
          <w:lang w:val="zh-CN" w:eastAsia="zh-CN"/>
        </w:rPr>
        <w:t>。公务用车购置数0辆，公务用车保有量3辆。国有资产占用情况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ascii="仿宋" w:hAnsi="仿宋" w:eastAsia="仿宋" w:cs="仿宋"/>
          <w:b w:val="0"/>
          <w:bCs w:val="0"/>
          <w:color w:val="000000"/>
          <w:sz w:val="31"/>
          <w:szCs w:val="31"/>
          <w:highlight w:val="none"/>
        </w:rPr>
        <w:t>我单位</w:t>
      </w:r>
      <w:r>
        <w:rPr>
          <w:rFonts w:hint="eastAsia" w:ascii="Times New Roman" w:hAnsi="Times New Roman" w:eastAsia="仿宋_GB2312" w:cs="Times New Roman"/>
          <w:sz w:val="30"/>
          <w:szCs w:val="30"/>
          <w:highlight w:val="none"/>
          <w:lang w:val="en-US" w:eastAsia="zh-CN"/>
        </w:rPr>
        <w:t>固定资产车辆</w:t>
      </w:r>
      <w:r>
        <w:rPr>
          <w:rFonts w:hint="eastAsia" w:eastAsia="仿宋_GB2312" w:cs="Times New Roman"/>
          <w:sz w:val="30"/>
          <w:szCs w:val="30"/>
          <w:highlight w:val="none"/>
          <w:lang w:val="en-US" w:eastAsia="zh-CN"/>
        </w:rPr>
        <w:t>数量和</w:t>
      </w:r>
      <w:r>
        <w:rPr>
          <w:rFonts w:hint="eastAsia" w:ascii="Times New Roman" w:hAnsi="Times New Roman" w:eastAsia="仿宋_GB2312" w:cs="Times New Roman"/>
          <w:sz w:val="30"/>
          <w:szCs w:val="30"/>
          <w:highlight w:val="none"/>
          <w:lang w:val="zh-CN"/>
        </w:rPr>
        <w:t>公务用车</w:t>
      </w:r>
      <w:r>
        <w:rPr>
          <w:rFonts w:hint="eastAsia" w:ascii="Times New Roman" w:hAnsi="Times New Roman" w:eastAsia="仿宋_GB2312" w:cs="Times New Roman"/>
          <w:sz w:val="30"/>
          <w:szCs w:val="30"/>
          <w:highlight w:val="none"/>
          <w:lang w:val="en-US" w:eastAsia="zh-CN"/>
        </w:rPr>
        <w:t>保有量</w:t>
      </w:r>
      <w:r>
        <w:rPr>
          <w:rFonts w:hint="eastAsia" w:eastAsia="仿宋_GB2312" w:cs="Times New Roman"/>
          <w:sz w:val="30"/>
          <w:szCs w:val="30"/>
          <w:highlight w:val="none"/>
          <w:lang w:val="en-US" w:eastAsia="zh-CN"/>
        </w:rPr>
        <w:t>无差异</w:t>
      </w:r>
      <w:r>
        <w:rPr>
          <w:rFonts w:ascii="仿宋" w:hAnsi="仿宋" w:eastAsia="仿宋" w:cs="仿宋"/>
          <w:b w:val="0"/>
          <w:bCs w:val="0"/>
          <w:color w:val="000000"/>
          <w:sz w:val="31"/>
          <w:szCs w:val="31"/>
          <w:highlight w:val="none"/>
        </w:rPr>
        <w:t>。</w:t>
      </w:r>
    </w:p>
    <w:p w14:paraId="1E48017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ascii="仿宋" w:hAnsi="仿宋" w:eastAsia="仿宋" w:cs="仿宋"/>
          <w:b w:val="0"/>
          <w:bCs w:val="0"/>
          <w:color w:val="000000"/>
          <w:sz w:val="31"/>
          <w:szCs w:val="31"/>
          <w:highlight w:val="none"/>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1F10B9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预算数14.44万元，决算数14.44万元，预决算差异率0.00%，主要原因是：</w:t>
      </w:r>
      <w:r>
        <w:rPr>
          <w:rFonts w:ascii="仿宋" w:hAnsi="仿宋" w:eastAsia="仿宋" w:cs="仿宋"/>
          <w:b w:val="0"/>
          <w:bCs w:val="0"/>
          <w:color w:val="000000"/>
          <w:sz w:val="31"/>
          <w:szCs w:val="31"/>
          <w:highlight w:val="none"/>
        </w:rPr>
        <w:t>我</w:t>
      </w:r>
      <w:r>
        <w:rPr>
          <w:rFonts w:hint="eastAsia" w:ascii="仿宋" w:hAnsi="仿宋" w:eastAsia="仿宋" w:cs="仿宋"/>
          <w:b w:val="0"/>
          <w:bCs w:val="0"/>
          <w:color w:val="000000"/>
          <w:sz w:val="31"/>
          <w:szCs w:val="31"/>
          <w:highlight w:val="none"/>
          <w:lang w:val="en-US" w:eastAsia="zh-CN"/>
        </w:rPr>
        <w:t>单位</w:t>
      </w:r>
      <w:r>
        <w:rPr>
          <w:rFonts w:ascii="仿宋" w:hAnsi="仿宋" w:eastAsia="仿宋" w:cs="仿宋"/>
          <w:b w:val="0"/>
          <w:bCs w:val="0"/>
          <w:color w:val="000000"/>
          <w:sz w:val="31"/>
          <w:szCs w:val="31"/>
          <w:highlight w:val="none"/>
        </w:rPr>
        <w:t>强化预算控制，严格按照预算执行</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ascii="仿宋" w:hAnsi="仿宋" w:eastAsia="仿宋" w:cs="仿宋"/>
          <w:b w:val="0"/>
          <w:bCs w:val="0"/>
          <w:color w:val="000000"/>
          <w:sz w:val="31"/>
          <w:szCs w:val="31"/>
          <w:highlight w:val="none"/>
        </w:rPr>
        <w:t>我单位无因公出国（境） 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ascii="仿宋" w:hAnsi="仿宋" w:eastAsia="仿宋" w:cs="仿宋"/>
          <w:b w:val="0"/>
          <w:bCs w:val="0"/>
          <w:color w:val="000000"/>
          <w:sz w:val="31"/>
          <w:szCs w:val="31"/>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预算数14.44万元，决算数14.44万元，预决算差异率0.00%，主要原因是：我</w:t>
      </w:r>
      <w:r>
        <w:rPr>
          <w:rFonts w:hint="eastAsia" w:ascii="仿宋" w:hAnsi="仿宋" w:eastAsia="仿宋" w:cs="仿宋"/>
          <w:b w:val="0"/>
          <w:bCs w:val="0"/>
          <w:color w:val="000000"/>
          <w:sz w:val="31"/>
          <w:szCs w:val="31"/>
          <w:highlight w:val="none"/>
          <w:lang w:val="en-US" w:eastAsia="zh-CN"/>
        </w:rPr>
        <w:t>单位</w:t>
      </w:r>
      <w:r>
        <w:rPr>
          <w:rFonts w:ascii="仿宋" w:hAnsi="仿宋" w:eastAsia="仿宋" w:cs="仿宋"/>
          <w:b w:val="0"/>
          <w:bCs w:val="0"/>
          <w:color w:val="000000"/>
          <w:sz w:val="31"/>
          <w:szCs w:val="31"/>
          <w:highlight w:val="none"/>
        </w:rPr>
        <w:t>强化预算控制，严格按照预算执行</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ascii="仿宋" w:hAnsi="仿宋" w:eastAsia="仿宋" w:cs="仿宋"/>
          <w:b w:val="0"/>
          <w:bCs w:val="0"/>
          <w:color w:val="000000"/>
          <w:sz w:val="31"/>
          <w:szCs w:val="31"/>
          <w:highlight w:val="none"/>
        </w:rPr>
        <w:t>我单位无公务接待费</w:t>
      </w:r>
      <w:r>
        <w:rPr>
          <w:rFonts w:hint="eastAsia" w:ascii="Times New Roman" w:hAnsi="Times New Roman" w:eastAsia="仿宋_GB2312" w:cs="Times New Roman"/>
          <w:sz w:val="30"/>
          <w:szCs w:val="30"/>
          <w:highlight w:val="none"/>
          <w:lang w:val="zh-CN"/>
        </w:rPr>
        <w:t>。</w:t>
      </w:r>
    </w:p>
    <w:p w14:paraId="308C44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1063A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1ADADE2E">
      <w:pPr>
        <w:ind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与上年相比，增加1,246.42万元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增长1422.04%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rPr>
        <w:t>2023年收到文化体育训练基地建设项目自治区配套建设资金及场馆内设施设备采购资金1308万元；收到2023年中央残疾人事业发展补助资金（专项彩票公益金）66.17万元，</w:t>
      </w:r>
      <w:r>
        <w:rPr>
          <w:rFonts w:hint="eastAsia" w:ascii="仿宋_GB2312" w:hAnsi="仿宋_GB2312" w:eastAsia="仿宋_GB2312" w:cs="仿宋_GB2312"/>
          <w:color w:val="auto"/>
          <w:sz w:val="32"/>
          <w:szCs w:val="32"/>
          <w:highlight w:val="none"/>
          <w:lang w:val="zh-CN"/>
        </w:rPr>
        <w:t>用于文体器材购置、艺术基地建设及学生宿舍无障碍改造。与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1,476.22</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1,334.07</w:t>
      </w:r>
      <w:r>
        <w:rPr>
          <w:rFonts w:hint="eastAsia" w:ascii="仿宋_GB2312" w:hAnsi="仿宋_GB2312" w:eastAsia="仿宋_GB2312" w:cs="仿宋_GB2312"/>
          <w:color w:val="auto"/>
          <w:sz w:val="32"/>
          <w:szCs w:val="32"/>
          <w:highlight w:val="none"/>
          <w:lang w:val="zh-CN"/>
        </w:rPr>
        <w:t>万元，预决算差异率-9.63%</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文化体育训练基地建设项目自治区配套建设资金及场馆内设施设备采购资金</w:t>
      </w:r>
      <w:r>
        <w:rPr>
          <w:rFonts w:hint="eastAsia" w:ascii="仿宋_GB2312" w:hAnsi="仿宋" w:eastAsia="仿宋_GB2312" w:cs="仿宋"/>
          <w:color w:val="000000"/>
          <w:sz w:val="32"/>
          <w:szCs w:val="32"/>
          <w:highlight w:val="none"/>
          <w:lang w:val="en-US" w:eastAsia="zh-CN"/>
        </w:rPr>
        <w:t>及</w:t>
      </w:r>
      <w:r>
        <w:rPr>
          <w:rFonts w:hint="eastAsia" w:ascii="仿宋_GB2312" w:hAnsi="仿宋_GB2312" w:eastAsia="仿宋_GB2312" w:cs="仿宋_GB2312"/>
          <w:color w:val="auto"/>
          <w:sz w:val="32"/>
          <w:szCs w:val="32"/>
          <w:highlight w:val="none"/>
          <w:lang w:val="zh-CN"/>
        </w:rPr>
        <w:t>2023年中央残疾人事业发展补助资金（专项彩票公益金）</w:t>
      </w:r>
      <w:r>
        <w:rPr>
          <w:rFonts w:hint="eastAsia" w:ascii="仿宋_GB2312" w:hAnsi="仿宋" w:eastAsia="仿宋_GB2312"/>
          <w:sz w:val="32"/>
          <w:szCs w:val="32"/>
          <w:highlight w:val="none"/>
          <w:lang w:val="en-US" w:eastAsia="zh-CN"/>
        </w:rPr>
        <w:t>未执行完毕</w:t>
      </w:r>
      <w:r>
        <w:rPr>
          <w:rFonts w:hint="eastAsia" w:ascii="Times New Roman" w:hAnsi="Times New Roman" w:eastAsia="仿宋_GB2312" w:cs="Times New Roman"/>
          <w:sz w:val="30"/>
          <w:szCs w:val="30"/>
          <w:highlight w:val="none"/>
          <w:lang w:val="zh-CN"/>
        </w:rPr>
        <w:t>。</w:t>
      </w:r>
    </w:p>
    <w:p w14:paraId="036EAE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1,334.07</w:t>
      </w:r>
      <w:r>
        <w:rPr>
          <w:rFonts w:hint="eastAsia" w:ascii="仿宋_GB2312" w:hAnsi="仿宋_GB2312" w:eastAsia="仿宋_GB2312" w:cs="仿宋_GB2312"/>
          <w:color w:val="auto"/>
          <w:sz w:val="32"/>
          <w:szCs w:val="32"/>
          <w:highlight w:val="none"/>
          <w:lang w:val="zh-CN"/>
        </w:rPr>
        <w:t>万元。</w:t>
      </w:r>
    </w:p>
    <w:p w14:paraId="5FCB0A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1.其他支出（类）彩票公益金安排的支出（款）用于残疾人事业的彩票公益金支出（项）:支出决算数为1,334.07</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1,246.42</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1422.04%，主要原因是：</w:t>
      </w:r>
      <w:r>
        <w:rPr>
          <w:rFonts w:hint="eastAsia" w:ascii="仿宋_GB2312" w:hAnsi="仿宋_GB2312" w:eastAsia="仿宋_GB2312" w:cs="仿宋_GB2312"/>
          <w:color w:val="auto"/>
          <w:sz w:val="32"/>
          <w:szCs w:val="32"/>
          <w:highlight w:val="none"/>
          <w:lang w:val="zh-CN"/>
        </w:rPr>
        <w:t>2023年文化体育训练基地建设项目自治区配套建设资金及场馆内设施设备采购资金</w:t>
      </w:r>
      <w:r>
        <w:rPr>
          <w:rFonts w:hint="eastAsia" w:ascii="仿宋_GB2312" w:hAnsi="仿宋" w:eastAsia="仿宋_GB2312" w:cs="仿宋"/>
          <w:color w:val="000000"/>
          <w:sz w:val="32"/>
          <w:szCs w:val="32"/>
          <w:highlight w:val="none"/>
          <w:lang w:val="en-US" w:eastAsia="zh-CN"/>
        </w:rPr>
        <w:t>1229.68万元</w:t>
      </w:r>
      <w:r>
        <w:rPr>
          <w:rFonts w:hint="eastAsia" w:ascii="仿宋_GB2312" w:eastAsia="仿宋_GB2312"/>
          <w:sz w:val="32"/>
          <w:szCs w:val="32"/>
          <w:highlight w:val="none"/>
          <w:lang w:eastAsia="zh-CN"/>
        </w:rPr>
        <w:t>；</w:t>
      </w:r>
      <w:r>
        <w:rPr>
          <w:rFonts w:hint="eastAsia" w:ascii="仿宋_GB2312" w:hAnsi="仿宋_GB2312" w:eastAsia="仿宋_GB2312" w:cs="仿宋_GB2312"/>
          <w:color w:val="auto"/>
          <w:sz w:val="32"/>
          <w:szCs w:val="32"/>
          <w:highlight w:val="none"/>
          <w:lang w:val="zh-CN"/>
        </w:rPr>
        <w:t>收到2023年中央残疾人事业发展补助资金（专项彩票公益金）</w:t>
      </w:r>
      <w:r>
        <w:rPr>
          <w:rFonts w:hint="eastAsia" w:ascii="仿宋_GB2312" w:hAnsi="仿宋" w:eastAsia="仿宋_GB2312"/>
          <w:sz w:val="32"/>
          <w:szCs w:val="32"/>
          <w:highlight w:val="none"/>
          <w:lang w:val="en-US" w:eastAsia="zh-CN"/>
        </w:rPr>
        <w:t>66.17万元，用于文体器材购置、艺术基地建设及学生宿舍无障碍改造，资金执行情况较好</w:t>
      </w:r>
      <w:r>
        <w:rPr>
          <w:rFonts w:hint="eastAsia" w:ascii="仿宋_GB2312" w:eastAsia="仿宋_GB2312"/>
          <w:sz w:val="32"/>
          <w:szCs w:val="32"/>
          <w:highlight w:val="none"/>
        </w:rPr>
        <w:t>。</w:t>
      </w:r>
    </w:p>
    <w:p w14:paraId="574AF4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0E3F5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bookmarkStart w:id="48" w:name="_GoBack"/>
      <w:bookmarkEnd w:id="48"/>
    </w:p>
    <w:p w14:paraId="7937B5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AB9C3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AE659E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新疆残疾人职业中专学校（事业单位）公用经费支出506.80万元，</w:t>
      </w:r>
      <w:r>
        <w:rPr>
          <w:rFonts w:hint="eastAsia" w:ascii="仿宋_GB2312" w:hAnsi="仿宋_GB2312" w:eastAsia="仿宋_GB2312" w:cs="仿宋_GB2312"/>
          <w:color w:val="auto"/>
          <w:sz w:val="32"/>
          <w:szCs w:val="32"/>
          <w:highlight w:val="none"/>
          <w:lang w:val="zh-CN" w:eastAsia="zh-CN"/>
        </w:rPr>
        <w:t>比上年减少40.92万元，下降7.47%，主要原因是：</w:t>
      </w:r>
      <w:r>
        <w:rPr>
          <w:rFonts w:hint="eastAsia" w:ascii="仿宋_GB2312" w:eastAsia="仿宋_GB2312"/>
          <w:sz w:val="32"/>
          <w:szCs w:val="32"/>
          <w:highlight w:val="none"/>
          <w:lang w:val="en-US" w:eastAsia="zh-CN"/>
        </w:rPr>
        <w:t>2023年物业、安保</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lang w:val="en-US" w:eastAsia="zh-CN"/>
        </w:rPr>
        <w:t>中标金额与预算金额存在差额，资金较上年发生结余</w:t>
      </w:r>
      <w:r>
        <w:rPr>
          <w:rFonts w:hint="eastAsia" w:ascii="仿宋_GB2312" w:hAnsi="仿宋_GB2312" w:eastAsia="仿宋_GB2312" w:cs="仿宋_GB2312"/>
          <w:color w:val="auto"/>
          <w:sz w:val="32"/>
          <w:szCs w:val="32"/>
          <w:highlight w:val="none"/>
          <w:lang w:val="zh-CN" w:eastAsia="zh-CN"/>
        </w:rPr>
        <w:t>。</w:t>
      </w:r>
    </w:p>
    <w:p w14:paraId="35779C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53CB0B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1,508.73万元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其中：政府采购货物支出623.37万元、政府采购工程支出650.07万元、政府采购服务支出235.28万元。</w:t>
      </w:r>
    </w:p>
    <w:p w14:paraId="56CAE6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授予中小企业合同金额1,508.73万元，占政府采购支出总额的100.00%，其中：授予小微企业合同金额1,508.73万元，占政府采购支出总额的100.00%</w:t>
      </w:r>
      <w:r>
        <w:rPr>
          <w:rFonts w:hint="eastAsia" w:ascii="仿宋_GB2312" w:hAnsi="仿宋_GB2312" w:eastAsia="仿宋_GB2312" w:cs="仿宋_GB2312"/>
          <w:color w:val="auto"/>
          <w:sz w:val="32"/>
          <w:szCs w:val="32"/>
          <w:highlight w:val="none"/>
          <w:lang w:val="en-US" w:eastAsia="zh-CN"/>
        </w:rPr>
        <w:t>。</w:t>
      </w:r>
    </w:p>
    <w:p w14:paraId="30C999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B2F85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18,201.71</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屋41,829.48平方米，价值10,223.62万元。车辆3辆，价值82.73万元，其中：副部（省）级及以上领导用车0辆、主要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用车0辆、其他用车3辆，其他用车主要是：</w:t>
      </w:r>
      <w:r>
        <w:rPr>
          <w:rFonts w:hint="eastAsia" w:ascii="仿宋_GB2312" w:hAnsi="仿宋_GB2312" w:eastAsia="仿宋_GB2312" w:cs="仿宋_GB2312"/>
          <w:color w:val="auto"/>
          <w:sz w:val="32"/>
          <w:szCs w:val="32"/>
          <w:highlight w:val="none"/>
          <w:lang w:val="en-US" w:eastAsia="zh-CN"/>
        </w:rPr>
        <w:t>一般公务用车</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单价100万元（含）以上设备（不含车辆）5</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2A068E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79688A89">
      <w:pPr>
        <w:pStyle w:val="3"/>
        <w:widowControl w:val="0"/>
        <w:spacing w:line="56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根据预算绩效管理要求，我单位2023年整体绩效自评表0个，全年预算总额0万元，实际执行0万元。我单位整体支出绩效自评表由主管部门编报并公开。预算绩效评价项目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eastAsia="zh-CN"/>
        </w:rPr>
        <w:t>2219.25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全年执行数2119.68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14:paraId="6BC0192B">
      <w:pPr>
        <w:pStyle w:val="3"/>
        <w:widowControl w:val="0"/>
        <w:spacing w:line="560" w:lineRule="exact"/>
        <w:ind w:firstLine="640" w:firstLineChars="200"/>
        <w:jc w:val="both"/>
        <w:rPr>
          <w:spacing w:val="1"/>
          <w:sz w:val="32"/>
          <w:szCs w:val="32"/>
          <w:highlight w:val="none"/>
          <w:lang w:eastAsia="zh-CN"/>
        </w:rPr>
      </w:pPr>
      <w:r>
        <w:rPr>
          <w:rFonts w:hint="eastAsia" w:ascii="仿宋_GB2312" w:eastAsia="仿宋_GB2312"/>
          <w:color w:val="auto"/>
          <w:sz w:val="32"/>
          <w:szCs w:val="32"/>
          <w:highlight w:val="none"/>
          <w:lang w:eastAsia="zh-CN"/>
        </w:rPr>
        <w:t>预算绩效管理取得的成效：</w:t>
      </w:r>
      <w:r>
        <w:rPr>
          <w:rFonts w:hint="eastAsia"/>
          <w:spacing w:val="1"/>
          <w:sz w:val="32"/>
          <w:szCs w:val="32"/>
          <w:highlight w:val="none"/>
          <w:lang w:eastAsia="zh-CN"/>
        </w:rPr>
        <w:t>一是学校按照</w:t>
      </w:r>
      <w:r>
        <w:rPr>
          <w:rFonts w:hint="eastAsia"/>
          <w:spacing w:val="1"/>
          <w:sz w:val="32"/>
          <w:szCs w:val="32"/>
          <w:highlight w:val="none"/>
          <w:lang w:val="en-US" w:eastAsia="zh-CN"/>
        </w:rPr>
        <w:t>项目</w:t>
      </w:r>
      <w:r>
        <w:rPr>
          <w:rFonts w:hint="eastAsia"/>
          <w:spacing w:val="1"/>
          <w:sz w:val="32"/>
          <w:szCs w:val="32"/>
          <w:highlight w:val="none"/>
          <w:lang w:eastAsia="zh-CN"/>
        </w:rPr>
        <w:t>资金管理使用范围及文件要求，及时录入项目库；严格按照自治区残联预算资金审批流程，科学分配；</w:t>
      </w:r>
      <w:r>
        <w:rPr>
          <w:rFonts w:hint="eastAsia"/>
          <w:sz w:val="32"/>
          <w:szCs w:val="32"/>
          <w:highlight w:val="none"/>
          <w:lang w:eastAsia="zh-CN"/>
        </w:rPr>
        <w:t>履行支出流程到位，保证资金安全；</w:t>
      </w:r>
      <w:r>
        <w:rPr>
          <w:rFonts w:hint="eastAsia"/>
          <w:spacing w:val="1"/>
          <w:sz w:val="32"/>
          <w:szCs w:val="32"/>
          <w:highlight w:val="none"/>
          <w:lang w:eastAsia="zh-CN"/>
        </w:rPr>
        <w:t>二是严格按照绩效目标执行，科学制定预算绩效目标，做到管理科学化、精细化；按照绩效目标合理使用资金，让有限资金发挥最大作用；严格执行资金管理制度，</w:t>
      </w:r>
      <w:r>
        <w:rPr>
          <w:rFonts w:hint="eastAsia"/>
          <w:spacing w:val="1"/>
          <w:sz w:val="32"/>
          <w:szCs w:val="32"/>
          <w:highlight w:val="none"/>
          <w:lang w:val="en-US" w:eastAsia="zh-CN"/>
        </w:rPr>
        <w:t>资金</w:t>
      </w:r>
      <w:r>
        <w:rPr>
          <w:rFonts w:hint="eastAsia"/>
          <w:spacing w:val="1"/>
          <w:sz w:val="32"/>
          <w:szCs w:val="32"/>
          <w:highlight w:val="none"/>
          <w:lang w:eastAsia="zh-CN"/>
        </w:rPr>
        <w:t>执行较为</w:t>
      </w:r>
      <w:r>
        <w:rPr>
          <w:rFonts w:hint="eastAsia"/>
          <w:spacing w:val="-2"/>
          <w:sz w:val="32"/>
          <w:szCs w:val="32"/>
          <w:highlight w:val="none"/>
          <w:lang w:eastAsia="zh-CN"/>
        </w:rPr>
        <w:t>准确。</w:t>
      </w:r>
    </w:p>
    <w:p w14:paraId="3CDEDACF">
      <w:pPr>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发现的问题及原因，一是预算绩效管理观念还需深入。原因是部分科室负责人对绩效管理工作重视程度不够,主动性</w:t>
      </w:r>
      <w:r>
        <w:rPr>
          <w:rFonts w:hint="eastAsia" w:ascii="仿宋_GB2312" w:eastAsia="仿宋_GB2312"/>
          <w:color w:val="auto"/>
          <w:sz w:val="32"/>
          <w:szCs w:val="32"/>
          <w:highlight w:val="none"/>
          <w:lang w:val="en-US" w:eastAsia="zh-CN"/>
        </w:rPr>
        <w:t>不强</w:t>
      </w:r>
      <w:r>
        <w:rPr>
          <w:rFonts w:hint="eastAsia" w:ascii="仿宋_GB2312" w:eastAsia="仿宋_GB2312"/>
          <w:color w:val="auto"/>
          <w:sz w:val="32"/>
          <w:szCs w:val="32"/>
          <w:highlight w:val="none"/>
          <w:lang w:eastAsia="zh-CN"/>
        </w:rPr>
        <w:t>，预算绩效管理水平有待提高。二是</w:t>
      </w:r>
      <w:r>
        <w:rPr>
          <w:rFonts w:hint="eastAsia" w:ascii="仿宋_GB2312" w:eastAsia="仿宋_GB2312"/>
          <w:color w:val="auto"/>
          <w:sz w:val="32"/>
          <w:szCs w:val="32"/>
          <w:highlight w:val="none"/>
          <w:lang w:val="en-US" w:eastAsia="zh-CN"/>
        </w:rPr>
        <w:t>实有资金项目绩效</w:t>
      </w:r>
      <w:r>
        <w:rPr>
          <w:rFonts w:hint="eastAsia" w:ascii="仿宋_GB2312" w:eastAsia="仿宋_GB2312"/>
          <w:color w:val="auto"/>
          <w:sz w:val="32"/>
          <w:szCs w:val="32"/>
          <w:highlight w:val="none"/>
          <w:lang w:eastAsia="zh-CN"/>
        </w:rPr>
        <w:t>目标设定</w:t>
      </w:r>
      <w:r>
        <w:rPr>
          <w:rFonts w:hint="eastAsia" w:ascii="仿宋_GB2312" w:eastAsia="仿宋_GB2312"/>
          <w:color w:val="auto"/>
          <w:sz w:val="32"/>
          <w:szCs w:val="32"/>
          <w:highlight w:val="none"/>
          <w:lang w:val="en-US" w:eastAsia="zh-CN"/>
        </w:rPr>
        <w:t>不够精准</w:t>
      </w:r>
      <w:r>
        <w:rPr>
          <w:rFonts w:hint="eastAsia" w:ascii="仿宋_GB2312" w:eastAsia="仿宋_GB2312"/>
          <w:color w:val="auto"/>
          <w:sz w:val="32"/>
          <w:szCs w:val="32"/>
          <w:highlight w:val="none"/>
          <w:lang w:eastAsia="zh-CN"/>
        </w:rPr>
        <w:t>，个性指标设置不够细化、项目资金执行率较低。如，设置实有资金项目总额为</w:t>
      </w:r>
      <w:r>
        <w:rPr>
          <w:rFonts w:hint="eastAsia" w:ascii="仿宋_GB2312" w:eastAsia="仿宋_GB2312"/>
          <w:color w:val="auto"/>
          <w:sz w:val="32"/>
          <w:szCs w:val="32"/>
          <w:highlight w:val="none"/>
          <w:lang w:val="en-US" w:eastAsia="zh-CN"/>
        </w:rPr>
        <w:t>16</w:t>
      </w:r>
      <w:r>
        <w:rPr>
          <w:rFonts w:hint="eastAsia" w:ascii="仿宋_GB2312" w:eastAsia="仿宋_GB2312"/>
          <w:color w:val="auto"/>
          <w:sz w:val="32"/>
          <w:szCs w:val="32"/>
          <w:highlight w:val="none"/>
          <w:lang w:eastAsia="zh-CN"/>
        </w:rPr>
        <w:t>万元，全年仅支出</w:t>
      </w:r>
      <w:r>
        <w:rPr>
          <w:rFonts w:hint="eastAsia" w:ascii="仿宋_GB2312" w:eastAsia="仿宋_GB2312"/>
          <w:color w:val="auto"/>
          <w:sz w:val="32"/>
          <w:szCs w:val="32"/>
          <w:highlight w:val="none"/>
          <w:lang w:val="en-US" w:eastAsia="zh-CN"/>
        </w:rPr>
        <w:t>6.40</w:t>
      </w:r>
      <w:r>
        <w:rPr>
          <w:rFonts w:hint="eastAsia" w:ascii="仿宋_GB2312" w:eastAsia="仿宋_GB2312"/>
          <w:color w:val="auto"/>
          <w:sz w:val="32"/>
          <w:szCs w:val="32"/>
          <w:highlight w:val="none"/>
          <w:lang w:eastAsia="zh-CN"/>
        </w:rPr>
        <w:t>万元，结余</w:t>
      </w:r>
      <w:r>
        <w:rPr>
          <w:rFonts w:hint="eastAsia" w:ascii="仿宋_GB2312" w:eastAsia="仿宋_GB2312"/>
          <w:color w:val="auto"/>
          <w:sz w:val="32"/>
          <w:szCs w:val="32"/>
          <w:highlight w:val="none"/>
          <w:lang w:val="en-US" w:eastAsia="zh-CN"/>
        </w:rPr>
        <w:t>9.60</w:t>
      </w:r>
      <w:r>
        <w:rPr>
          <w:rFonts w:hint="eastAsia" w:ascii="仿宋_GB2312" w:eastAsia="仿宋_GB2312"/>
          <w:color w:val="auto"/>
          <w:sz w:val="32"/>
          <w:szCs w:val="32"/>
          <w:highlight w:val="none"/>
          <w:lang w:eastAsia="zh-CN"/>
        </w:rPr>
        <w:t>万元，原因是</w:t>
      </w:r>
      <w:r>
        <w:rPr>
          <w:rFonts w:hint="eastAsia" w:ascii="仿宋_GB2312" w:eastAsia="仿宋_GB2312"/>
          <w:color w:val="auto"/>
          <w:sz w:val="32"/>
          <w:szCs w:val="32"/>
          <w:highlight w:val="none"/>
          <w:lang w:val="en-US" w:eastAsia="zh-CN"/>
        </w:rPr>
        <w:t>资金使用方向是</w:t>
      </w:r>
      <w:r>
        <w:rPr>
          <w:rFonts w:hint="eastAsia" w:ascii="仿宋_GB2312" w:eastAsia="仿宋_GB2312"/>
          <w:color w:val="auto"/>
          <w:sz w:val="32"/>
          <w:szCs w:val="32"/>
          <w:highlight w:val="none"/>
          <w:lang w:eastAsia="zh-CN"/>
        </w:rPr>
        <w:t>学生大病医疗救助，</w:t>
      </w:r>
      <w:r>
        <w:rPr>
          <w:rFonts w:hint="eastAsia" w:ascii="仿宋_GB2312" w:eastAsia="仿宋_GB2312"/>
          <w:color w:val="auto"/>
          <w:sz w:val="32"/>
          <w:szCs w:val="32"/>
          <w:highlight w:val="none"/>
          <w:lang w:val="en-US" w:eastAsia="zh-CN"/>
        </w:rPr>
        <w:t>需</w:t>
      </w:r>
      <w:r>
        <w:rPr>
          <w:rFonts w:hint="eastAsia" w:ascii="仿宋_GB2312" w:eastAsia="仿宋_GB2312"/>
          <w:color w:val="auto"/>
          <w:sz w:val="32"/>
          <w:szCs w:val="32"/>
          <w:highlight w:val="none"/>
          <w:lang w:eastAsia="zh-CN"/>
        </w:rPr>
        <w:t>根据学生实际生病住院情况</w:t>
      </w:r>
      <w:r>
        <w:rPr>
          <w:rFonts w:hint="eastAsia" w:ascii="仿宋_GB2312" w:eastAsia="仿宋_GB2312"/>
          <w:color w:val="auto"/>
          <w:sz w:val="32"/>
          <w:szCs w:val="32"/>
          <w:highlight w:val="none"/>
          <w:lang w:val="en-US" w:eastAsia="zh-CN"/>
        </w:rPr>
        <w:t>进行补助</w:t>
      </w:r>
      <w:r>
        <w:rPr>
          <w:rFonts w:hint="eastAsia" w:ascii="仿宋_GB2312" w:eastAsia="仿宋_GB2312"/>
          <w:color w:val="auto"/>
          <w:sz w:val="32"/>
          <w:szCs w:val="32"/>
          <w:highlight w:val="none"/>
          <w:lang w:eastAsia="zh-CN"/>
        </w:rPr>
        <w:t>。</w:t>
      </w:r>
    </w:p>
    <w:p w14:paraId="510696D2">
      <w:pPr>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w:t>
      </w:r>
      <w:r>
        <w:rPr>
          <w:rFonts w:hint="eastAsia" w:ascii="仿宋" w:hAnsi="仿宋" w:eastAsia="仿宋" w:cs="仿宋"/>
          <w:sz w:val="32"/>
          <w:szCs w:val="32"/>
          <w:highlight w:val="none"/>
        </w:rPr>
        <w:t>一是加强绩效管理组织领导。要加强对学校各科室、教研组预算绩效管理的组织领导，切实转变思想观念，牢固树立绩效意识，确保预算绩效管理延伸至本科室和资金使用终端。明确学校发展目标，加强财务预算绩效管理。一方面，要完善学校预算管理制度，综合利用上级部门发布的政策，保障学校预算的权威性；另一方面，</w:t>
      </w:r>
      <w:r>
        <w:rPr>
          <w:rFonts w:hint="eastAsia" w:ascii="仿宋" w:hAnsi="仿宋" w:eastAsia="仿宋" w:cs="仿宋"/>
          <w:sz w:val="32"/>
          <w:szCs w:val="32"/>
          <w:highlight w:val="none"/>
          <w:lang w:val="en-US" w:eastAsia="zh-CN"/>
        </w:rPr>
        <w:t>加强</w:t>
      </w:r>
      <w:r>
        <w:rPr>
          <w:rFonts w:hint="eastAsia" w:ascii="仿宋" w:hAnsi="仿宋" w:eastAsia="仿宋" w:cs="仿宋"/>
          <w:sz w:val="32"/>
          <w:szCs w:val="32"/>
          <w:highlight w:val="none"/>
        </w:rPr>
        <w:t>对预算绩效管理的作用进行宣传，各科室、教研组是</w:t>
      </w:r>
      <w:r>
        <w:rPr>
          <w:rFonts w:hint="eastAsia" w:ascii="仿宋" w:hAnsi="仿宋" w:eastAsia="仿宋" w:cs="仿宋"/>
          <w:sz w:val="32"/>
          <w:szCs w:val="32"/>
          <w:highlight w:val="none"/>
          <w:lang w:val="en-US" w:eastAsia="zh-CN"/>
        </w:rPr>
        <w:t>绩效管理相关责任人</w:t>
      </w:r>
      <w:r>
        <w:rPr>
          <w:rFonts w:hint="eastAsia" w:ascii="仿宋" w:hAnsi="仿宋" w:eastAsia="仿宋" w:cs="仿宋"/>
          <w:sz w:val="32"/>
          <w:szCs w:val="32"/>
          <w:highlight w:val="none"/>
        </w:rPr>
        <w:t>，承担</w:t>
      </w:r>
      <w:r>
        <w:rPr>
          <w:rFonts w:hint="eastAsia" w:ascii="仿宋" w:hAnsi="仿宋" w:eastAsia="仿宋" w:cs="仿宋"/>
          <w:sz w:val="32"/>
          <w:szCs w:val="32"/>
          <w:highlight w:val="none"/>
          <w:lang w:val="en-US" w:eastAsia="zh-CN"/>
        </w:rPr>
        <w:t>主要</w:t>
      </w:r>
      <w:r>
        <w:rPr>
          <w:rFonts w:hint="eastAsia" w:ascii="仿宋" w:hAnsi="仿宋" w:eastAsia="仿宋" w:cs="仿宋"/>
          <w:sz w:val="32"/>
          <w:szCs w:val="32"/>
          <w:highlight w:val="none"/>
        </w:rPr>
        <w:t>责任。二是提升预算绩效目标设定的准确性。首先，增强预算绩效目标的逻辑性、相关性，绩效目标值的设定必须与预算项目设定的年度目标相匹配，在确定年度预算绩效目标的基础上，将预算绩效目标进行细化、量化，形成可量化评价的单项指标。其次，需要科学合理地制订预算绩效目标，不能过于夸大也不能过于保守，需要做到工作量与资金量相匹配，“做多少事，申请多少钱”，强调项目的产出和效果，</w:t>
      </w:r>
      <w:r>
        <w:rPr>
          <w:rFonts w:hint="eastAsia" w:ascii="仿宋" w:hAnsi="仿宋" w:eastAsia="仿宋" w:cs="仿宋"/>
          <w:sz w:val="32"/>
          <w:szCs w:val="32"/>
          <w:highlight w:val="none"/>
          <w:lang w:val="en-US" w:eastAsia="zh-CN"/>
        </w:rPr>
        <w:t>充分发挥资金使用效益</w:t>
      </w:r>
      <w:r>
        <w:rPr>
          <w:rFonts w:hint="eastAsia" w:ascii="仿宋_GB2312" w:eastAsia="仿宋_GB2312"/>
          <w:color w:val="auto"/>
          <w:sz w:val="32"/>
          <w:szCs w:val="32"/>
          <w:highlight w:val="none"/>
          <w:lang w:eastAsia="zh-CN"/>
        </w:rPr>
        <w:t>。</w:t>
      </w:r>
    </w:p>
    <w:p w14:paraId="6178238B">
      <w:pPr>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14:paraId="501EF0C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B44053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rPr>
        <w:t>本单位无其他需说明事项</w:t>
      </w:r>
      <w:bookmarkStart w:id="30" w:name="_Toc24143"/>
      <w:bookmarkStart w:id="31" w:name="_Toc3250"/>
      <w:r>
        <w:rPr>
          <w:rFonts w:hint="eastAsia" w:ascii="仿宋_GB2312" w:hAnsi="仿宋_GB2312" w:eastAsia="仿宋_GB2312" w:cs="仿宋_GB2312"/>
          <w:color w:val="auto"/>
          <w:kern w:val="0"/>
          <w:sz w:val="32"/>
          <w:szCs w:val="32"/>
          <w:highlight w:val="none"/>
          <w:lang w:val="en-US" w:eastAsia="zh-CN"/>
        </w:rPr>
        <w:t>。</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56F8221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22EF09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A72E6E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C93B7D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348F6FE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6B1C8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4B030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3FD6A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C83F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0BC55C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22640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E5A92A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76F7BD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82D128F">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CF1FB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CC90B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20CC18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043F60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B7C6C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6B6347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A4416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1F319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30DBC9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ECE26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5D2286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ECFC3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9A59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D082E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ED082E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zOGY5MTU5YzI2ZDY2YWQwZjgyZjQxNzljYWQwNTMifQ=="/>
    <w:docVar w:name="KSO_WPS_MARK_KEY" w:val="41ee2a61-2d54-4f93-83be-afdb9a40d732"/>
  </w:docVars>
  <w:rsids>
    <w:rsidRoot w:val="00000000"/>
    <w:rsid w:val="00213C59"/>
    <w:rsid w:val="003210CE"/>
    <w:rsid w:val="00B70D59"/>
    <w:rsid w:val="00F52A8D"/>
    <w:rsid w:val="019404F8"/>
    <w:rsid w:val="01ED22F2"/>
    <w:rsid w:val="02BD3108"/>
    <w:rsid w:val="02D95913"/>
    <w:rsid w:val="02F73D26"/>
    <w:rsid w:val="034D4FEF"/>
    <w:rsid w:val="035D1785"/>
    <w:rsid w:val="039F47CE"/>
    <w:rsid w:val="03BD5310"/>
    <w:rsid w:val="03E05CE8"/>
    <w:rsid w:val="03F973EE"/>
    <w:rsid w:val="043E5B56"/>
    <w:rsid w:val="04C04386"/>
    <w:rsid w:val="04D1736D"/>
    <w:rsid w:val="04D96608"/>
    <w:rsid w:val="04F210E4"/>
    <w:rsid w:val="04FA68C4"/>
    <w:rsid w:val="05346469"/>
    <w:rsid w:val="053F5AE6"/>
    <w:rsid w:val="057C0B0F"/>
    <w:rsid w:val="05EF4B48"/>
    <w:rsid w:val="05F76ECA"/>
    <w:rsid w:val="064018DD"/>
    <w:rsid w:val="06792773"/>
    <w:rsid w:val="06FD75CA"/>
    <w:rsid w:val="07093795"/>
    <w:rsid w:val="07804730"/>
    <w:rsid w:val="079052BE"/>
    <w:rsid w:val="08145C21"/>
    <w:rsid w:val="08422688"/>
    <w:rsid w:val="085854ED"/>
    <w:rsid w:val="0879188F"/>
    <w:rsid w:val="08A0354D"/>
    <w:rsid w:val="08CD4C49"/>
    <w:rsid w:val="08DA2FC4"/>
    <w:rsid w:val="09114954"/>
    <w:rsid w:val="095A5B83"/>
    <w:rsid w:val="096466E3"/>
    <w:rsid w:val="0968304D"/>
    <w:rsid w:val="09AF3D17"/>
    <w:rsid w:val="0A7809B7"/>
    <w:rsid w:val="0A7B4867"/>
    <w:rsid w:val="0A840954"/>
    <w:rsid w:val="0A9928ED"/>
    <w:rsid w:val="0AB16E20"/>
    <w:rsid w:val="0B61769D"/>
    <w:rsid w:val="0B8C3ECC"/>
    <w:rsid w:val="0B9C639D"/>
    <w:rsid w:val="0BB052B2"/>
    <w:rsid w:val="0BD33FFC"/>
    <w:rsid w:val="0BE97AC1"/>
    <w:rsid w:val="0C1C4780"/>
    <w:rsid w:val="0C3613A3"/>
    <w:rsid w:val="0C5E519C"/>
    <w:rsid w:val="0C674136"/>
    <w:rsid w:val="0C7227A7"/>
    <w:rsid w:val="0CA52EE8"/>
    <w:rsid w:val="0CBD6988"/>
    <w:rsid w:val="0CD208AC"/>
    <w:rsid w:val="0D172DAA"/>
    <w:rsid w:val="0D4903E8"/>
    <w:rsid w:val="0D7A4A46"/>
    <w:rsid w:val="0E640559"/>
    <w:rsid w:val="0F1113DA"/>
    <w:rsid w:val="0F78534A"/>
    <w:rsid w:val="0F89358A"/>
    <w:rsid w:val="0F8C6D51"/>
    <w:rsid w:val="105B0B5E"/>
    <w:rsid w:val="1117394B"/>
    <w:rsid w:val="112E58D0"/>
    <w:rsid w:val="11731CAC"/>
    <w:rsid w:val="1184061B"/>
    <w:rsid w:val="119500A0"/>
    <w:rsid w:val="11C0733B"/>
    <w:rsid w:val="11D50D17"/>
    <w:rsid w:val="120E0809"/>
    <w:rsid w:val="127F665A"/>
    <w:rsid w:val="12BE1DFC"/>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9E82891"/>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227401"/>
    <w:rsid w:val="1F3F37CF"/>
    <w:rsid w:val="1FA15E62"/>
    <w:rsid w:val="1FED69B6"/>
    <w:rsid w:val="2064678E"/>
    <w:rsid w:val="20DC1AB9"/>
    <w:rsid w:val="20DD6197"/>
    <w:rsid w:val="212631E0"/>
    <w:rsid w:val="2138666F"/>
    <w:rsid w:val="21415B4F"/>
    <w:rsid w:val="21742080"/>
    <w:rsid w:val="21A53757"/>
    <w:rsid w:val="21F879E1"/>
    <w:rsid w:val="221236C6"/>
    <w:rsid w:val="22D7662C"/>
    <w:rsid w:val="23326B7F"/>
    <w:rsid w:val="2380045B"/>
    <w:rsid w:val="23BC04D2"/>
    <w:rsid w:val="23EF1892"/>
    <w:rsid w:val="2483647E"/>
    <w:rsid w:val="24A32D55"/>
    <w:rsid w:val="24CE6D9A"/>
    <w:rsid w:val="25212098"/>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E63891"/>
    <w:rsid w:val="2F3C1703"/>
    <w:rsid w:val="2F3F0A28"/>
    <w:rsid w:val="2FBF7029"/>
    <w:rsid w:val="2FD0187F"/>
    <w:rsid w:val="2FD27414"/>
    <w:rsid w:val="2FFE4BB0"/>
    <w:rsid w:val="30087315"/>
    <w:rsid w:val="300E7B60"/>
    <w:rsid w:val="300F6E18"/>
    <w:rsid w:val="30862F5F"/>
    <w:rsid w:val="30A4775A"/>
    <w:rsid w:val="31024B67"/>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C2060D"/>
    <w:rsid w:val="38D45016"/>
    <w:rsid w:val="38D90432"/>
    <w:rsid w:val="3914510A"/>
    <w:rsid w:val="3926770B"/>
    <w:rsid w:val="3982065B"/>
    <w:rsid w:val="398D3668"/>
    <w:rsid w:val="39DA0497"/>
    <w:rsid w:val="3A893816"/>
    <w:rsid w:val="3A893B6D"/>
    <w:rsid w:val="3AD1763A"/>
    <w:rsid w:val="3B143534"/>
    <w:rsid w:val="3B196883"/>
    <w:rsid w:val="3B6716E3"/>
    <w:rsid w:val="3B6C6B2D"/>
    <w:rsid w:val="3C242659"/>
    <w:rsid w:val="3C96719C"/>
    <w:rsid w:val="3CA72BE8"/>
    <w:rsid w:val="3CDC1E1E"/>
    <w:rsid w:val="3CF37F8C"/>
    <w:rsid w:val="3D137554"/>
    <w:rsid w:val="3D2A2F9E"/>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1D7B61"/>
    <w:rsid w:val="443A7E4B"/>
    <w:rsid w:val="444A7D08"/>
    <w:rsid w:val="44A504D3"/>
    <w:rsid w:val="450E7755"/>
    <w:rsid w:val="452F5B3A"/>
    <w:rsid w:val="454E7FD2"/>
    <w:rsid w:val="46061BDC"/>
    <w:rsid w:val="461404F8"/>
    <w:rsid w:val="46413018"/>
    <w:rsid w:val="464B7E04"/>
    <w:rsid w:val="468041AA"/>
    <w:rsid w:val="468123C6"/>
    <w:rsid w:val="46901EEE"/>
    <w:rsid w:val="469C74D2"/>
    <w:rsid w:val="47445515"/>
    <w:rsid w:val="474B4782"/>
    <w:rsid w:val="47D90D14"/>
    <w:rsid w:val="47DE1152"/>
    <w:rsid w:val="481D241F"/>
    <w:rsid w:val="48387FB0"/>
    <w:rsid w:val="483A6114"/>
    <w:rsid w:val="488727DB"/>
    <w:rsid w:val="48B82268"/>
    <w:rsid w:val="48C354B3"/>
    <w:rsid w:val="492434DC"/>
    <w:rsid w:val="493D58B5"/>
    <w:rsid w:val="494A7A04"/>
    <w:rsid w:val="495F2D2F"/>
    <w:rsid w:val="49605EF7"/>
    <w:rsid w:val="4A0A26D2"/>
    <w:rsid w:val="4A2019A5"/>
    <w:rsid w:val="4A241A0B"/>
    <w:rsid w:val="4A5C2BD7"/>
    <w:rsid w:val="4A7B2875"/>
    <w:rsid w:val="4A90613F"/>
    <w:rsid w:val="4A934476"/>
    <w:rsid w:val="4AAA220A"/>
    <w:rsid w:val="4AE12E67"/>
    <w:rsid w:val="4B4C0111"/>
    <w:rsid w:val="4B8553A9"/>
    <w:rsid w:val="4BDB3730"/>
    <w:rsid w:val="4C200F7A"/>
    <w:rsid w:val="4CEE3180"/>
    <w:rsid w:val="4CFD207A"/>
    <w:rsid w:val="4D0F4AF6"/>
    <w:rsid w:val="4D122B50"/>
    <w:rsid w:val="4DF94F37"/>
    <w:rsid w:val="4E0A1DD5"/>
    <w:rsid w:val="4E3160E5"/>
    <w:rsid w:val="4E4D37AF"/>
    <w:rsid w:val="4E8C6496"/>
    <w:rsid w:val="4EFD18DE"/>
    <w:rsid w:val="4F144236"/>
    <w:rsid w:val="4F663C87"/>
    <w:rsid w:val="4F7E29A8"/>
    <w:rsid w:val="4F9E1FFC"/>
    <w:rsid w:val="4FE0236B"/>
    <w:rsid w:val="50447CC2"/>
    <w:rsid w:val="50874A7C"/>
    <w:rsid w:val="50895EE7"/>
    <w:rsid w:val="50921B9D"/>
    <w:rsid w:val="50D16158"/>
    <w:rsid w:val="50DB5F45"/>
    <w:rsid w:val="51025EB1"/>
    <w:rsid w:val="51141503"/>
    <w:rsid w:val="513C450E"/>
    <w:rsid w:val="518D0ED5"/>
    <w:rsid w:val="525C687F"/>
    <w:rsid w:val="52A3740A"/>
    <w:rsid w:val="52F647F7"/>
    <w:rsid w:val="52F92565"/>
    <w:rsid w:val="538452A3"/>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A61C3"/>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3528A4"/>
    <w:rsid w:val="618E3791"/>
    <w:rsid w:val="61947DCA"/>
    <w:rsid w:val="61A46A97"/>
    <w:rsid w:val="61D1382F"/>
    <w:rsid w:val="61F114A2"/>
    <w:rsid w:val="622B0ABA"/>
    <w:rsid w:val="62512BB4"/>
    <w:rsid w:val="625D7D1A"/>
    <w:rsid w:val="62660469"/>
    <w:rsid w:val="62DD7D21"/>
    <w:rsid w:val="637D586B"/>
    <w:rsid w:val="63A5560B"/>
    <w:rsid w:val="63DF498E"/>
    <w:rsid w:val="63E9091F"/>
    <w:rsid w:val="64322AF9"/>
    <w:rsid w:val="64D6010D"/>
    <w:rsid w:val="64D82665"/>
    <w:rsid w:val="64E47C96"/>
    <w:rsid w:val="651E5741"/>
    <w:rsid w:val="655D7702"/>
    <w:rsid w:val="6564561D"/>
    <w:rsid w:val="658A4877"/>
    <w:rsid w:val="65A00902"/>
    <w:rsid w:val="65AC6EDD"/>
    <w:rsid w:val="65D97752"/>
    <w:rsid w:val="66085536"/>
    <w:rsid w:val="66105BF7"/>
    <w:rsid w:val="66150023"/>
    <w:rsid w:val="6628010D"/>
    <w:rsid w:val="669B4528"/>
    <w:rsid w:val="66CC12D7"/>
    <w:rsid w:val="67134CEF"/>
    <w:rsid w:val="671F1ABD"/>
    <w:rsid w:val="67521A59"/>
    <w:rsid w:val="677D333A"/>
    <w:rsid w:val="67C304AB"/>
    <w:rsid w:val="683F0658"/>
    <w:rsid w:val="686F7054"/>
    <w:rsid w:val="689C6793"/>
    <w:rsid w:val="68CD5665"/>
    <w:rsid w:val="68DB0208"/>
    <w:rsid w:val="68FB170C"/>
    <w:rsid w:val="691B3D98"/>
    <w:rsid w:val="693748F0"/>
    <w:rsid w:val="69846A0E"/>
    <w:rsid w:val="69AA1366"/>
    <w:rsid w:val="69AD798C"/>
    <w:rsid w:val="69D005C0"/>
    <w:rsid w:val="69D80B96"/>
    <w:rsid w:val="69F47AD7"/>
    <w:rsid w:val="6A2C39D4"/>
    <w:rsid w:val="6B68175F"/>
    <w:rsid w:val="6B8F50D6"/>
    <w:rsid w:val="6BFD799F"/>
    <w:rsid w:val="6C4A2E5A"/>
    <w:rsid w:val="6C663340"/>
    <w:rsid w:val="6C8138D0"/>
    <w:rsid w:val="6CEF0725"/>
    <w:rsid w:val="6D4B2604"/>
    <w:rsid w:val="6D8030E4"/>
    <w:rsid w:val="6E0E35C4"/>
    <w:rsid w:val="6E0F7A08"/>
    <w:rsid w:val="6E3947F5"/>
    <w:rsid w:val="6E6733A0"/>
    <w:rsid w:val="6E6E3938"/>
    <w:rsid w:val="6E9C74ED"/>
    <w:rsid w:val="6EF72976"/>
    <w:rsid w:val="6F795A80"/>
    <w:rsid w:val="6F7C1D2E"/>
    <w:rsid w:val="6F8E0407"/>
    <w:rsid w:val="6FB0378F"/>
    <w:rsid w:val="6FDD069F"/>
    <w:rsid w:val="702B4D16"/>
    <w:rsid w:val="70AA6621"/>
    <w:rsid w:val="7111480F"/>
    <w:rsid w:val="71261F49"/>
    <w:rsid w:val="712E6956"/>
    <w:rsid w:val="71473612"/>
    <w:rsid w:val="71504F32"/>
    <w:rsid w:val="7152309F"/>
    <w:rsid w:val="718F7F65"/>
    <w:rsid w:val="71DA6992"/>
    <w:rsid w:val="71EE4DBB"/>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D5391"/>
    <w:rsid w:val="76BE0C8F"/>
    <w:rsid w:val="76CD53B2"/>
    <w:rsid w:val="76E6594C"/>
    <w:rsid w:val="770719AC"/>
    <w:rsid w:val="776526CC"/>
    <w:rsid w:val="7772678A"/>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4745F3"/>
    <w:rsid w:val="7A6242BF"/>
    <w:rsid w:val="7A794513"/>
    <w:rsid w:val="7A9B3811"/>
    <w:rsid w:val="7AB467DA"/>
    <w:rsid w:val="7AB9318D"/>
    <w:rsid w:val="7AE952D2"/>
    <w:rsid w:val="7AFF44FC"/>
    <w:rsid w:val="7BB607FE"/>
    <w:rsid w:val="7C321491"/>
    <w:rsid w:val="7C7248A0"/>
    <w:rsid w:val="7C976D69"/>
    <w:rsid w:val="7CD752DA"/>
    <w:rsid w:val="7CDE40AB"/>
    <w:rsid w:val="7CF057E2"/>
    <w:rsid w:val="7D1548B5"/>
    <w:rsid w:val="7D8D0BD5"/>
    <w:rsid w:val="7DF84014"/>
    <w:rsid w:val="7E207949"/>
    <w:rsid w:val="7E5C0A47"/>
    <w:rsid w:val="7E670C75"/>
    <w:rsid w:val="7EE24272"/>
    <w:rsid w:val="7EEA6053"/>
    <w:rsid w:val="7F3E2E4C"/>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7"/>
      <w:szCs w:val="37"/>
      <w:lang w:eastAsia="en-US"/>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6110</Words>
  <Characters>6950</Characters>
  <Lines>0</Lines>
  <Paragraphs>0</Paragraphs>
  <TotalTime>2</TotalTime>
  <ScaleCrop>false</ScaleCrop>
  <LinksUpToDate>false</LinksUpToDate>
  <CharactersWithSpaces>6961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18</cp:lastModifiedBy>
  <cp:lastPrinted>2024-10-16T10:00:00Z</cp:lastPrinted>
  <dcterms:modified xsi:type="dcterms:W3CDTF">2024-10-17T09:45:36Z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FA1F28EB0AD543DBBD079D1D5ABC962A_13</vt:lpwstr>
  </property>
</Properties>
</file>