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E71D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C93FAA1">
      <w:pPr>
        <w:spacing w:line="540" w:lineRule="exact"/>
        <w:jc w:val="center"/>
        <w:rPr>
          <w:rFonts w:ascii="华文中宋" w:hAnsi="华文中宋" w:eastAsia="华文中宋" w:cs="宋体"/>
          <w:b/>
          <w:kern w:val="0"/>
          <w:sz w:val="52"/>
          <w:szCs w:val="52"/>
        </w:rPr>
      </w:pPr>
    </w:p>
    <w:p w14:paraId="3302A037">
      <w:pPr>
        <w:spacing w:line="540" w:lineRule="exact"/>
        <w:jc w:val="center"/>
        <w:rPr>
          <w:rFonts w:ascii="华文中宋" w:hAnsi="华文中宋" w:eastAsia="华文中宋" w:cs="宋体"/>
          <w:b/>
          <w:kern w:val="0"/>
          <w:sz w:val="52"/>
          <w:szCs w:val="52"/>
        </w:rPr>
      </w:pPr>
    </w:p>
    <w:p w14:paraId="229E2A9A">
      <w:pPr>
        <w:spacing w:line="540" w:lineRule="exact"/>
        <w:jc w:val="center"/>
        <w:rPr>
          <w:rFonts w:ascii="华文中宋" w:hAnsi="华文中宋" w:eastAsia="华文中宋" w:cs="宋体"/>
          <w:b/>
          <w:kern w:val="0"/>
          <w:sz w:val="52"/>
          <w:szCs w:val="52"/>
        </w:rPr>
      </w:pPr>
    </w:p>
    <w:p w14:paraId="51B607F5">
      <w:pPr>
        <w:spacing w:line="540" w:lineRule="exact"/>
        <w:jc w:val="center"/>
        <w:rPr>
          <w:rFonts w:ascii="华文中宋" w:hAnsi="华文中宋" w:eastAsia="华文中宋" w:cs="宋体"/>
          <w:b/>
          <w:kern w:val="0"/>
          <w:sz w:val="52"/>
          <w:szCs w:val="52"/>
        </w:rPr>
      </w:pPr>
    </w:p>
    <w:p w14:paraId="7FEA198C">
      <w:pPr>
        <w:spacing w:line="540" w:lineRule="exact"/>
        <w:jc w:val="center"/>
        <w:rPr>
          <w:rFonts w:ascii="华文中宋" w:hAnsi="华文中宋" w:eastAsia="华文中宋" w:cs="宋体"/>
          <w:b/>
          <w:kern w:val="0"/>
          <w:sz w:val="52"/>
          <w:szCs w:val="52"/>
        </w:rPr>
      </w:pPr>
    </w:p>
    <w:p w14:paraId="549928F3">
      <w:pPr>
        <w:spacing w:line="540" w:lineRule="exact"/>
        <w:jc w:val="center"/>
        <w:rPr>
          <w:rFonts w:ascii="华文中宋" w:hAnsi="华文中宋" w:eastAsia="华文中宋" w:cs="宋体"/>
          <w:b/>
          <w:kern w:val="0"/>
          <w:sz w:val="52"/>
          <w:szCs w:val="52"/>
        </w:rPr>
      </w:pPr>
    </w:p>
    <w:p w14:paraId="2589A8F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4B526E6">
      <w:pPr>
        <w:spacing w:line="540" w:lineRule="exact"/>
        <w:jc w:val="center"/>
        <w:rPr>
          <w:rFonts w:ascii="华文中宋" w:hAnsi="华文中宋" w:eastAsia="华文中宋" w:cs="宋体"/>
          <w:b/>
          <w:kern w:val="0"/>
          <w:sz w:val="52"/>
          <w:szCs w:val="52"/>
        </w:rPr>
      </w:pPr>
    </w:p>
    <w:p w14:paraId="5A360D1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54A7BF4">
      <w:pPr>
        <w:spacing w:line="540" w:lineRule="exact"/>
        <w:jc w:val="center"/>
        <w:rPr>
          <w:rFonts w:hAnsi="宋体" w:eastAsia="仿宋_GB2312" w:cs="宋体"/>
          <w:kern w:val="0"/>
          <w:sz w:val="30"/>
          <w:szCs w:val="30"/>
        </w:rPr>
      </w:pPr>
    </w:p>
    <w:p w14:paraId="2C7A9726">
      <w:pPr>
        <w:spacing w:line="540" w:lineRule="exact"/>
        <w:jc w:val="center"/>
        <w:rPr>
          <w:rFonts w:hAnsi="宋体" w:eastAsia="仿宋_GB2312" w:cs="宋体"/>
          <w:kern w:val="0"/>
          <w:sz w:val="30"/>
          <w:szCs w:val="30"/>
        </w:rPr>
      </w:pPr>
    </w:p>
    <w:p w14:paraId="3A426FDD">
      <w:pPr>
        <w:spacing w:line="540" w:lineRule="exact"/>
        <w:jc w:val="center"/>
        <w:rPr>
          <w:rFonts w:hAnsi="宋体" w:eastAsia="仿宋_GB2312" w:cs="宋体"/>
          <w:kern w:val="0"/>
          <w:sz w:val="30"/>
          <w:szCs w:val="30"/>
        </w:rPr>
      </w:pPr>
    </w:p>
    <w:p w14:paraId="6F4E89FD">
      <w:pPr>
        <w:spacing w:line="540" w:lineRule="exact"/>
        <w:jc w:val="center"/>
        <w:rPr>
          <w:rFonts w:hAnsi="宋体" w:eastAsia="仿宋_GB2312" w:cs="宋体"/>
          <w:kern w:val="0"/>
          <w:sz w:val="30"/>
          <w:szCs w:val="30"/>
        </w:rPr>
      </w:pPr>
    </w:p>
    <w:p w14:paraId="33E8D969">
      <w:pPr>
        <w:spacing w:line="540" w:lineRule="exact"/>
        <w:jc w:val="center"/>
        <w:rPr>
          <w:rFonts w:hAnsi="宋体" w:eastAsia="仿宋_GB2312" w:cs="宋体"/>
          <w:kern w:val="0"/>
          <w:sz w:val="30"/>
          <w:szCs w:val="30"/>
        </w:rPr>
      </w:pPr>
    </w:p>
    <w:p w14:paraId="1E992C0A">
      <w:pPr>
        <w:spacing w:line="540" w:lineRule="exact"/>
        <w:rPr>
          <w:rFonts w:hAnsi="宋体" w:eastAsia="仿宋_GB2312" w:cs="宋体"/>
          <w:kern w:val="0"/>
          <w:sz w:val="30"/>
          <w:szCs w:val="30"/>
        </w:rPr>
      </w:pPr>
    </w:p>
    <w:p w14:paraId="3D70AD9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F4BA6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驻外办事处业务工作经费（含成本性支出）</w:t>
      </w:r>
    </w:p>
    <w:p w14:paraId="495D7AE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新疆维吾尔自治区人民政府驻西安办事处</w:t>
      </w:r>
    </w:p>
    <w:p w14:paraId="2B3E039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新疆维吾尔自治区人民政府驻西安办事处</w:t>
      </w:r>
    </w:p>
    <w:p w14:paraId="5D90131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马晓军</w:t>
      </w:r>
    </w:p>
    <w:p w14:paraId="2B49C3F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2024年03月18日</w:t>
      </w:r>
    </w:p>
    <w:p w14:paraId="351695C5">
      <w:pPr>
        <w:spacing w:line="700" w:lineRule="exact"/>
        <w:ind w:firstLine="708" w:firstLineChars="236"/>
        <w:jc w:val="left"/>
        <w:rPr>
          <w:rFonts w:hAnsi="宋体" w:eastAsia="仿宋_GB2312" w:cs="宋体"/>
          <w:kern w:val="0"/>
          <w:sz w:val="30"/>
          <w:szCs w:val="30"/>
        </w:rPr>
      </w:pPr>
    </w:p>
    <w:p w14:paraId="6EF5EC08">
      <w:pPr>
        <w:spacing w:line="540" w:lineRule="exact"/>
        <w:rPr>
          <w:rStyle w:val="18"/>
          <w:rFonts w:ascii="黑体" w:hAnsi="黑体" w:eastAsia="黑体"/>
          <w:b w:val="0"/>
          <w:spacing w:val="-4"/>
          <w:sz w:val="32"/>
          <w:szCs w:val="32"/>
        </w:rPr>
      </w:pPr>
    </w:p>
    <w:p w14:paraId="11B1BC9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B67927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1F225DB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自治区政府驻西安办事处主要承担做好与驻地及临近省、区、市党政机关的政务、经济联系和友好往来等工作,根据自治区财政相关指示精神，每年申报驻外办事处业务工作经费（含成本性支出）项目130万元，其中，支付聘用人员工资50万元，办事处院内维修维护50万元，民族团结一家亲</w:t>
      </w:r>
      <w:r>
        <w:rPr>
          <w:rStyle w:val="18"/>
          <w:rFonts w:hint="eastAsia" w:ascii="楷体" w:hAnsi="楷体" w:eastAsia="楷体"/>
          <w:spacing w:val="-4"/>
          <w:sz w:val="32"/>
          <w:szCs w:val="32"/>
          <w:lang w:eastAsia="zh-CN"/>
        </w:rPr>
        <w:t>工作、弥补办公经费不足等</w:t>
      </w:r>
      <w:r>
        <w:rPr>
          <w:rStyle w:val="18"/>
          <w:rFonts w:hint="eastAsia" w:ascii="楷体" w:hAnsi="楷体" w:eastAsia="楷体"/>
          <w:spacing w:val="-4"/>
          <w:sz w:val="32"/>
          <w:szCs w:val="32"/>
        </w:rPr>
        <w:t>30万元。</w:t>
      </w:r>
    </w:p>
    <w:p w14:paraId="0DC5868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7674FD2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总体目标：1.承担办事处外聘物业管理人员工资。本年外聘保安、驾驶员、职工餐厅炊事员、院内工勤人员等9人工资及福利。 </w:t>
      </w:r>
      <w:r>
        <w:rPr>
          <w:rStyle w:val="18"/>
          <w:rFonts w:hint="eastAsia" w:ascii="楷体" w:hAnsi="楷体" w:eastAsia="楷体"/>
          <w:spacing w:val="-4"/>
          <w:sz w:val="32"/>
          <w:szCs w:val="32"/>
          <w:lang w:val="en-US" w:eastAsia="zh-CN"/>
        </w:rPr>
        <w:t>2</w:t>
      </w:r>
      <w:r>
        <w:rPr>
          <w:rStyle w:val="18"/>
          <w:rFonts w:hint="eastAsia" w:ascii="楷体" w:hAnsi="楷体" w:eastAsia="楷体"/>
          <w:spacing w:val="-4"/>
          <w:sz w:val="32"/>
          <w:szCs w:val="32"/>
        </w:rPr>
        <w:t xml:space="preserve">.承担自治区领导来陕西公务出差、考察学习、中转西安、到延安干部学院学习等政务接待任务，以及每年一次的丝绸之路博览会新疆代表团的组织协调和接待服务工作。 </w:t>
      </w:r>
      <w:r>
        <w:rPr>
          <w:rStyle w:val="18"/>
          <w:rFonts w:hint="eastAsia" w:ascii="楷体" w:hAnsi="楷体" w:eastAsia="楷体"/>
          <w:spacing w:val="-4"/>
          <w:sz w:val="32"/>
          <w:szCs w:val="32"/>
          <w:lang w:val="en-US" w:eastAsia="zh-CN"/>
        </w:rPr>
        <w:t>3</w:t>
      </w:r>
      <w:bookmarkStart w:id="0" w:name="_GoBack"/>
      <w:bookmarkEnd w:id="0"/>
      <w:r>
        <w:rPr>
          <w:rStyle w:val="18"/>
          <w:rFonts w:hint="eastAsia" w:ascii="楷体" w:hAnsi="楷体" w:eastAsia="楷体"/>
          <w:spacing w:val="-4"/>
          <w:sz w:val="32"/>
          <w:szCs w:val="32"/>
        </w:rPr>
        <w:t>.保障房屋、电器等设施完好。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一是按月发放聘用人员的各项工资、津补贴和奖金；按月支付办事处办公所需的水、电、暖、燃油等公务性支出；二是按照合同进度支付办公场所维修维护工程款项；三是按照财政资金到位时间拨付工作经费；日常支出过程中严格落实中央“八项规定”，大力压减“三公”经费支出，努力节约财政支出，提高财政资金使用效益。</w:t>
      </w:r>
    </w:p>
    <w:p w14:paraId="3CC6A18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D29EF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EA4476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绩效自评目的：本次绩效评价遵循财政部《项目支出绩效评价管理办法》（财预〔2021〕10号）和自治区财政厅《自治区财政支出绩效评价管理暂行办法》（新财预〔2018〕189号）等相关政策文件与规定，根据年初设定的项目绩效目标，运用科学、合理的绩效评价指标、评价标准和评价方法，对预算支出的经济性、效率性和效益性进行客观、公正的评价，突出绩效导向作用，提高财政资金的使用效率，强化西安办事处项目绩效管理和监控手段，及时总结项目管理经验，完善项目管理办法，将全面绩效管理落实到各项业务工作之中，有力推动西安办事处各项工作开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绩效自评对象：绩效评价对象为西安办事处支出。绩效评价以项目支出绩效评价为重点，重点评价年初财政批复的与我单位职能职责密切相关、具有明显社会影响和经济影响的项目。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绩效自评范围：维护公有房产面积、人员人数、人员工资发放准确率、人员工资发放及时率、维修维护费、人员工资总额、公有房产出租收益、受益人员满意度等。</w:t>
      </w:r>
    </w:p>
    <w:p w14:paraId="1FFE7C4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30405D1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（1）绩效导向原则。预算绩效管理各个环节要以绩效为核心导向，将绩效管理贯穿于预算管理全过程，实现财政资金运行和预算管理效益最大化。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（2）目标管理原则。预算绩效管理要围绕绩效目标来进行，事前设定目标、事中监控目标实现进程、事后评价目标完成情况。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（3）责任追究原则。预算绩效管理强调各部门的预算支出责任和财政部门的监管责任，实行绩效问责。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（4）信息公开原则。绩效管理结果信息要逐步向社会公开，接受有关机构和社会公众的监督。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绩效评价方法主要包括成本效益分析法、比较法、因素分析法、最低成本法、公众评判法、标杆管理法等。坚持简便有效的原则，根据评价对象的具体情况，采用定量和定性评价相结合的比较法。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驻外办事处业务工作经费项目属于延续类项目，有相应的预算支出标准和历史标准，故采用计划标准、预算支出标准、历史标准评价该项目。</w:t>
      </w:r>
    </w:p>
    <w:p w14:paraId="0A5DC2C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B811C0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2023年，我们按照绩效评价规程要求，将绩效评价工作分为三个阶段：第一阶段，2023年5月、8月对绩效目标完成情况、指标体系内容、评价指标细则、执行进度等进行了阶段性自评并上报自治区报财政厅，业务工作按进度开展，较好地完成了绩效指标；第二阶段，2023年底查阅相关资料和财务凭证，收集资料进行定量定性分析，我单位驻外办事处业务工作经费项目基本完成。第三阶段，根据财政要求，对项目预期目标完成情况、指标体系内容、指标完成值等进行最终自评。绩效评价工作在前期总体目标设定的基础上，完成绩效评价工作方案，设定绩效评价指标体系、评价标准，明确绩效评价方法、原则。通过目标设定及工作方案顺利完成绩效评价工作。</w:t>
      </w:r>
    </w:p>
    <w:p w14:paraId="67F1F9E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76BC149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绩效评价遵循科学规范、公开公正、绩效相关和问题导向的原则、重点评价项目的资金投入与财务管理、组织管理、产出与效益效果。在此基础上，以相关的项目数据为基础，综合运用不同的评价方法，结合评价标准和评分规则，2023年我办“驻外办事处专项业务工作经费”项目综合得分为97.99分，评价结果为优，其中：决策指标得分20分，得分率100%；过程指标得分9.99分，得分率99.9%；产出指标得分52分，得分率96.3%;效益指标得分16分，得分率100%。（见附件2）</w:t>
      </w:r>
    </w:p>
    <w:p w14:paraId="6455960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4AE23D7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4900F6B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根据西安办事处实际工作需要及往年业务工作经费使用情况，事前做好资金测算工作，根据工作需要申请预算安排。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我办驻外办事处各项业务工作经费项目预算项目严格按照规定的程序申请设立，审批文件、材料符合相关要求。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我办驻外办事处各项业务工作经费项目设立了项目绩效目标，与西安办事处各项重点工作均具有相关性，项目的预期产出效益和效果也均能符合正常的业绩水平，并且与预算确定的项目投资额或资金量相匹配。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办驻外办事处各项业务工作经费项目将绩效目标细化分解为具体的绩效指标，一级指标共4条，二级指标共6条，三级指标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我办驻外办事处各项业务工作经费项目资金预算均按照标准编制，并经过科学论证，与项目内容匹配，预算确定的项目投资额与工作任务相匹配。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预算资金分配依据充分，资金分配额度合理，与西安办事处实际工作相适应。资金在使用过程中，运行高效、安全、规范，并设置专账核算，发挥了其正常使用效益。</w:t>
      </w:r>
    </w:p>
    <w:p w14:paraId="6F51BA8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17B5D59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实际到位资金130万元，预算资金130万元（其中财政拨款130万元），资金到位率100%（资金到位率=（实际到位资金/预算资金）×100%）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全年预算数130万元(其中财政拨款130万元），预算执行决算数129.15万元，预算执行率为99.35%。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符合国家财经法规和财务管理制度以及有关专项资金管理办法的规定；资金的拨付严格按照自治区财政厅相关规定具备完整的审批程序和手续；符合项目预算批复或合同规定的用途；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已制定或具有相应的财务和业务管理制度；财务和业务管理制度合法、合规、完整。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遵守相关法律法规和相关管理规定；项目调整及支出调整手续完备；项目合同书、验收报告、技术鉴定等资料齐全并及时归档；项目实施的人员条件、场地设备、信息支撑等落实到位。资金在使用过程中，运行高效、安全、规范，并设置专账核算，发挥了其正常使用效益。</w:t>
      </w:r>
    </w:p>
    <w:p w14:paraId="4C4E776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164D3AE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2023年，西安办事处项目支出129.15万元，其中院落维修维护费20.06万元，</w:t>
      </w:r>
      <w:r>
        <w:rPr>
          <w:rStyle w:val="18"/>
          <w:rFonts w:hint="eastAsia" w:ascii="楷体" w:hAnsi="楷体" w:eastAsia="楷体"/>
          <w:spacing w:val="-4"/>
          <w:sz w:val="32"/>
          <w:szCs w:val="32"/>
          <w:lang w:eastAsia="zh-CN"/>
        </w:rPr>
        <w:t>弥补办公经费不足</w:t>
      </w:r>
      <w:r>
        <w:rPr>
          <w:rStyle w:val="18"/>
          <w:rFonts w:hint="eastAsia" w:ascii="楷体" w:hAnsi="楷体" w:eastAsia="楷体"/>
          <w:spacing w:val="-4"/>
          <w:sz w:val="32"/>
          <w:szCs w:val="32"/>
        </w:rPr>
        <w:t>33.64万元；聘用人员工资福利支出48.96万元。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数量指标：维护公有房产面积平方数，预期指标值6000平方米，指标完成值6000平方米，指标完成率100%；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人员人数，预期指标值8人，指标完成值9人，指标完成率113%；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质量指标：人员工资发放准确率，预期指标值100%，指标完成值100%，指标完成率100%；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时效指标：人员工资发放及时率，预期指标值100%，指标完成值100%，指标完成率100%；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经济成本指标：维修维护费，预期指标值50万元，指标完成值20.06万元，指标完成率40.12%；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人员工资总额，预期指标值50万元，指标完成值48.96万元，指标完成率112%；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弥补办公经费</w:t>
      </w:r>
      <w:r>
        <w:rPr>
          <w:rStyle w:val="18"/>
          <w:rFonts w:hint="eastAsia" w:ascii="楷体" w:hAnsi="楷体" w:eastAsia="楷体"/>
          <w:spacing w:val="-4"/>
          <w:sz w:val="32"/>
          <w:szCs w:val="32"/>
        </w:rPr>
        <w:t>，预期指标值30万元，指标完成值33.64万元，指标完成率100%；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社会效益指标：公有房产出租收益，预期指标值45万元，指标完成值44.3万元，指标完成率98.44%；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满意度指标：受益人员满意度，预期指标值100%，指标完成值100%，指标完成率100%。</w:t>
      </w:r>
    </w:p>
    <w:p w14:paraId="57178AA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949526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2023年，西安办事处在自治区党委和政府办公厅党组的正确领导下，紧紧围绕新疆社会稳定和长治久安总目标，结合办事处年度工作计划，尽职履责，狠抓驻外办事处业务工作经费项目落实，与西安当地相关部门配合，合理编制绩效目标和实施计划，并严格按照计划稳步推进，如期完成了预算执行任务，实现了既定的绩效目标，使财政资金达到社会效益、生态效益、经济效益最大化。本年度办事处公有房产出租收益44.3万元，国有资产处置收益0.1万元，共计44.4万元，已足额上缴财政。</w:t>
      </w:r>
    </w:p>
    <w:p w14:paraId="4CF51B3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受益人员满意度，预期指标值100%，指标完成值100%，指标完成率100%。</w:t>
      </w:r>
    </w:p>
    <w:p w14:paraId="66DC6CAE">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43CA76E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西安办事处领导高度重视，严格绩效评价管理要求，加强专项支出管理，狠抓工作落实，建立健全业务和财务管理制度，落实财务监督机制，有效提高专项资金使用效率，确保财政资金安全高效使用，但仍存在以下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绩效评价认识不足，主要原因是绩效评价工作不能涵盖工作的事前、事中、事后全过程；二是评价制度不健全，尚未建立科学的评价指标体系，主要原因是单位在每个年度终了才进行绩效评价，导致评价结果意义不强；三是日常监督有待加强，对社会效益的评价不能很好地把握，是否达到最优成本、最佳效益无法充分体现，导致绩效评价不能很好地发挥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西安办事处将继续强化对预算执行的日常评估督促检查，对发现的问题与不足及时进行纠正和改进，为推动办事处各项业务水平进一步提升，以及各项业务工作的科学发展充分发挥好保障作用，同时不断总结预算绩效管理工作的问题、经验和不足，推动预算绩效管理工作的加强和改进。</w:t>
      </w:r>
    </w:p>
    <w:p w14:paraId="74E30BAB">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20F07CC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加强学习。进一步明确如何参照考核体系，科学合理设定绩效目标，充分发挥预算绩效管理工作效用。加强对工作人员绩效评价知识的培训，可以聘请绩效评价领域中权威专家授课安排与绩效评价有关的理论知识和实际操作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（二）从源头上强化对专项资金预算管理。实行专项资金预算管理，按轻重缓急统筹安排编制预算,提高预算编制科学性和合理性,优化资金结构。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加强对项目全过程、全方位管理监督。在预算编制阶段，预算编制人员要对绩效评价的项目有足够的认识，这样在编制项目预算时能够准确无误地对绩效评价指标进行量化，与业务部门共同完成项目绩效评价指标的制定。业务部门要掌握项目绩效评价指标，并融入项目施工计划中。在项目实施阶段，预算编制人员对资金的使用进行有效监督、对项目绩效评价指标进行动态管理。业务部门按照施工计划把控各项指标的完成情况，对项目绩效评价数据进行收集。在项目完成评价阶段，财务部门与业务部门共同对项目绩效进行自评，补充完善有关数据，接受财政单位对项目的绩效评价，并对项目绩效评价进行总结，在今后项目运行中得到有效的借鉴。</w:t>
      </w:r>
    </w:p>
    <w:p w14:paraId="7744A027">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6B044D88">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39FC5503">
      <w:pPr>
        <w:spacing w:line="540" w:lineRule="exact"/>
        <w:ind w:firstLine="567"/>
        <w:rPr>
          <w:rStyle w:val="18"/>
          <w:rFonts w:ascii="仿宋" w:hAnsi="仿宋" w:eastAsia="仿宋"/>
          <w:b w:val="0"/>
          <w:spacing w:val="-4"/>
          <w:sz w:val="32"/>
          <w:szCs w:val="32"/>
        </w:rPr>
      </w:pPr>
    </w:p>
    <w:p w14:paraId="7A6198E1">
      <w:pPr>
        <w:spacing w:line="540" w:lineRule="exact"/>
        <w:ind w:firstLine="567"/>
        <w:rPr>
          <w:rStyle w:val="18"/>
          <w:rFonts w:ascii="仿宋" w:hAnsi="仿宋" w:eastAsia="仿宋"/>
          <w:b w:val="0"/>
          <w:spacing w:val="-4"/>
          <w:sz w:val="32"/>
          <w:szCs w:val="32"/>
        </w:rPr>
      </w:pPr>
    </w:p>
    <w:p w14:paraId="5CC4BDE9">
      <w:pPr>
        <w:spacing w:line="540" w:lineRule="exact"/>
        <w:ind w:firstLine="567"/>
        <w:rPr>
          <w:rStyle w:val="18"/>
          <w:rFonts w:ascii="仿宋" w:hAnsi="仿宋" w:eastAsia="仿宋"/>
          <w:b w:val="0"/>
          <w:spacing w:val="-4"/>
          <w:sz w:val="32"/>
          <w:szCs w:val="32"/>
        </w:rPr>
      </w:pPr>
    </w:p>
    <w:p w14:paraId="191B5063">
      <w:pPr>
        <w:spacing w:line="540" w:lineRule="exact"/>
        <w:ind w:firstLine="567"/>
        <w:rPr>
          <w:rStyle w:val="18"/>
          <w:rFonts w:ascii="仿宋" w:hAnsi="仿宋" w:eastAsia="仿宋"/>
          <w:b w:val="0"/>
          <w:spacing w:val="-4"/>
          <w:sz w:val="32"/>
          <w:szCs w:val="32"/>
        </w:rPr>
      </w:pPr>
    </w:p>
    <w:p w14:paraId="5E8ED2A5">
      <w:pPr>
        <w:spacing w:line="540" w:lineRule="exact"/>
        <w:ind w:firstLine="567"/>
        <w:rPr>
          <w:rStyle w:val="18"/>
          <w:rFonts w:ascii="仿宋" w:hAnsi="仿宋" w:eastAsia="仿宋"/>
          <w:b w:val="0"/>
          <w:spacing w:val="-4"/>
          <w:sz w:val="32"/>
          <w:szCs w:val="32"/>
        </w:rPr>
      </w:pPr>
    </w:p>
    <w:p w14:paraId="2056C51A">
      <w:pPr>
        <w:spacing w:line="540" w:lineRule="exact"/>
        <w:ind w:firstLine="567"/>
        <w:rPr>
          <w:rStyle w:val="18"/>
          <w:rFonts w:ascii="仿宋" w:hAnsi="仿宋" w:eastAsia="仿宋"/>
          <w:b w:val="0"/>
          <w:spacing w:val="-4"/>
          <w:sz w:val="32"/>
          <w:szCs w:val="32"/>
        </w:rPr>
      </w:pPr>
    </w:p>
    <w:p w14:paraId="1259FAC8">
      <w:pPr>
        <w:spacing w:line="540" w:lineRule="exact"/>
        <w:ind w:firstLine="567"/>
        <w:rPr>
          <w:rStyle w:val="18"/>
          <w:rFonts w:ascii="仿宋" w:hAnsi="仿宋" w:eastAsia="仿宋"/>
          <w:b w:val="0"/>
          <w:spacing w:val="-4"/>
          <w:sz w:val="32"/>
          <w:szCs w:val="32"/>
        </w:rPr>
      </w:pPr>
    </w:p>
    <w:p w14:paraId="5457508E">
      <w:pPr>
        <w:spacing w:line="540" w:lineRule="exact"/>
        <w:ind w:firstLine="567"/>
        <w:rPr>
          <w:rStyle w:val="18"/>
          <w:rFonts w:ascii="仿宋" w:hAnsi="仿宋" w:eastAsia="仿宋"/>
          <w:b w:val="0"/>
          <w:spacing w:val="-4"/>
          <w:sz w:val="32"/>
          <w:szCs w:val="32"/>
        </w:rPr>
      </w:pPr>
    </w:p>
    <w:p w14:paraId="287A0BFD">
      <w:pPr>
        <w:spacing w:line="540" w:lineRule="exact"/>
        <w:ind w:firstLine="567"/>
        <w:rPr>
          <w:rStyle w:val="18"/>
          <w:rFonts w:ascii="仿宋" w:hAnsi="仿宋" w:eastAsia="仿宋"/>
          <w:b w:val="0"/>
          <w:spacing w:val="-4"/>
          <w:sz w:val="32"/>
          <w:szCs w:val="32"/>
        </w:rPr>
      </w:pPr>
    </w:p>
    <w:p w14:paraId="2F19D27F">
      <w:pPr>
        <w:spacing w:line="540" w:lineRule="exact"/>
        <w:ind w:firstLine="567"/>
        <w:rPr>
          <w:rStyle w:val="18"/>
          <w:rFonts w:ascii="仿宋" w:hAnsi="仿宋" w:eastAsia="仿宋"/>
          <w:b w:val="0"/>
          <w:spacing w:val="-4"/>
          <w:sz w:val="32"/>
          <w:szCs w:val="32"/>
        </w:rPr>
      </w:pPr>
    </w:p>
    <w:p w14:paraId="4F839962">
      <w:pPr>
        <w:spacing w:line="540" w:lineRule="exact"/>
        <w:ind w:firstLine="567"/>
        <w:rPr>
          <w:rStyle w:val="18"/>
          <w:rFonts w:ascii="仿宋" w:hAnsi="仿宋" w:eastAsia="仿宋"/>
          <w:b w:val="0"/>
          <w:spacing w:val="-4"/>
          <w:sz w:val="32"/>
          <w:szCs w:val="32"/>
        </w:rPr>
      </w:pPr>
    </w:p>
    <w:p w14:paraId="63A6031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E533556">
        <w:pPr>
          <w:pStyle w:val="12"/>
          <w:jc w:val="center"/>
        </w:pPr>
        <w:r>
          <w:fldChar w:fldCharType="begin"/>
        </w:r>
        <w:r>
          <w:instrText xml:space="preserve">PAGE   \* MERGEFORMAT</w:instrText>
        </w:r>
        <w:r>
          <w:fldChar w:fldCharType="separate"/>
        </w:r>
        <w:r>
          <w:rPr>
            <w:lang w:val="zh-CN"/>
          </w:rPr>
          <w:t>1</w:t>
        </w:r>
        <w:r>
          <w:fldChar w:fldCharType="end"/>
        </w:r>
      </w:p>
    </w:sdtContent>
  </w:sdt>
  <w:p w14:paraId="1B10E24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281F0D"/>
    <w:rsid w:val="0CB44F22"/>
    <w:rsid w:val="2DC110F2"/>
    <w:rsid w:val="4C3D1751"/>
    <w:rsid w:val="4D2606A1"/>
    <w:rsid w:val="75267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4670</Words>
  <Characters>4887</Characters>
  <Lines>5</Lines>
  <Paragraphs>1</Paragraphs>
  <TotalTime>8</TotalTime>
  <ScaleCrop>false</ScaleCrop>
  <LinksUpToDate>false</LinksUpToDate>
  <CharactersWithSpaces>4909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辰公ོ子ོ</cp:lastModifiedBy>
  <cp:lastPrinted>2018-12-31T10:56:00Z</cp:lastPrinted>
  <dcterms:modified xsi:type="dcterms:W3CDTF">2025-08-13T10:57:55Z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160D1BA1944349B08C48068401F6E698</vt:lpwstr>
  </property>
  <property fmtid="{D5CDD505-2E9C-101B-9397-08002B2CF9AE}" pid="4" name="KSOTemplateDocerSaveRecord">
    <vt:lpwstr>eyJoZGlkIjoiY2I5MDBhMzM1YjRlYjQ0ZDVkY2QwOTIwNWQxNjQyNTMiLCJ1c2VySWQiOiI2NjUzMTQ4ODMifQ==</vt:lpwstr>
  </property>
</Properties>
</file>