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（2023年度）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Fonts w:hint="eastAsia"/>
          <w:color w:val="333333"/>
          <w:sz w:val="36"/>
          <w:szCs w:val="36"/>
          <w:shd w:val="clear" w:color="auto" w:fill="FFFFFF"/>
        </w:rPr>
        <w:t>驻外办事处业务工作经费（含成本性支出）</w:t>
      </w:r>
    </w:p>
    <w:p>
      <w:pPr>
        <w:spacing w:line="540" w:lineRule="exact"/>
        <w:ind w:firstLine="567"/>
        <w:rPr>
          <w:rFonts w:hint="default" w:ascii="楷体" w:hAnsi="楷体" w:eastAsia="仿宋_GB2312"/>
          <w:b/>
          <w:bCs/>
          <w:spacing w:val="-4"/>
          <w:sz w:val="32"/>
          <w:szCs w:val="32"/>
          <w:lang w:val="en-US" w:eastAsia="zh-CN"/>
        </w:rPr>
      </w:pPr>
      <w:r>
        <w:rPr>
          <w:rFonts w:hAnsi="宋体" w:eastAsia="仿宋_GB2312" w:cs="宋体"/>
          <w:kern w:val="0"/>
          <w:sz w:val="36"/>
          <w:szCs w:val="36"/>
        </w:rPr>
        <w:t xml:space="preserve">  </w:t>
      </w: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新疆维吾尔自治区人民政府驻西安办事处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新疆维吾尔自治区人民政府办公厅</w:t>
      </w:r>
    </w:p>
    <w:p>
      <w:pPr>
        <w:spacing w:line="540" w:lineRule="exact"/>
        <w:ind w:firstLine="900" w:firstLineChars="250"/>
        <w:rPr>
          <w:rFonts w:hint="eastAsia" w:ascii="楷体" w:hAnsi="楷体" w:eastAsia="仿宋_GB2312"/>
          <w:b/>
          <w:bCs/>
          <w:spacing w:val="-4"/>
          <w:sz w:val="32"/>
          <w:szCs w:val="32"/>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马晓军</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填报时间：2024年3月19日</w:t>
      </w: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hint="eastAsia" w:ascii="仿宋_GB2312" w:hAnsi="仿宋_GB2312" w:eastAsia="仿宋_GB2312" w:cs="仿宋_GB2312"/>
          <w:spacing w:val="-4"/>
          <w:sz w:val="32"/>
          <w:szCs w:val="32"/>
        </w:rPr>
      </w:pPr>
      <w:r>
        <w:rPr>
          <w:rStyle w:val="19"/>
          <w:rFonts w:hint="eastAsia" w:ascii="楷体" w:hAnsi="楷体" w:eastAsia="楷体"/>
          <w:spacing w:val="-4"/>
          <w:sz w:val="32"/>
          <w:szCs w:val="32"/>
        </w:rPr>
        <w:t>（一）项目概况。</w:t>
      </w:r>
      <w:r>
        <w:rPr>
          <w:rFonts w:hint="eastAsia" w:ascii="仿宋_GB2312" w:hAnsi="仿宋_GB2312" w:eastAsia="仿宋_GB2312" w:cs="仿宋_GB2312"/>
          <w:color w:val="333333"/>
          <w:kern w:val="2"/>
          <w:sz w:val="32"/>
          <w:szCs w:val="32"/>
          <w:shd w:val="clear" w:color="auto" w:fill="FFFFFF"/>
          <w:lang w:val="en-US" w:eastAsia="zh-CN" w:bidi="ar-SA"/>
        </w:rPr>
        <w:t>自治区政府驻西安办事处主要承担做好与驻地及临近省、区、市党政机关的政务、经济联系和友好往来等工作,根据自治区财政相关指示精神，每年申报驻外办事处业务工作经费（含成本性支出）项目。</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总体目标：1.承担办事处外聘物业管理人员工资。本年外聘保安、驾驶员、职工餐厅炊事员、院内工勤人员等9人工资及福利。 2.每年西安办事处承担“访惠聚”驻村工作任务，本年在南疆派有1个驻村工作队、1个第一书记扶贫工作队，共有2名干部驻村。同时安排一辆商务车在南疆驻村使用。每年工作将产生差旅费、交通费、驻村补助、车辆运行费用、驻村工作活动经费（包括组织村民搞活动、购农资材料、办公费用、水电费用、置办工作点生活用具等费用、办事处慰问办公厅各个工作队慰问金等费用）。 3.承担自治区领导来陕西公务出差、考察学习、中转西安、到延安干部学院学习等政务接待任务，以及每年一次的丝绸之路博览会新疆代表团的组织协调和接待服务工作。 4.保障房屋、电器等设施完好。</w:t>
      </w:r>
    </w:p>
    <w:p>
      <w:pPr>
        <w:spacing w:line="540" w:lineRule="exact"/>
        <w:ind w:firstLine="567"/>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阶段性目标：</w:t>
      </w:r>
      <w:r>
        <w:rPr>
          <w:rFonts w:hint="eastAsia" w:ascii="仿宋_GB2312" w:hAnsi="仿宋_GB2312" w:eastAsia="仿宋_GB2312" w:cs="仿宋_GB2312"/>
          <w:kern w:val="0"/>
          <w:sz w:val="32"/>
          <w:szCs w:val="32"/>
          <w:highlight w:val="none"/>
          <w:lang w:val="en-US" w:eastAsia="zh-CN" w:bidi="ar-SA"/>
        </w:rPr>
        <w:t>一是按月发放聘用人员的各项工资、津补贴和奖金，退休人员的津补贴和奖金；按月支付办事处办公所需的水、电、暖、燃油等公务性支出；二是按照合同进度支付办公场所维修维护工程款项；三是按照财政资金到位时间拨付“访惠聚”、民族团结一家亲等工作经费；日常支出过程中严格落实中央“八项规定”，大力压减“三公”经费支出，努力节约财政支出，提高财政资金使用效益。</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27" w:firstLineChars="200"/>
        <w:textAlignment w:val="auto"/>
        <w:rPr>
          <w:rStyle w:val="19"/>
          <w:rFonts w:hint="eastAsia" w:ascii="楷体" w:hAnsi="楷体" w:eastAsia="楷体"/>
          <w:spacing w:val="-4"/>
          <w:sz w:val="32"/>
          <w:szCs w:val="32"/>
        </w:rPr>
      </w:pPr>
      <w:r>
        <w:rPr>
          <w:rStyle w:val="19"/>
          <w:rFonts w:hint="eastAsia" w:ascii="楷体" w:hAnsi="楷体" w:eastAsia="楷体"/>
          <w:spacing w:val="-4"/>
          <w:sz w:val="32"/>
          <w:szCs w:val="32"/>
        </w:rPr>
        <w:t>（一）绩效评价目的、对象和范围。</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绩效自评目的：本次绩效评价遵循财政部《项目支出绩效评价管理办法》（财预〔2021〕10号）和自治区财政厅《自治区财政支出绩效评价管理暂行办法》（新财预〔2018〕189号）等相关政策文件与规定，根据年初设定的项目绩效目标，运用科学、合理的绩效评价指标、评价标准和评价方法，对预算支出的经济性、效率性和效益性进行客观、公正的评价，突出绩效导向作用，提高财政资金的使用效率，强化西安办事处项目绩效管理和监控手段，及时总结项目管理经验，完善项目管理办法，将全面绩效管理落实到各项业务工作之中，有力推动西安办事处各项工作开展。 </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绩效自评对象：绩效评价对象为西安办事处支出。绩效评价以项目支出绩效评价为重点，重点评价年初财政批复的与我单位职能职责密切相关、具有明显社会影响和经济影响的项目。</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绩效自评范围：维护公有房产面积、人员人数、人员工资发放准确率、人员工资发放及时率、维修维护费、人员工资总额、访汇聚驻村工作经费、公有房产出租收益、受益人员满意度等。</w:t>
      </w:r>
    </w:p>
    <w:p>
      <w:pPr>
        <w:spacing w:line="60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（1）绩效导向原则。预算绩效管理各个环节要以绩效为核心导向，将绩效管理贯穿于预算管理全过程，实现财政资金运行和预算管理效益最大化。 </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（2）目标管理原则。预算绩效管理要围绕绩效目标来进行，事前设定目标、事中监控目标实现进程、事后评价目标完成情况。 </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（3）责任追究原则。预算绩效管理强调各部门的预算支出责任和财政部门的监管责任，实行绩效问责。 </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（4）信息公开原则。绩效管理结果信息要逐步向社会公开，接受有关机构和社会公众的监督。 </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2、评价方法。</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kern w:val="0"/>
          <w:sz w:val="32"/>
          <w:szCs w:val="32"/>
          <w:highlight w:val="none"/>
          <w:lang w:val="en-US" w:eastAsia="zh-CN" w:bidi="ar-SA"/>
        </w:rPr>
        <w:t>绩效评价方法主要包括成本效益分析法、比较法、因素分析法、最低成本法、公众评判法、标杆管理法等。坚持简便有效的原则，根据评价对象的具体情况，采用定量和定性评价相结</w:t>
      </w:r>
      <w:r>
        <w:rPr>
          <w:rFonts w:hint="eastAsia" w:ascii="仿宋_GB2312" w:hAnsi="仿宋_GB2312" w:eastAsia="仿宋_GB2312" w:cs="仿宋_GB2312"/>
          <w:color w:val="333333"/>
          <w:kern w:val="2"/>
          <w:sz w:val="32"/>
          <w:szCs w:val="32"/>
          <w:shd w:val="clear" w:color="auto" w:fill="FFFFFF"/>
          <w:lang w:val="en-US" w:eastAsia="zh-CN" w:bidi="ar-SA"/>
        </w:rPr>
        <w:t xml:space="preserve">合的比较法。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lang w:val="en-US" w:eastAsia="zh-CN"/>
        </w:rPr>
      </w:pPr>
      <w:r>
        <w:rPr>
          <w:rFonts w:hint="eastAsia" w:ascii="仿宋_GB2312" w:hAnsi="仿宋_GB2312" w:eastAsia="仿宋_GB2312" w:cs="仿宋_GB2312"/>
          <w:color w:val="333333"/>
          <w:kern w:val="2"/>
          <w:sz w:val="32"/>
          <w:szCs w:val="32"/>
          <w:shd w:val="clear" w:color="auto" w:fill="FFFFFF"/>
          <w:lang w:val="en-US" w:eastAsia="zh-CN" w:bidi="ar-SA"/>
        </w:rPr>
        <w:t>3、评价标准。</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绩效评价标准通常包括计划标准、行业标准、历史标准等，用于对绩效指标完成情况进行比较。驻外办事处业务工作经费项目属于延续类项目，有相应的预算支出标准和历史标准，故采用计划标准、预算支出标准、历史标准评价该项目。</w:t>
      </w:r>
    </w:p>
    <w:p>
      <w:pPr>
        <w:spacing w:line="600" w:lineRule="exact"/>
        <w:ind w:firstLine="627" w:firstLineChars="200"/>
        <w:rPr>
          <w:rStyle w:val="19"/>
          <w:rFonts w:hint="eastAsia" w:ascii="楷体" w:hAnsi="楷体" w:eastAsia="楷体"/>
          <w:spacing w:val="-4"/>
          <w:sz w:val="32"/>
          <w:szCs w:val="32"/>
          <w:lang w:val="en-US" w:eastAsia="zh-CN"/>
        </w:rPr>
      </w:pPr>
      <w:r>
        <w:rPr>
          <w:rStyle w:val="19"/>
          <w:rFonts w:hint="eastAsia" w:ascii="楷体" w:hAnsi="楷体" w:eastAsia="楷体"/>
          <w:spacing w:val="-4"/>
          <w:sz w:val="32"/>
          <w:szCs w:val="32"/>
          <w:lang w:val="en-US" w:eastAsia="zh-CN"/>
        </w:rPr>
        <w:t>（三）绩效评价工作过程。</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Style w:val="19"/>
          <w:rFonts w:ascii="楷体" w:hAnsi="楷体" w:eastAsia="楷体"/>
          <w:spacing w:val="-4"/>
          <w:sz w:val="32"/>
          <w:szCs w:val="32"/>
        </w:rPr>
      </w:pPr>
      <w:r>
        <w:rPr>
          <w:rFonts w:hint="eastAsia" w:ascii="仿宋_GB2312" w:hAnsi="仿宋_GB2312" w:eastAsia="仿宋_GB2312" w:cs="仿宋_GB2312"/>
          <w:color w:val="333333"/>
          <w:kern w:val="2"/>
          <w:sz w:val="32"/>
          <w:szCs w:val="32"/>
          <w:shd w:val="clear" w:color="auto" w:fill="FFFFFF"/>
          <w:lang w:val="en-US" w:eastAsia="zh-CN" w:bidi="ar-SA"/>
        </w:rPr>
        <w:t>2023年，我们按照绩效评价规程要求，将绩效评价工作分为三个阶段：第一阶段，2023年5月、8月对绩效目标完成情况、指标体系内容、评价指标细则、执行进度等进行了阶段性自评并上报自治区报财政厅，业务工作按进度开展，较好地完成了绩效指标；第二阶段，2023年底查阅相关资料和财务凭证，收集资料进行定量定性分析，我单位驻外办事处业务工作经费项目基本完成。第三阶段，根据财政要求，对项目预期目标完成情况、指标体系内容、指标完成值等进行最终自评。绩效评价工作在前期总体目标设定的基础上，完成绩效评价工作方案，设定绩效评价指标体系、评价标准，明确绩效评价方法、原则。通过目标设定及工作方案顺利完成绩效评价工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本次绩效评价遵循科学规范、公开公正、绩效相关和问题导向的原则、重点评价项目的资金投入与财务管理、组织管理、产出与效益效果。在此基础上，以相关的项目数据为基础，综合运用不同的评价方法，结合评价标准和评分规则，2023年我办“驻外办事处专项业务工作经费”项目综合得分为97.99分，评价结果为优，其中：决策指标得分20分，得分率100%；过程指标得分9.99分，得分率99.9%；产出指标得分52分，得分率96.3%;效益指标得分16分，得分率100%。（见附件2）</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1.立项依据充分性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根据西安办事处实际工作需要及往年业务工作经费使用情况，事前做好资金测算工作，根据工作需要申请预算安排。</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2.立项程序规范性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我办驻外办事处各项业务工作经费项目预算项目严格按照规定的程序申请设立，审批文件、材料符合相关要求。</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3.绩效目标合理性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我办驻外办事处各项业务工作经费项目设立了项目绩效目标，与西安办事处各项重点工作均具有相关性，项目的预期产出效益和效果也均能符合正常的业绩水平，并且与预算确定的项目投资额或资金量相匹配。</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4.绩效指标明确性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我办驻外办事处各项业务工作经费项目将绩效目标细化分解为具体的绩效指标，一级指标共4条，二级指标共6条，三级指标共9条，所有绩效指标均通过清晰、可衡量的指标值予以体现，并且做到了与项目目标任务数或计划数相对应。</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5.预算编制科学性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我办驻外办事处各项业务工作经费项目资金预算均按照标准编制，并经过科学论证，与项目内容匹配，预算确定的项目投资额与工作任务相匹配。</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6.资金分配合理性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预算资金分配依据充分，资金分配额度合理，与西安办事处实际工作相适应。资金在使用过程中，运行高效、安全、规范，并设置专账核算，发挥了其正常使用效益。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1.资金到位率：</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实际到位资金130万元，预算资金130万元（其中财政拨款130万元），资金到位率100%（资金到位率=（实际到位资金/预算资金）×100%）</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2.预算执行率</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全年预算数130万元(其中财政拨款130万元），预算执行决算数129.15万元，预算执行率为99.35%。</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3.资金使用合规性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资金使用符合国家财经法规和财务管理制度以及有关专项资金管理办法的规定；资金的拨付严格按照自治区财政厅相关规定具备完整的审批程序和手续；符合项目预算批复或合同规定的用途；不存在截留、挤占、挪用、虚列支出等情况。</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4.管理制度健全性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已制定或具有相应的财务和业务管理制度；财务和业务管理制度合法、合规、完整。</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5.制度执行有效性</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严格遵守相关法律法规和相关管理规定；项目调整及支出调整手续完备；项目合同书、验收报告、技术鉴定等资料齐全并及时归档；项目实施的人员条件、场地设备、信息支撑等落实到位。资金在使用过程中，运行高效、安全、规范，并设置专账核算，发挥了其正常使用效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2023年，西安办事处项目支出129.15万元，其中院落维修维护费20.06万元，“访惠聚”驻村工作经费33.64万元；聘用人员工资福利支出48.96万元。</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3"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b/>
          <w:bCs/>
          <w:kern w:val="0"/>
          <w:sz w:val="32"/>
          <w:szCs w:val="32"/>
          <w:highlight w:val="none"/>
          <w:lang w:val="en-US" w:eastAsia="zh-CN"/>
        </w:rPr>
        <w:t>数量指标</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color w:val="333333"/>
          <w:kern w:val="2"/>
          <w:sz w:val="32"/>
          <w:szCs w:val="32"/>
          <w:shd w:val="clear" w:color="auto" w:fill="FFFFFF"/>
          <w:lang w:val="en-US" w:eastAsia="zh-CN" w:bidi="ar-SA"/>
        </w:rPr>
        <w:t>维护公有房产面积平方数，预期指标值6000平方米，指标完成值6000平方米，指标完成率100%；</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人员人数，预期指标值8人，指标完成值9人，指标完成率113%；</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3" w:firstLineChars="200"/>
        <w:textAlignment w:val="auto"/>
        <w:rPr>
          <w:rFonts w:hint="eastAsia"/>
          <w:lang w:val="en-US" w:eastAsia="zh-CN"/>
        </w:rPr>
      </w:pPr>
      <w:r>
        <w:rPr>
          <w:rFonts w:hint="eastAsia" w:ascii="仿宋_GB2312" w:hAnsi="仿宋_GB2312" w:eastAsia="仿宋_GB2312" w:cs="仿宋_GB2312"/>
          <w:b/>
          <w:bCs/>
          <w:kern w:val="0"/>
          <w:sz w:val="32"/>
          <w:szCs w:val="32"/>
          <w:highlight w:val="none"/>
          <w:lang w:val="en-US" w:eastAsia="zh-CN"/>
        </w:rPr>
        <w:t>质量指标：</w:t>
      </w:r>
      <w:r>
        <w:rPr>
          <w:rFonts w:hint="eastAsia" w:ascii="仿宋_GB2312" w:hAnsi="仿宋_GB2312" w:eastAsia="仿宋_GB2312" w:cs="仿宋_GB2312"/>
          <w:color w:val="333333"/>
          <w:kern w:val="2"/>
          <w:sz w:val="32"/>
          <w:szCs w:val="32"/>
          <w:shd w:val="clear" w:color="auto" w:fill="FFFFFF"/>
          <w:lang w:val="en-US" w:eastAsia="zh-CN" w:bidi="ar-SA"/>
        </w:rPr>
        <w:t>人员工资发放准确率，预期指标值100%，指标完成值100%，指标完成率100%；</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3" w:firstLineChars="200"/>
        <w:textAlignment w:val="auto"/>
        <w:rPr>
          <w:rFonts w:hint="eastAsia"/>
          <w:lang w:val="en-US" w:eastAsia="zh-CN"/>
        </w:rPr>
      </w:pPr>
      <w:r>
        <w:rPr>
          <w:rFonts w:hint="eastAsia" w:ascii="仿宋_GB2312" w:hAnsi="仿宋_GB2312" w:eastAsia="仿宋_GB2312" w:cs="仿宋_GB2312"/>
          <w:b/>
          <w:bCs/>
          <w:kern w:val="0"/>
          <w:sz w:val="32"/>
          <w:szCs w:val="32"/>
          <w:highlight w:val="none"/>
          <w:lang w:val="en-US" w:eastAsia="zh-CN"/>
        </w:rPr>
        <w:t>时效指标：</w:t>
      </w:r>
      <w:r>
        <w:rPr>
          <w:rFonts w:hint="eastAsia" w:ascii="仿宋_GB2312" w:hAnsi="仿宋_GB2312" w:eastAsia="仿宋_GB2312" w:cs="仿宋_GB2312"/>
          <w:color w:val="333333"/>
          <w:kern w:val="2"/>
          <w:sz w:val="32"/>
          <w:szCs w:val="32"/>
          <w:shd w:val="clear" w:color="auto" w:fill="FFFFFF"/>
          <w:lang w:val="en-US" w:eastAsia="zh-CN" w:bidi="ar-SA"/>
        </w:rPr>
        <w:t>人员工资发放及时率，预期指标值100%，指标完成值100%，指标完成率100%；</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3"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b/>
          <w:bCs/>
          <w:kern w:val="0"/>
          <w:sz w:val="32"/>
          <w:szCs w:val="32"/>
          <w:highlight w:val="none"/>
          <w:lang w:val="en-US" w:eastAsia="zh-CN"/>
        </w:rPr>
        <w:t>经济成本指标：</w:t>
      </w:r>
      <w:r>
        <w:rPr>
          <w:rFonts w:hint="eastAsia" w:ascii="仿宋_GB2312" w:hAnsi="仿宋_GB2312" w:eastAsia="仿宋_GB2312" w:cs="仿宋_GB2312"/>
          <w:color w:val="333333"/>
          <w:kern w:val="2"/>
          <w:sz w:val="32"/>
          <w:szCs w:val="32"/>
          <w:shd w:val="clear" w:color="auto" w:fill="FFFFFF"/>
          <w:lang w:val="en-US" w:eastAsia="zh-CN" w:bidi="ar-SA"/>
        </w:rPr>
        <w:t>维修维护费，预期指标值50万元，指标完成值20.06万元，指标完成率40.12%；</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lang w:val="en-US" w:eastAsia="zh-CN"/>
        </w:rPr>
      </w:pPr>
      <w:r>
        <w:rPr>
          <w:rFonts w:hint="eastAsia" w:ascii="仿宋_GB2312" w:hAnsi="仿宋_GB2312" w:eastAsia="仿宋_GB2312" w:cs="仿宋_GB2312"/>
          <w:color w:val="333333"/>
          <w:kern w:val="2"/>
          <w:sz w:val="32"/>
          <w:szCs w:val="32"/>
          <w:shd w:val="clear" w:color="auto" w:fill="FFFFFF"/>
          <w:lang w:val="en-US" w:eastAsia="zh-CN" w:bidi="ar-SA"/>
        </w:rPr>
        <w:t>人员工资总额，预期指标值50万元，指标完成值48.96万元，指标完成率112%；</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访汇聚驻村工作经费，预期指标值30万元，指标完成值33.64万元，指标完成率100%；</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3"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b/>
          <w:bCs/>
          <w:kern w:val="0"/>
          <w:sz w:val="32"/>
          <w:szCs w:val="32"/>
          <w:highlight w:val="none"/>
          <w:lang w:val="en-US" w:eastAsia="zh-CN"/>
        </w:rPr>
        <w:t>社会效益指标：</w:t>
      </w:r>
      <w:r>
        <w:rPr>
          <w:rFonts w:hint="eastAsia" w:ascii="仿宋_GB2312" w:hAnsi="仿宋_GB2312" w:eastAsia="仿宋_GB2312" w:cs="仿宋_GB2312"/>
          <w:color w:val="333333"/>
          <w:kern w:val="2"/>
          <w:sz w:val="32"/>
          <w:szCs w:val="32"/>
          <w:shd w:val="clear" w:color="auto" w:fill="FFFFFF"/>
          <w:lang w:val="en-US" w:eastAsia="zh-CN" w:bidi="ar-SA"/>
        </w:rPr>
        <w:t>公有房产出租收益，预期指标值45万元，指标完成值44.3万元，指标完成率98.44%；</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3"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b/>
          <w:bCs/>
          <w:kern w:val="0"/>
          <w:sz w:val="32"/>
          <w:szCs w:val="32"/>
          <w:highlight w:val="none"/>
          <w:lang w:val="en-US" w:eastAsia="zh-CN"/>
        </w:rPr>
        <w:t>满意度指标：</w:t>
      </w:r>
      <w:r>
        <w:rPr>
          <w:rFonts w:hint="eastAsia" w:ascii="仿宋_GB2312" w:hAnsi="仿宋_GB2312" w:eastAsia="仿宋_GB2312" w:cs="仿宋_GB2312"/>
          <w:color w:val="333333"/>
          <w:kern w:val="2"/>
          <w:sz w:val="32"/>
          <w:szCs w:val="32"/>
          <w:shd w:val="clear" w:color="auto" w:fill="FFFFFF"/>
          <w:lang w:val="en-US" w:eastAsia="zh-CN" w:bidi="ar-SA"/>
        </w:rPr>
        <w:t>受益人员满意度，预期指标值100%，指标完成值100%，指标完成率100%；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2023年，西安办事处在自治区党委和政府办公厅党组的正确领导下，紧紧围绕新疆社会稳定和长治久安总目标，结合办事处年度工作计划，尽职履责，狠抓驻外办事处业务工作经费项目落实，与西安当地相关部门配合，合理编制绩效目标和实施计划，并严格按照计划稳步推进，如期完成了预算执行任务，实现了既定的绩效目标，使财政资金达到社会效益、生态效益、经济效益最大化。本年度办事处公有房产出租收益44.3万元，国有资产处置收益0.1万元，共计44.4万元，已足额上缴财政。</w:t>
      </w: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西安办事处领导高度重视，严格绩效评价管理要求，加强专项支出管理，狠抓工作落实，建立健全业务和财务管理制度，落实财务监督机制，有效提高专项资金使用效率，确保财政资金安全高效使用，但仍存在以下问题：</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一是对绩效评价认识不足，主要原因是绩效评价工作不能涵盖工作的事前、事中、事后全过程；二是评价制度不健全，尚未建立科学的评价指标体系，主要原因是单位在每个年度终了才进行绩效评价，导致评价结果意义不强；三是日常监督有待加强，对社会效益的评价不能很好地把握，是否达到最优成本、最佳效益无法充分体现，导致绩效评价不能很好地发挥作用。</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2024年西安办事处将继续强化对预算执行的日常评估督促检查，对发现的问题与不足及时进行纠正和改进，为推动办事处各项业务水平进一步提升，以及各项业务工作的科学发展充分发挥好保障作用，同时不断总结预算绩效管理工作的问题、经验和不足，推动预算绩效管理工作的加强和改进。</w:t>
      </w:r>
    </w:p>
    <w:p>
      <w:pPr>
        <w:numPr>
          <w:ilvl w:val="0"/>
          <w:numId w:val="1"/>
        </w:numPr>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有关建议</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一）加强学习。进一步明确如何参照考核体系，科学合理设定绩效目标，充分发挥预算绩效管理工作效用。加强对工作人员绩效评价知识的培训，可以聘请绩效评价领域中权威专家授课安排与绩效评价有关的理论知识和实际操作考核。</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（二）从源头上强化对专项资金预算管理。实行专项资金预算管理，按轻重缓急统筹安排编制预算,提高预算编制科学性和合理性,优化资金结构。</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（三）加强对项目全过程、全方位管理监督。</w:t>
      </w:r>
      <w:r>
        <w:rPr>
          <w:rFonts w:hint="eastAsia" w:ascii="仿宋_GB2312" w:hAnsi="仿宋_GB2312" w:eastAsia="仿宋_GB2312" w:cs="仿宋_GB2312"/>
          <w:b/>
          <w:bCs/>
          <w:color w:val="333333"/>
          <w:kern w:val="2"/>
          <w:sz w:val="32"/>
          <w:szCs w:val="32"/>
          <w:shd w:val="clear" w:color="auto" w:fill="FFFFFF"/>
          <w:lang w:val="en-US" w:eastAsia="zh-CN" w:bidi="ar-SA"/>
        </w:rPr>
        <w:t>在预算编制阶段，</w:t>
      </w:r>
      <w:r>
        <w:rPr>
          <w:rFonts w:hint="eastAsia" w:ascii="仿宋_GB2312" w:hAnsi="仿宋_GB2312" w:eastAsia="仿宋_GB2312" w:cs="仿宋_GB2312"/>
          <w:color w:val="333333"/>
          <w:kern w:val="2"/>
          <w:sz w:val="32"/>
          <w:szCs w:val="32"/>
          <w:shd w:val="clear" w:color="auto" w:fill="FFFFFF"/>
          <w:lang w:val="en-US" w:eastAsia="zh-CN" w:bidi="ar-SA"/>
        </w:rPr>
        <w:t>预算编制人员要对绩效评价的项目有足够的认识，这样在编制项目预算时能够准确无误地对绩效评价指标进行量化，与业务部门共同完成项目绩效评价指标的制定。业务部门要掌握项目绩效评价指标，并融入项目施工计划中。</w:t>
      </w:r>
      <w:r>
        <w:rPr>
          <w:rFonts w:hint="eastAsia" w:ascii="仿宋_GB2312" w:hAnsi="仿宋_GB2312" w:eastAsia="仿宋_GB2312" w:cs="仿宋_GB2312"/>
          <w:b/>
          <w:bCs/>
          <w:color w:val="333333"/>
          <w:kern w:val="2"/>
          <w:sz w:val="32"/>
          <w:szCs w:val="32"/>
          <w:shd w:val="clear" w:color="auto" w:fill="FFFFFF"/>
          <w:lang w:val="en-US" w:eastAsia="zh-CN" w:bidi="ar-SA"/>
        </w:rPr>
        <w:t>在项目实施阶段，</w:t>
      </w:r>
      <w:r>
        <w:rPr>
          <w:rFonts w:hint="eastAsia" w:ascii="仿宋_GB2312" w:hAnsi="仿宋_GB2312" w:eastAsia="仿宋_GB2312" w:cs="仿宋_GB2312"/>
          <w:color w:val="333333"/>
          <w:kern w:val="2"/>
          <w:sz w:val="32"/>
          <w:szCs w:val="32"/>
          <w:shd w:val="clear" w:color="auto" w:fill="FFFFFF"/>
          <w:lang w:val="en-US" w:eastAsia="zh-CN" w:bidi="ar-SA"/>
        </w:rPr>
        <w:t>预算编制人员对资金的使用进行有效监督、对项目绩效评价指标进行动态管理。业务部门按照施工计划把控各项指标的完成情况，对项目绩效评价数据进行收集。</w:t>
      </w:r>
      <w:r>
        <w:rPr>
          <w:rFonts w:hint="eastAsia" w:ascii="仿宋_GB2312" w:hAnsi="仿宋_GB2312" w:eastAsia="仿宋_GB2312" w:cs="仿宋_GB2312"/>
          <w:b/>
          <w:bCs/>
          <w:color w:val="333333"/>
          <w:kern w:val="2"/>
          <w:sz w:val="32"/>
          <w:szCs w:val="32"/>
          <w:shd w:val="clear" w:color="auto" w:fill="FFFFFF"/>
          <w:lang w:val="en-US" w:eastAsia="zh-CN" w:bidi="ar-SA"/>
        </w:rPr>
        <w:t>在项目完成评价阶段，</w:t>
      </w:r>
      <w:r>
        <w:rPr>
          <w:rFonts w:hint="eastAsia" w:ascii="仿宋_GB2312" w:hAnsi="仿宋_GB2312" w:eastAsia="仿宋_GB2312" w:cs="仿宋_GB2312"/>
          <w:color w:val="333333"/>
          <w:kern w:val="2"/>
          <w:sz w:val="32"/>
          <w:szCs w:val="32"/>
          <w:shd w:val="clear" w:color="auto" w:fill="FFFFFF"/>
          <w:lang w:val="en-US" w:eastAsia="zh-CN" w:bidi="ar-SA"/>
        </w:rPr>
        <w:t>财务部门与业务部门共同对项目绩效进行</w:t>
      </w:r>
      <w:bookmarkStart w:id="0" w:name="_GoBack"/>
      <w:bookmarkEnd w:id="0"/>
      <w:r>
        <w:rPr>
          <w:rFonts w:hint="eastAsia" w:ascii="仿宋_GB2312" w:hAnsi="仿宋_GB2312" w:eastAsia="仿宋_GB2312" w:cs="仿宋_GB2312"/>
          <w:color w:val="333333"/>
          <w:kern w:val="2"/>
          <w:sz w:val="32"/>
          <w:szCs w:val="32"/>
          <w:shd w:val="clear" w:color="auto" w:fill="FFFFFF"/>
          <w:lang w:val="en-US" w:eastAsia="zh-CN" w:bidi="ar-SA"/>
        </w:rPr>
        <w:t>自评，补充完善有关数据，接受财政单位对项目的绩效评价，并对项目绩效评价进行总结，在今后项目运行中得到有效的借鉴。</w:t>
      </w:r>
    </w:p>
    <w:p>
      <w:pPr>
        <w:numPr>
          <w:ilvl w:val="0"/>
          <w:numId w:val="1"/>
        </w:numPr>
        <w:spacing w:line="540" w:lineRule="exact"/>
        <w:ind w:left="0" w:leftChars="0"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333333"/>
          <w:kern w:val="2"/>
          <w:sz w:val="30"/>
          <w:szCs w:val="30"/>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无。</w:t>
      </w:r>
    </w:p>
    <w:sectPr>
      <w:footerReference r:id="rId3" w:type="default"/>
      <w:pgSz w:w="11906" w:h="16838"/>
      <w:pgMar w:top="1440" w:right="1558"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3</w:t>
    </w:r>
    <w: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589076"/>
    <w:multiLevelType w:val="singleLevel"/>
    <w:tmpl w:val="96589076"/>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xMWRiOGU1Y2ZlZGJjMjI1MDNjODZhNmIwNjE5MmY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6284B"/>
    <w:rsid w:val="003B0577"/>
    <w:rsid w:val="003E7E58"/>
    <w:rsid w:val="003F5180"/>
    <w:rsid w:val="00414C3A"/>
    <w:rsid w:val="00432AE7"/>
    <w:rsid w:val="004366A8"/>
    <w:rsid w:val="004940D5"/>
    <w:rsid w:val="004A05EE"/>
    <w:rsid w:val="004B7A5F"/>
    <w:rsid w:val="004C38BC"/>
    <w:rsid w:val="004F1F3C"/>
    <w:rsid w:val="004F51AD"/>
    <w:rsid w:val="00502BA7"/>
    <w:rsid w:val="005162F1"/>
    <w:rsid w:val="00535153"/>
    <w:rsid w:val="00554F82"/>
    <w:rsid w:val="0056390D"/>
    <w:rsid w:val="005719B0"/>
    <w:rsid w:val="005A4F2E"/>
    <w:rsid w:val="005A5018"/>
    <w:rsid w:val="005C51DF"/>
    <w:rsid w:val="005D10D6"/>
    <w:rsid w:val="005E7C5E"/>
    <w:rsid w:val="0075584F"/>
    <w:rsid w:val="00800B08"/>
    <w:rsid w:val="0081475E"/>
    <w:rsid w:val="00824567"/>
    <w:rsid w:val="00855E3A"/>
    <w:rsid w:val="008F1D31"/>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812CD"/>
    <w:rsid w:val="00BA46E6"/>
    <w:rsid w:val="00BB5015"/>
    <w:rsid w:val="00C56C72"/>
    <w:rsid w:val="00C60EF0"/>
    <w:rsid w:val="00C62CB9"/>
    <w:rsid w:val="00CA44BC"/>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071C8"/>
    <w:rsid w:val="00F32FEE"/>
    <w:rsid w:val="00FB10BB"/>
    <w:rsid w:val="018D2072"/>
    <w:rsid w:val="02A814F4"/>
    <w:rsid w:val="03FA3356"/>
    <w:rsid w:val="044A3095"/>
    <w:rsid w:val="05C64BF4"/>
    <w:rsid w:val="08C170CA"/>
    <w:rsid w:val="0A7F7C42"/>
    <w:rsid w:val="0CB44F22"/>
    <w:rsid w:val="16712AC7"/>
    <w:rsid w:val="1D5F0140"/>
    <w:rsid w:val="228503EE"/>
    <w:rsid w:val="2C43755E"/>
    <w:rsid w:val="3A4574D7"/>
    <w:rsid w:val="3C590F2E"/>
    <w:rsid w:val="3F0A3EC9"/>
    <w:rsid w:val="45E37463"/>
    <w:rsid w:val="4BDD3221"/>
    <w:rsid w:val="4D2606A1"/>
    <w:rsid w:val="4D653F94"/>
    <w:rsid w:val="50F025BD"/>
    <w:rsid w:val="51341B88"/>
    <w:rsid w:val="54A16E75"/>
    <w:rsid w:val="5D3938EB"/>
    <w:rsid w:val="607C4A83"/>
    <w:rsid w:val="63740532"/>
    <w:rsid w:val="66605D59"/>
    <w:rsid w:val="67835D00"/>
    <w:rsid w:val="6ABF4672"/>
    <w:rsid w:val="7B437572"/>
    <w:rsid w:val="7B7F5E94"/>
    <w:rsid w:val="7C564D87"/>
    <w:rsid w:val="7F6159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name="heading 2"/>
    <w:lsdException w:qFormat="1" w:unhideWhenUsed="0" w:uiPriority="0" w:name="heading 3"/>
    <w:lsdException w:qFormat="1" w:unhideWhenUsed="0" w:uiPriority="0" w:semiHidden="0" w:name="heading 4"/>
    <w:lsdException w:qFormat="1" w:unhideWhenUsed="0" w:uiPriority="0" w:name="heading 5"/>
    <w:lsdException w:qFormat="1" w:unhideWhenUsed="0" w:uiPriority="0" w:name="heading 6"/>
    <w:lsdException w:qFormat="1" w:unhideWhenUsed="0" w:uiPriority="0" w:name="heading 7"/>
    <w:lsdException w:qFormat="1" w:unhideWhenUsed="0" w:uiPriority="0" w:name="heading 8"/>
    <w:lsdException w:qFormat="1" w:unhideWhenUsed="0"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ocked="1"/>
    <w:lsdException w:unhideWhenUsed="0" w:uiPriority="0" w:semiHidden="0" w:name="Table Subtle 2"/>
    <w:lsdException w:unhideWhenUsed="0" w:uiPriority="0" w:semiHidden="0" w:name="Table Web 1"/>
    <w:lsdException w:unhideWhenUsed="0" w:uiPriority="0" w:semiHidden="0" w:name="Table Web 2" w:locked="1"/>
    <w:lsdException w:unhideWhenUsed="0" w:uiPriority="0" w:semiHidden="0" w:name="Table Web 3" w:locked="1"/>
    <w:lsdException w:qFormat="1" w:unhideWhenUsed="0" w:uiPriority="0" w:name="Balloon Text"/>
    <w:lsdException w:unhideWhenUsed="0" w:uiPriority="0" w:semiHidden="0" w:name="Table Grid" w:locked="1"/>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0"/>
    <w:pPr>
      <w:keepNext/>
      <w:widowControl/>
      <w:spacing w:before="240" w:after="60"/>
      <w:jc w:val="left"/>
      <w:outlineLvl w:val="0"/>
    </w:pPr>
    <w:rPr>
      <w:rFonts w:ascii="Cambria" w:hAnsi="Cambria"/>
      <w:b/>
      <w:bCs/>
      <w:kern w:val="32"/>
      <w:sz w:val="32"/>
      <w:szCs w:val="32"/>
    </w:rPr>
  </w:style>
  <w:style w:type="paragraph" w:styleId="4">
    <w:name w:val="heading 2"/>
    <w:basedOn w:val="1"/>
    <w:next w:val="1"/>
    <w:link w:val="22"/>
    <w:semiHidden/>
    <w:qFormat/>
    <w:uiPriority w:val="0"/>
    <w:pPr>
      <w:keepNext/>
      <w:widowControl/>
      <w:spacing w:before="240" w:after="60"/>
      <w:jc w:val="left"/>
      <w:outlineLvl w:val="1"/>
    </w:pPr>
    <w:rPr>
      <w:rFonts w:ascii="Cambria" w:hAnsi="Cambria"/>
      <w:b/>
      <w:bCs/>
      <w:i/>
      <w:iCs/>
      <w:kern w:val="0"/>
      <w:sz w:val="28"/>
      <w:szCs w:val="28"/>
    </w:rPr>
  </w:style>
  <w:style w:type="paragraph" w:styleId="2">
    <w:name w:val="heading 3"/>
    <w:basedOn w:val="1"/>
    <w:next w:val="1"/>
    <w:link w:val="23"/>
    <w:semiHidden/>
    <w:qFormat/>
    <w:uiPriority w:val="0"/>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0"/>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semiHidden/>
    <w:qFormat/>
    <w:uiPriority w:val="0"/>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semiHidden/>
    <w:qFormat/>
    <w:uiPriority w:val="0"/>
    <w:pPr>
      <w:widowControl/>
      <w:spacing w:before="240" w:after="60"/>
      <w:jc w:val="left"/>
      <w:outlineLvl w:val="5"/>
    </w:pPr>
    <w:rPr>
      <w:rFonts w:ascii="Calibri" w:hAnsi="Calibri"/>
      <w:b/>
      <w:bCs/>
      <w:kern w:val="0"/>
      <w:sz w:val="22"/>
      <w:szCs w:val="22"/>
    </w:rPr>
  </w:style>
  <w:style w:type="paragraph" w:styleId="8">
    <w:name w:val="heading 7"/>
    <w:basedOn w:val="1"/>
    <w:next w:val="1"/>
    <w:link w:val="27"/>
    <w:semiHidden/>
    <w:qFormat/>
    <w:uiPriority w:val="0"/>
    <w:pPr>
      <w:widowControl/>
      <w:spacing w:before="240" w:after="60"/>
      <w:jc w:val="left"/>
      <w:outlineLvl w:val="6"/>
    </w:pPr>
    <w:rPr>
      <w:rFonts w:ascii="Calibri" w:hAnsi="Calibri"/>
      <w:kern w:val="0"/>
      <w:sz w:val="24"/>
    </w:rPr>
  </w:style>
  <w:style w:type="paragraph" w:styleId="9">
    <w:name w:val="heading 8"/>
    <w:basedOn w:val="1"/>
    <w:next w:val="1"/>
    <w:link w:val="28"/>
    <w:semiHidden/>
    <w:qFormat/>
    <w:uiPriority w:val="0"/>
    <w:pPr>
      <w:widowControl/>
      <w:spacing w:before="240" w:after="60"/>
      <w:jc w:val="left"/>
      <w:outlineLvl w:val="7"/>
    </w:pPr>
    <w:rPr>
      <w:rFonts w:ascii="Calibri" w:hAnsi="Calibri"/>
      <w:i/>
      <w:iCs/>
      <w:kern w:val="0"/>
      <w:sz w:val="24"/>
    </w:rPr>
  </w:style>
  <w:style w:type="paragraph" w:styleId="10">
    <w:name w:val="heading 9"/>
    <w:basedOn w:val="1"/>
    <w:next w:val="1"/>
    <w:link w:val="29"/>
    <w:semiHidden/>
    <w:qFormat/>
    <w:uiPriority w:val="0"/>
    <w:pPr>
      <w:widowControl/>
      <w:spacing w:before="240" w:after="60"/>
      <w:jc w:val="left"/>
      <w:outlineLvl w:val="8"/>
    </w:pPr>
    <w:rPr>
      <w:rFonts w:ascii="Cambria" w:hAnsi="Cambria"/>
      <w:kern w:val="0"/>
      <w:sz w:val="22"/>
      <w:szCs w:val="2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11">
    <w:name w:val="Balloon Text"/>
    <w:basedOn w:val="1"/>
    <w:link w:val="30"/>
    <w:semiHidden/>
    <w:qFormat/>
    <w:uiPriority w:val="0"/>
    <w:rPr>
      <w:sz w:val="18"/>
      <w:szCs w:val="18"/>
    </w:rPr>
  </w:style>
  <w:style w:type="paragraph" w:styleId="12">
    <w:name w:val="footer"/>
    <w:basedOn w:val="1"/>
    <w:link w:val="31"/>
    <w:qFormat/>
    <w:uiPriority w:val="0"/>
    <w:pPr>
      <w:tabs>
        <w:tab w:val="center" w:pos="4153"/>
        <w:tab w:val="right" w:pos="8306"/>
      </w:tabs>
      <w:snapToGrid w:val="0"/>
      <w:jc w:val="left"/>
    </w:pPr>
    <w:rPr>
      <w:rFonts w:ascii="Calibri" w:hAnsi="Calibri"/>
      <w:sz w:val="18"/>
      <w:szCs w:val="18"/>
    </w:rPr>
  </w:style>
  <w:style w:type="paragraph" w:styleId="13">
    <w:name w:val="header"/>
    <w:basedOn w:val="1"/>
    <w:link w:val="32"/>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3"/>
    <w:qFormat/>
    <w:uiPriority w:val="0"/>
    <w:pPr>
      <w:widowControl/>
      <w:spacing w:after="60"/>
      <w:jc w:val="center"/>
      <w:outlineLvl w:val="1"/>
    </w:pPr>
    <w:rPr>
      <w:rFonts w:ascii="Cambria" w:hAnsi="Cambria"/>
      <w:kern w:val="0"/>
      <w:sz w:val="24"/>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Title"/>
    <w:basedOn w:val="1"/>
    <w:next w:val="1"/>
    <w:link w:val="34"/>
    <w:qFormat/>
    <w:uiPriority w:val="0"/>
    <w:pPr>
      <w:widowControl/>
      <w:spacing w:before="240" w:after="60"/>
      <w:jc w:val="center"/>
      <w:outlineLvl w:val="0"/>
    </w:pPr>
    <w:rPr>
      <w:rFonts w:ascii="Cambria" w:hAnsi="Cambria"/>
      <w:b/>
      <w:bCs/>
      <w:kern w:val="28"/>
      <w:sz w:val="32"/>
      <w:szCs w:val="32"/>
    </w:rPr>
  </w:style>
  <w:style w:type="character" w:styleId="19">
    <w:name w:val="Strong"/>
    <w:basedOn w:val="18"/>
    <w:qFormat/>
    <w:uiPriority w:val="0"/>
    <w:rPr>
      <w:rFonts w:cs="Times New Roman"/>
      <w:b/>
      <w:bCs/>
    </w:rPr>
  </w:style>
  <w:style w:type="character" w:styleId="20">
    <w:name w:val="Emphasis"/>
    <w:basedOn w:val="18"/>
    <w:qFormat/>
    <w:uiPriority w:val="0"/>
    <w:rPr>
      <w:rFonts w:ascii="Calibri" w:hAnsi="Calibri" w:cs="Times New Roman"/>
      <w:b/>
      <w:i/>
      <w:iCs/>
    </w:rPr>
  </w:style>
  <w:style w:type="character" w:customStyle="1" w:styleId="21">
    <w:name w:val="Heading 1 Char"/>
    <w:basedOn w:val="18"/>
    <w:link w:val="3"/>
    <w:qFormat/>
    <w:locked/>
    <w:uiPriority w:val="0"/>
    <w:rPr>
      <w:rFonts w:ascii="Cambria" w:hAnsi="Cambria" w:eastAsia="宋体" w:cs="Times New Roman"/>
      <w:b/>
      <w:bCs/>
      <w:kern w:val="32"/>
      <w:sz w:val="32"/>
      <w:szCs w:val="32"/>
    </w:rPr>
  </w:style>
  <w:style w:type="character" w:customStyle="1" w:styleId="22">
    <w:name w:val="Heading 2 Char"/>
    <w:basedOn w:val="18"/>
    <w:link w:val="4"/>
    <w:semiHidden/>
    <w:qFormat/>
    <w:locked/>
    <w:uiPriority w:val="0"/>
    <w:rPr>
      <w:rFonts w:ascii="Cambria" w:hAnsi="Cambria" w:eastAsia="宋体" w:cs="Times New Roman"/>
      <w:b/>
      <w:bCs/>
      <w:i/>
      <w:iCs/>
      <w:sz w:val="28"/>
      <w:szCs w:val="28"/>
    </w:rPr>
  </w:style>
  <w:style w:type="character" w:customStyle="1" w:styleId="23">
    <w:name w:val="Heading 3 Char"/>
    <w:basedOn w:val="18"/>
    <w:link w:val="2"/>
    <w:semiHidden/>
    <w:qFormat/>
    <w:locked/>
    <w:uiPriority w:val="0"/>
    <w:rPr>
      <w:rFonts w:ascii="Cambria" w:hAnsi="Cambria" w:eastAsia="宋体" w:cs="Times New Roman"/>
      <w:b/>
      <w:bCs/>
      <w:sz w:val="26"/>
      <w:szCs w:val="26"/>
    </w:rPr>
  </w:style>
  <w:style w:type="character" w:customStyle="1" w:styleId="24">
    <w:name w:val="Heading 4 Char"/>
    <w:basedOn w:val="18"/>
    <w:link w:val="5"/>
    <w:qFormat/>
    <w:locked/>
    <w:uiPriority w:val="0"/>
    <w:rPr>
      <w:rFonts w:cs="Times New Roman"/>
      <w:b/>
      <w:bCs/>
      <w:sz w:val="28"/>
      <w:szCs w:val="28"/>
    </w:rPr>
  </w:style>
  <w:style w:type="character" w:customStyle="1" w:styleId="25">
    <w:name w:val="Heading 5 Char"/>
    <w:basedOn w:val="18"/>
    <w:link w:val="6"/>
    <w:semiHidden/>
    <w:qFormat/>
    <w:locked/>
    <w:uiPriority w:val="0"/>
    <w:rPr>
      <w:rFonts w:cs="Times New Roman"/>
      <w:b/>
      <w:bCs/>
      <w:i/>
      <w:iCs/>
      <w:sz w:val="26"/>
      <w:szCs w:val="26"/>
    </w:rPr>
  </w:style>
  <w:style w:type="character" w:customStyle="1" w:styleId="26">
    <w:name w:val="Heading 6 Char"/>
    <w:basedOn w:val="18"/>
    <w:link w:val="7"/>
    <w:semiHidden/>
    <w:qFormat/>
    <w:locked/>
    <w:uiPriority w:val="0"/>
    <w:rPr>
      <w:rFonts w:cs="Times New Roman"/>
      <w:b/>
      <w:bCs/>
    </w:rPr>
  </w:style>
  <w:style w:type="character" w:customStyle="1" w:styleId="27">
    <w:name w:val="Heading 7 Char"/>
    <w:basedOn w:val="18"/>
    <w:link w:val="8"/>
    <w:semiHidden/>
    <w:qFormat/>
    <w:locked/>
    <w:uiPriority w:val="0"/>
    <w:rPr>
      <w:rFonts w:cs="Times New Roman"/>
      <w:sz w:val="24"/>
      <w:szCs w:val="24"/>
    </w:rPr>
  </w:style>
  <w:style w:type="character" w:customStyle="1" w:styleId="28">
    <w:name w:val="Heading 8 Char"/>
    <w:basedOn w:val="18"/>
    <w:link w:val="9"/>
    <w:semiHidden/>
    <w:qFormat/>
    <w:locked/>
    <w:uiPriority w:val="0"/>
    <w:rPr>
      <w:rFonts w:cs="Times New Roman"/>
      <w:i/>
      <w:iCs/>
      <w:sz w:val="24"/>
      <w:szCs w:val="24"/>
    </w:rPr>
  </w:style>
  <w:style w:type="character" w:customStyle="1" w:styleId="29">
    <w:name w:val="Heading 9 Char"/>
    <w:basedOn w:val="18"/>
    <w:link w:val="10"/>
    <w:semiHidden/>
    <w:qFormat/>
    <w:locked/>
    <w:uiPriority w:val="0"/>
    <w:rPr>
      <w:rFonts w:ascii="Cambria" w:hAnsi="Cambria" w:eastAsia="宋体" w:cs="Times New Roman"/>
    </w:rPr>
  </w:style>
  <w:style w:type="character" w:customStyle="1" w:styleId="30">
    <w:name w:val="Balloon Text Char"/>
    <w:basedOn w:val="18"/>
    <w:link w:val="11"/>
    <w:semiHidden/>
    <w:qFormat/>
    <w:locked/>
    <w:uiPriority w:val="0"/>
    <w:rPr>
      <w:rFonts w:ascii="Times New Roman" w:hAnsi="Times New Roman" w:eastAsia="宋体" w:cs="Times New Roman"/>
      <w:kern w:val="2"/>
      <w:sz w:val="18"/>
      <w:szCs w:val="18"/>
    </w:rPr>
  </w:style>
  <w:style w:type="character" w:customStyle="1" w:styleId="31">
    <w:name w:val="Footer Char"/>
    <w:basedOn w:val="18"/>
    <w:link w:val="12"/>
    <w:qFormat/>
    <w:locked/>
    <w:uiPriority w:val="0"/>
    <w:rPr>
      <w:rFonts w:ascii="Calibri" w:hAnsi="Calibri" w:eastAsia="宋体" w:cs="Times New Roman"/>
      <w:kern w:val="2"/>
      <w:sz w:val="18"/>
      <w:szCs w:val="18"/>
    </w:rPr>
  </w:style>
  <w:style w:type="character" w:customStyle="1" w:styleId="32">
    <w:name w:val="Header Char"/>
    <w:basedOn w:val="18"/>
    <w:link w:val="13"/>
    <w:qFormat/>
    <w:locked/>
    <w:uiPriority w:val="0"/>
    <w:rPr>
      <w:rFonts w:ascii="Calibri" w:hAnsi="Calibri" w:eastAsia="宋体" w:cs="Times New Roman"/>
      <w:kern w:val="2"/>
      <w:sz w:val="18"/>
      <w:szCs w:val="18"/>
    </w:rPr>
  </w:style>
  <w:style w:type="character" w:customStyle="1" w:styleId="33">
    <w:name w:val="Subtitle Char"/>
    <w:basedOn w:val="18"/>
    <w:link w:val="14"/>
    <w:qFormat/>
    <w:locked/>
    <w:uiPriority w:val="0"/>
    <w:rPr>
      <w:rFonts w:ascii="Cambria" w:hAnsi="Cambria" w:eastAsia="宋体" w:cs="Times New Roman"/>
      <w:sz w:val="24"/>
      <w:szCs w:val="24"/>
    </w:rPr>
  </w:style>
  <w:style w:type="character" w:customStyle="1" w:styleId="34">
    <w:name w:val="Title Char"/>
    <w:basedOn w:val="18"/>
    <w:link w:val="16"/>
    <w:qFormat/>
    <w:locked/>
    <w:uiPriority w:val="0"/>
    <w:rPr>
      <w:rFonts w:ascii="Cambria" w:hAnsi="Cambria" w:eastAsia="宋体" w:cs="Times New Roman"/>
      <w:b/>
      <w:bCs/>
      <w:kern w:val="28"/>
      <w:sz w:val="32"/>
      <w:szCs w:val="32"/>
    </w:rPr>
  </w:style>
  <w:style w:type="paragraph" w:customStyle="1" w:styleId="35">
    <w:name w:val="No Spacing"/>
    <w:basedOn w:val="1"/>
    <w:qFormat/>
    <w:uiPriority w:val="0"/>
    <w:pPr>
      <w:widowControl/>
      <w:jc w:val="left"/>
    </w:pPr>
    <w:rPr>
      <w:rFonts w:ascii="Calibri" w:hAnsi="Calibri"/>
      <w:kern w:val="0"/>
      <w:sz w:val="24"/>
      <w:szCs w:val="32"/>
      <w:lang w:eastAsia="en-US"/>
    </w:rPr>
  </w:style>
  <w:style w:type="paragraph" w:customStyle="1" w:styleId="36">
    <w:name w:val="List Paragraph"/>
    <w:basedOn w:val="1"/>
    <w:qFormat/>
    <w:uiPriority w:val="0"/>
    <w:pPr>
      <w:widowControl/>
      <w:ind w:left="720"/>
      <w:jc w:val="left"/>
    </w:pPr>
    <w:rPr>
      <w:rFonts w:ascii="Calibri" w:hAnsi="Calibri"/>
      <w:kern w:val="0"/>
      <w:sz w:val="24"/>
      <w:lang w:eastAsia="en-US"/>
    </w:rPr>
  </w:style>
  <w:style w:type="paragraph" w:customStyle="1" w:styleId="37">
    <w:name w:val="Quote"/>
    <w:basedOn w:val="1"/>
    <w:next w:val="1"/>
    <w:link w:val="38"/>
    <w:qFormat/>
    <w:uiPriority w:val="0"/>
    <w:pPr>
      <w:widowControl/>
      <w:jc w:val="left"/>
    </w:pPr>
    <w:rPr>
      <w:rFonts w:ascii="Calibri" w:hAnsi="Calibri"/>
      <w:i/>
      <w:kern w:val="0"/>
      <w:sz w:val="24"/>
    </w:rPr>
  </w:style>
  <w:style w:type="character" w:customStyle="1" w:styleId="38">
    <w:name w:val="Quote Char"/>
    <w:basedOn w:val="18"/>
    <w:link w:val="37"/>
    <w:qFormat/>
    <w:locked/>
    <w:uiPriority w:val="0"/>
    <w:rPr>
      <w:rFonts w:cs="Times New Roman"/>
      <w:i/>
      <w:sz w:val="24"/>
      <w:szCs w:val="24"/>
    </w:rPr>
  </w:style>
  <w:style w:type="paragraph" w:customStyle="1" w:styleId="39">
    <w:name w:val="Intense Quote"/>
    <w:basedOn w:val="1"/>
    <w:next w:val="1"/>
    <w:link w:val="40"/>
    <w:qFormat/>
    <w:uiPriority w:val="0"/>
    <w:pPr>
      <w:widowControl/>
      <w:ind w:left="720" w:right="720"/>
      <w:jc w:val="left"/>
    </w:pPr>
    <w:rPr>
      <w:rFonts w:ascii="Calibri" w:hAnsi="Calibri"/>
      <w:b/>
      <w:i/>
      <w:kern w:val="0"/>
      <w:sz w:val="24"/>
      <w:szCs w:val="22"/>
    </w:rPr>
  </w:style>
  <w:style w:type="character" w:customStyle="1" w:styleId="40">
    <w:name w:val="Intense Quote Char"/>
    <w:basedOn w:val="18"/>
    <w:link w:val="39"/>
    <w:qFormat/>
    <w:locked/>
    <w:uiPriority w:val="0"/>
    <w:rPr>
      <w:rFonts w:cs="Times New Roman"/>
      <w:b/>
      <w:i/>
      <w:sz w:val="24"/>
    </w:rPr>
  </w:style>
  <w:style w:type="character" w:customStyle="1" w:styleId="41">
    <w:name w:val="不明显强调1"/>
    <w:qFormat/>
    <w:uiPriority w:val="0"/>
    <w:rPr>
      <w:i/>
      <w:color w:val="595959"/>
    </w:rPr>
  </w:style>
  <w:style w:type="character" w:customStyle="1" w:styleId="42">
    <w:name w:val="明显强调1"/>
    <w:basedOn w:val="18"/>
    <w:qFormat/>
    <w:uiPriority w:val="0"/>
    <w:rPr>
      <w:rFonts w:cs="Times New Roman"/>
      <w:b/>
      <w:i/>
      <w:sz w:val="24"/>
      <w:szCs w:val="24"/>
      <w:u w:val="single"/>
    </w:rPr>
  </w:style>
  <w:style w:type="character" w:customStyle="1" w:styleId="43">
    <w:name w:val="不明显参考1"/>
    <w:basedOn w:val="18"/>
    <w:qFormat/>
    <w:uiPriority w:val="0"/>
    <w:rPr>
      <w:rFonts w:cs="Times New Roman"/>
      <w:sz w:val="24"/>
      <w:szCs w:val="24"/>
      <w:u w:val="single"/>
    </w:rPr>
  </w:style>
  <w:style w:type="character" w:customStyle="1" w:styleId="44">
    <w:name w:val="明显参考1"/>
    <w:basedOn w:val="18"/>
    <w:qFormat/>
    <w:uiPriority w:val="0"/>
    <w:rPr>
      <w:rFonts w:cs="Times New Roman"/>
      <w:b/>
      <w:sz w:val="24"/>
      <w:u w:val="single"/>
    </w:rPr>
  </w:style>
  <w:style w:type="character" w:customStyle="1" w:styleId="45">
    <w:name w:val="书籍标题1"/>
    <w:basedOn w:val="18"/>
    <w:qFormat/>
    <w:uiPriority w:val="0"/>
    <w:rPr>
      <w:rFonts w:ascii="Cambria" w:hAnsi="Cambria" w:eastAsia="宋体" w:cs="Times New Roman"/>
      <w:b/>
      <w:i/>
      <w:sz w:val="24"/>
      <w:szCs w:val="24"/>
    </w:rPr>
  </w:style>
  <w:style w:type="paragraph" w:customStyle="1" w:styleId="46">
    <w:name w:val="TOC 标题1"/>
    <w:basedOn w:val="3"/>
    <w:next w:val="1"/>
    <w:semiHidden/>
    <w:qFormat/>
    <w:uiPriority w:val="0"/>
    <w:pPr>
      <w:outlineLvl w:val="9"/>
    </w:pPr>
    <w:rPr>
      <w:lang w:eastAsia="en-US"/>
    </w:rPr>
  </w:style>
  <w:style w:type="paragraph" w:customStyle="1" w:styleId="47">
    <w:name w:val="p0"/>
    <w:basedOn w:val="1"/>
    <w:qFormat/>
    <w:uiPriority w:val="0"/>
    <w:pPr>
      <w:widowControl/>
    </w:pPr>
    <w:rPr>
      <w:rFonts w:ascii="Calibri" w:hAnsi="Calibri" w:eastAsia="Arial Unicode MS" w:cs="Arial Unicode MS"/>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Microsoft Corporation</Company>
  <Pages>1</Pages>
  <Words>143</Words>
  <Characters>816</Characters>
  <Lines>6</Lines>
  <Paragraphs>1</Paragraphs>
  <TotalTime>11</TotalTime>
  <ScaleCrop>false</ScaleCrop>
  <LinksUpToDate>false</LinksUpToDate>
  <CharactersWithSpaces>958</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2024-03-19T03:05:00Z</dcterms:created>
  <dc:creator>赵 恺（预算处）</dc:creator>
  <cp:lastModifiedBy>CW</cp:lastModifiedBy>
  <cp:lastPrinted>2024-03-26T08:39:00Z</cp:lastPrinted>
  <dcterms:modified xsi:type="dcterms:W3CDTF">2024-04-18T07:22:55Z</dcterms:modified>
  <dc:title>附件2：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CACCF2C4BC614CE194E151A7C6B0F8FB</vt:lpwstr>
  </property>
</Properties>
</file>