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9D36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55D853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041CFA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新疆维吾尔自治区人民政府驻西安办事处</w:t>
      </w:r>
    </w:p>
    <w:p w14:paraId="3ADF184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53B838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0B9DC3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293299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93C982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831F0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EC850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224176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F39F9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EB68EC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3563D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D2CB39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DBF0D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9A440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53897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43B33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A29A8D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899A02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330EC8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A1D9AB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D580FE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A17C24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C91EC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D788C5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7498EA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50587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2217D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13093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C7235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90F20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6B559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7CE7D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AF4B4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7CFA3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2BC753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F9F5C4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43A8A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0E3175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E713C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highlight w:val="none"/>
        </w:rPr>
        <w:t>主要承担做好与驻地及临近省、区、市党政机关的政务、经济联系和友好往来等工作；收集、整理和传递重要政务、经济信息，为自治区决策提供参考，为部门和企业提供信息咨询服务；为招商引资、经济技术协作提供服务；接受自治区有关部门委托，为其在驻在地及临近省、区、市开展业务做好相应的联络、协调工作；协助驻地相关部门新疆籍人员服务管理工作，帮助驻地高等院校做好学生服务管理工作，负责公务接待工作；以及完成自治区领导交办的其他工作</w:t>
      </w:r>
      <w:r>
        <w:rPr>
          <w:rFonts w:hint="eastAsia" w:ascii="仿宋_GB2312" w:eastAsia="仿宋_GB2312"/>
          <w:color w:val="auto"/>
          <w:sz w:val="32"/>
          <w:szCs w:val="32"/>
          <w:highlight w:val="none"/>
        </w:rPr>
        <w:t>。</w:t>
      </w:r>
    </w:p>
    <w:p w14:paraId="282451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28326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新疆维吾尔自治区人民政府驻西安办事处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0AC4084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highlight w:val="none"/>
        </w:rPr>
        <w:t>单位无下属预算单位，下设</w:t>
      </w:r>
      <w:r>
        <w:rPr>
          <w:rFonts w:hint="eastAsia" w:ascii="仿宋_GB2312" w:eastAsia="仿宋_GB2312"/>
          <w:sz w:val="32"/>
          <w:szCs w:val="32"/>
          <w:highlight w:val="none"/>
        </w:rPr>
        <w:t>3</w:t>
      </w:r>
      <w:r>
        <w:rPr>
          <w:rFonts w:hint="eastAsia" w:ascii="仿宋_GB2312" w:hAnsi="黑体" w:eastAsia="仿宋_GB2312" w:cs="宋体"/>
          <w:bCs/>
          <w:kern w:val="0"/>
          <w:sz w:val="32"/>
          <w:szCs w:val="32"/>
          <w:highlight w:val="none"/>
        </w:rPr>
        <w:t>个处室，分别是：综合处、信息联络处、接待处</w:t>
      </w:r>
      <w:r>
        <w:rPr>
          <w:rFonts w:hint="eastAsia" w:ascii="仿宋_GB2312" w:hAnsi="黑体" w:eastAsia="仿宋_GB2312" w:cs="宋体"/>
          <w:bCs/>
          <w:kern w:val="0"/>
          <w:sz w:val="32"/>
          <w:szCs w:val="32"/>
          <w:highlight w:val="none"/>
          <w:lang w:eastAsia="zh-CN"/>
        </w:rPr>
        <w:t>。</w:t>
      </w:r>
    </w:p>
    <w:p w14:paraId="13066A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B35C3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61C018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678.26万元，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513.49万元，使用非财政拨款结余0.00万元，年初结转和结余164.77万元。</w:t>
      </w:r>
    </w:p>
    <w:p w14:paraId="57E593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678.26万元，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440.87万元，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0.00万元，年末结转和结余237.39万元。</w:t>
      </w:r>
    </w:p>
    <w:p w14:paraId="6F241D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增加198.43万元</w:t>
      </w:r>
      <w:r>
        <w:rPr>
          <w:rFonts w:hint="eastAsia" w:ascii="仿宋_GB2312" w:eastAsia="仿宋_GB2312"/>
          <w:color w:val="auto"/>
          <w:spacing w:val="0"/>
          <w:sz w:val="32"/>
          <w:szCs w:val="32"/>
          <w:highlight w:val="none"/>
          <w:lang w:eastAsia="zh-CN"/>
        </w:rPr>
        <w:t>，增长41.35%，主要原因是：</w:t>
      </w:r>
      <w:r>
        <w:rPr>
          <w:rFonts w:hint="eastAsia" w:ascii="仿宋_GB2312" w:eastAsia="仿宋_GB2312"/>
          <w:color w:val="auto"/>
          <w:spacing w:val="0"/>
          <w:sz w:val="32"/>
          <w:szCs w:val="32"/>
          <w:highlight w:val="none"/>
          <w:lang w:val="en-US" w:eastAsia="zh-CN"/>
        </w:rPr>
        <w:t>1.经财政批准，使用我办自有资金131.8万元用于办事处维修改造项目；2.人员增加导致的人员经费增长</w:t>
      </w:r>
      <w:r>
        <w:rPr>
          <w:rFonts w:hint="eastAsia" w:ascii="仿宋_GB2312" w:eastAsia="仿宋_GB2312"/>
          <w:color w:val="auto"/>
          <w:spacing w:val="0"/>
          <w:sz w:val="32"/>
          <w:szCs w:val="32"/>
          <w:highlight w:val="none"/>
          <w:lang w:eastAsia="zh-CN"/>
        </w:rPr>
        <w:t>。</w:t>
      </w:r>
    </w:p>
    <w:p w14:paraId="74FB41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08948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513.49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381.78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74.35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131.71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25.65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890F1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18093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本年支出440.87万元，其中：基本支出252.55万元，占57.28%；项目支出188.32万元，占42.72%；上缴上级支出0.00万元，占0.00%；经营支出0.00万元，占0.00%；对附属单位补助支出0.00万元，占0.00%。</w:t>
      </w:r>
    </w:p>
    <w:p w14:paraId="2582E3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CEECA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546.55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164.77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381.78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546.55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165.62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380.93</w:t>
      </w:r>
      <w:r>
        <w:rPr>
          <w:rFonts w:hint="eastAsia" w:ascii="仿宋_GB2312" w:eastAsia="仿宋_GB2312"/>
          <w:color w:val="auto"/>
          <w:spacing w:val="0"/>
          <w:sz w:val="32"/>
          <w:szCs w:val="32"/>
          <w:highlight w:val="none"/>
          <w:lang w:eastAsia="zh-CN"/>
        </w:rPr>
        <w:t>万元。</w:t>
      </w:r>
    </w:p>
    <w:p w14:paraId="60154C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增加67.58万元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增长14.11%,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人员增加导致的人员经费增长及</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年度考核奖调增、工资调增支出及社保支出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328.81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546.55</w:t>
      </w:r>
      <w:r>
        <w:rPr>
          <w:rFonts w:hint="eastAsia" w:ascii="仿宋_GB2312" w:eastAsia="仿宋_GB2312"/>
          <w:color w:val="auto"/>
          <w:spacing w:val="0"/>
          <w:sz w:val="32"/>
          <w:szCs w:val="32"/>
          <w:highlight w:val="none"/>
          <w:lang w:eastAsia="zh-CN"/>
        </w:rPr>
        <w:t>万元，预决算差异率66.22%，主要原因是：</w:t>
      </w:r>
      <w:r>
        <w:rPr>
          <w:rFonts w:hint="eastAsia" w:ascii="仿宋_GB2312" w:eastAsia="仿宋_GB2312"/>
          <w:color w:val="auto"/>
          <w:spacing w:val="0"/>
          <w:sz w:val="32"/>
          <w:szCs w:val="32"/>
          <w:highlight w:val="none"/>
          <w:lang w:val="en-US" w:eastAsia="zh-CN"/>
        </w:rPr>
        <w:t>1.财政拨款收入决算数中包含了本年度未使用的历年结转结余164.7万元；2.</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w:t>
      </w:r>
      <w:r>
        <w:rPr>
          <w:rFonts w:hint="eastAsia" w:ascii="仿宋_GB2312" w:eastAsia="仿宋_GB2312"/>
          <w:color w:val="auto"/>
          <w:spacing w:val="0"/>
          <w:sz w:val="32"/>
          <w:szCs w:val="32"/>
          <w:highlight w:val="none"/>
          <w:lang w:eastAsia="zh-CN"/>
        </w:rPr>
        <w:t>。</w:t>
      </w:r>
    </w:p>
    <w:p w14:paraId="09D47F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A27A6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A198D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2023年度一般公共预算财政拨款支出380.93万元，占本年支出合计的</w:t>
      </w:r>
      <w:r>
        <w:rPr>
          <w:rFonts w:hint="eastAsia" w:ascii="仿宋_GB2312" w:eastAsia="仿宋_GB2312"/>
          <w:color w:val="auto"/>
          <w:spacing w:val="0"/>
          <w:sz w:val="32"/>
          <w:szCs w:val="32"/>
          <w:highlight w:val="none"/>
          <w:lang w:val="zh-CN" w:eastAsia="zh-CN"/>
        </w:rPr>
        <w:t>86.40%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增加66.73万元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增长21.24%,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人员增加导致的人员经费增长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328.81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380.93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15.85%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w:t>
      </w:r>
      <w:r>
        <w:rPr>
          <w:rFonts w:hint="eastAsia" w:ascii="仿宋_GB2312" w:eastAsia="仿宋_GB2312"/>
          <w:color w:val="auto"/>
          <w:spacing w:val="0"/>
          <w:sz w:val="32"/>
          <w:szCs w:val="32"/>
          <w:highlight w:val="none"/>
          <w:lang w:eastAsia="zh-CN"/>
        </w:rPr>
        <w:t>。</w:t>
      </w:r>
    </w:p>
    <w:p w14:paraId="64AEEE9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BB3E9C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326.21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85.64</w:t>
      </w:r>
      <w:r>
        <w:rPr>
          <w:rFonts w:hint="default" w:ascii="仿宋_GB2312" w:hAnsi="Times New Roman" w:eastAsia="仿宋_GB2312" w:cs="Times New Roman"/>
          <w:color w:val="auto"/>
          <w:spacing w:val="0"/>
          <w:kern w:val="2"/>
          <w:sz w:val="32"/>
          <w:szCs w:val="32"/>
          <w:highlight w:val="none"/>
          <w:lang w:val="zh-CN" w:eastAsia="zh-CN" w:bidi="ar-SA"/>
        </w:rPr>
        <w:t>%；</w:t>
      </w:r>
    </w:p>
    <w:p w14:paraId="1AFC752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5.32</w:t>
      </w:r>
      <w:r>
        <w:rPr>
          <w:rFonts w:hint="default" w:ascii="仿宋_GB2312" w:hAnsi="Times New Roman" w:eastAsia="仿宋_GB2312" w:cs="Times New Roman"/>
          <w:color w:val="auto"/>
          <w:spacing w:val="0"/>
          <w:kern w:val="2"/>
          <w:sz w:val="32"/>
          <w:szCs w:val="32"/>
          <w:highlight w:val="none"/>
          <w:lang w:val="zh-CN" w:eastAsia="zh-CN" w:bidi="ar-SA"/>
        </w:rPr>
        <w:t>%；</w:t>
      </w:r>
    </w:p>
    <w:p w14:paraId="37F5740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19.11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5.02</w:t>
      </w:r>
      <w:r>
        <w:rPr>
          <w:rFonts w:hint="default" w:ascii="仿宋_GB2312" w:hAnsi="Times New Roman" w:eastAsia="仿宋_GB2312" w:cs="Times New Roman"/>
          <w:color w:val="auto"/>
          <w:spacing w:val="0"/>
          <w:kern w:val="2"/>
          <w:sz w:val="32"/>
          <w:szCs w:val="32"/>
          <w:highlight w:val="none"/>
          <w:lang w:val="zh-CN" w:eastAsia="zh-CN" w:bidi="ar-SA"/>
        </w:rPr>
        <w:t>%；</w:t>
      </w:r>
    </w:p>
    <w:p w14:paraId="44D8F89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15.34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4.03</w:t>
      </w:r>
      <w:r>
        <w:rPr>
          <w:rFonts w:hint="default" w:ascii="仿宋_GB2312" w:hAnsi="Times New Roman" w:eastAsia="仿宋_GB2312" w:cs="Times New Roman"/>
          <w:color w:val="auto"/>
          <w:spacing w:val="0"/>
          <w:kern w:val="2"/>
          <w:sz w:val="32"/>
          <w:szCs w:val="32"/>
          <w:highlight w:val="none"/>
          <w:lang w:val="zh-CN" w:eastAsia="zh-CN" w:bidi="ar-SA"/>
        </w:rPr>
        <w:t>%；</w:t>
      </w:r>
    </w:p>
    <w:p w14:paraId="6750B7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8B4AD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1.卫生健康支出（类）行政事业单位医疗（款）行政单位医疗（项）:支出决算数为10.15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63.34%，主要原因是：</w:t>
      </w:r>
      <w:r>
        <w:rPr>
          <w:rFonts w:hint="eastAsia" w:eastAsia="仿宋_GB2312" w:cs="Times New Roman"/>
          <w:color w:val="auto"/>
          <w:kern w:val="2"/>
          <w:sz w:val="32"/>
          <w:szCs w:val="32"/>
          <w:highlight w:val="none"/>
          <w:lang w:val="zh-CN" w:eastAsia="zh-CN" w:bidi="ar-SA"/>
        </w:rPr>
        <w:t>人员增加，医疗保险费相应增加。</w:t>
      </w:r>
    </w:p>
    <w:p w14:paraId="668C6D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2.卫生健康支出（类）行政事业单位医疗（款）公务员医疗补助（项）:支出决算数为8.96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69.60%，主要原因是：</w:t>
      </w:r>
      <w:r>
        <w:rPr>
          <w:rFonts w:hint="eastAsia" w:eastAsia="仿宋_GB2312" w:cs="Times New Roman"/>
          <w:color w:val="auto"/>
          <w:kern w:val="2"/>
          <w:sz w:val="32"/>
          <w:szCs w:val="32"/>
          <w:highlight w:val="none"/>
          <w:lang w:val="zh-CN" w:eastAsia="zh-CN" w:bidi="ar-SA"/>
        </w:rPr>
        <w:t>人员增加，医疗保险费相应增加。</w:t>
      </w:r>
    </w:p>
    <w:p w14:paraId="04DC49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3.住房保障支出（类）住房改革支出（款）住房公积金（项）:支出决算数为15.34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65.87%，主要原因是：</w:t>
      </w:r>
      <w:r>
        <w:rPr>
          <w:rFonts w:hint="eastAsia" w:eastAsia="仿宋_GB2312" w:cs="Times New Roman"/>
          <w:color w:val="auto"/>
          <w:kern w:val="2"/>
          <w:sz w:val="32"/>
          <w:szCs w:val="32"/>
          <w:highlight w:val="none"/>
          <w:lang w:val="en-US" w:eastAsia="zh-CN" w:bidi="ar-SA"/>
        </w:rPr>
        <w:t>人</w:t>
      </w:r>
      <w:r>
        <w:rPr>
          <w:rFonts w:hint="eastAsia" w:eastAsia="仿宋_GB2312" w:cs="Times New Roman"/>
          <w:color w:val="auto"/>
          <w:kern w:val="2"/>
          <w:sz w:val="32"/>
          <w:szCs w:val="32"/>
          <w:highlight w:val="none"/>
          <w:lang w:val="zh-CN" w:eastAsia="zh-CN" w:bidi="ar-SA"/>
        </w:rPr>
        <w:t>员增加，住房公积金相应增加。</w:t>
      </w:r>
    </w:p>
    <w:p w14:paraId="1791A6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4.一般公共服务支出（类）政府办公厅（室）及相关机构事务（款）行政运行（项）:支出决算数为197.06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28.15%，主要原因是：</w:t>
      </w:r>
      <w:r>
        <w:rPr>
          <w:rFonts w:hint="eastAsia" w:eastAsia="仿宋_GB2312" w:cs="Times New Roman"/>
          <w:color w:val="auto"/>
          <w:kern w:val="2"/>
          <w:sz w:val="32"/>
          <w:szCs w:val="32"/>
          <w:highlight w:val="none"/>
          <w:lang w:val="en-US" w:eastAsia="zh-CN" w:bidi="ar-SA"/>
        </w:rPr>
        <w:t>人</w:t>
      </w:r>
      <w:r>
        <w:rPr>
          <w:rFonts w:hint="eastAsia" w:eastAsia="仿宋_GB2312" w:cs="Times New Roman"/>
          <w:color w:val="auto"/>
          <w:kern w:val="2"/>
          <w:sz w:val="32"/>
          <w:szCs w:val="32"/>
          <w:highlight w:val="none"/>
          <w:lang w:val="zh-CN" w:eastAsia="zh-CN" w:bidi="ar-SA"/>
        </w:rPr>
        <w:t>员增加，人员工资及公用经费相应增加。</w:t>
      </w:r>
    </w:p>
    <w:p w14:paraId="361DD6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5.一般公共服务支出（类）政府办公厅（室）及相关机构事务（款）其他政府办公厅（室）及相关机构事务支出（项）:支出决算数为129.15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0.67%，主要原因是：</w:t>
      </w:r>
      <w:r>
        <w:rPr>
          <w:rFonts w:hint="eastAsia" w:eastAsia="仿宋_GB2312" w:cs="Times New Roman"/>
          <w:color w:val="auto"/>
          <w:kern w:val="2"/>
          <w:sz w:val="32"/>
          <w:szCs w:val="32"/>
          <w:highlight w:val="none"/>
          <w:lang w:val="zh-CN" w:eastAsia="zh-CN" w:bidi="ar-SA"/>
        </w:rPr>
        <w:t>财政每年保障我单位驻外办事处业务工作经费项目</w:t>
      </w:r>
      <w:r>
        <w:rPr>
          <w:rFonts w:hint="eastAsia" w:eastAsia="仿宋_GB2312" w:cs="Times New Roman"/>
          <w:color w:val="auto"/>
          <w:kern w:val="2"/>
          <w:sz w:val="32"/>
          <w:szCs w:val="32"/>
          <w:highlight w:val="none"/>
          <w:lang w:val="en-US" w:eastAsia="zh-CN" w:bidi="ar-SA"/>
        </w:rPr>
        <w:t>130万元，本年度预算执行更精细、合理</w:t>
      </w:r>
      <w:r>
        <w:rPr>
          <w:rFonts w:hint="eastAsia" w:eastAsia="仿宋_GB2312" w:cs="Times New Roman"/>
          <w:color w:val="auto"/>
          <w:kern w:val="2"/>
          <w:sz w:val="32"/>
          <w:szCs w:val="32"/>
          <w:highlight w:val="none"/>
          <w:lang w:val="zh-CN" w:eastAsia="zh-CN" w:bidi="ar-SA"/>
        </w:rPr>
        <w:t>。</w:t>
      </w:r>
    </w:p>
    <w:p w14:paraId="6A8338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6.社会保障和就业支出（类）行政事业单位养老支出（款）机关事业单位基本养老保险缴费支出（项）:支出决算数为20.27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77.88%，主要原因是：</w:t>
      </w:r>
      <w:r>
        <w:rPr>
          <w:rFonts w:hint="eastAsia" w:eastAsia="仿宋_GB2312" w:cs="Times New Roman"/>
          <w:color w:val="auto"/>
          <w:kern w:val="2"/>
          <w:sz w:val="32"/>
          <w:szCs w:val="32"/>
          <w:highlight w:val="none"/>
          <w:lang w:val="en-US" w:eastAsia="zh-CN" w:bidi="ar-SA"/>
        </w:rPr>
        <w:t>人</w:t>
      </w:r>
      <w:r>
        <w:rPr>
          <w:rFonts w:hint="eastAsia" w:eastAsia="仿宋_GB2312" w:cs="Times New Roman"/>
          <w:color w:val="auto"/>
          <w:kern w:val="2"/>
          <w:sz w:val="32"/>
          <w:szCs w:val="32"/>
          <w:highlight w:val="none"/>
          <w:lang w:val="zh-CN" w:eastAsia="zh-CN" w:bidi="ar-SA"/>
        </w:rPr>
        <w:t>员增加，社会保险费相应增加。</w:t>
      </w:r>
    </w:p>
    <w:p w14:paraId="7BE9EA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E363CC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251.78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203.52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w:t>
      </w:r>
    </w:p>
    <w:p w14:paraId="7B921E9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48.26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办公费、印刷费、手续费、水费、电费、邮电费、取暖费、物业管理费、差旅费、培训费、公务接待费、工会经费、公务用车运行维护费、税金及附加费用、其他商品和服务支出</w:t>
      </w:r>
      <w:r>
        <w:rPr>
          <w:rFonts w:hint="eastAsia" w:ascii="仿宋_GB2312" w:eastAsia="仿宋_GB2312"/>
          <w:color w:val="auto"/>
          <w:sz w:val="32"/>
          <w:szCs w:val="32"/>
          <w:highlight w:val="none"/>
          <w:lang w:eastAsia="zh-CN"/>
        </w:rPr>
        <w:t>。</w:t>
      </w:r>
    </w:p>
    <w:p w14:paraId="1B6238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793F1A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“三公”经费支出11.81万元，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减少0.50万元，</w:t>
      </w:r>
      <w:r>
        <w:rPr>
          <w:rFonts w:hint="eastAsia" w:ascii="仿宋_GB2312" w:eastAsia="仿宋_GB2312"/>
          <w:color w:val="auto"/>
          <w:spacing w:val="0"/>
          <w:sz w:val="32"/>
          <w:szCs w:val="32"/>
          <w:highlight w:val="none"/>
          <w:lang w:val="en-US" w:eastAsia="zh-CN"/>
        </w:rPr>
        <w:t>下降4.05%,</w:t>
      </w:r>
      <w:r>
        <w:rPr>
          <w:rFonts w:hint="eastAsia" w:ascii="仿宋_GB2312" w:eastAsia="仿宋_GB2312"/>
          <w:color w:val="auto"/>
          <w:sz w:val="32"/>
          <w:szCs w:val="32"/>
          <w:highlight w:val="none"/>
          <w:lang w:val="zh-CN" w:eastAsia="zh-CN"/>
        </w:rPr>
        <w:t>主要原因是：按照财政对于“三公”经费只减不增的要求，压缩“三公”经费开支。其中：因公出国（境）费支出0.00万元，占0.00%，比上年增加0.00万元，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主要原因是：我单位无因公出国（境）费；公务用车购置及运行维护费支出10.86万元，占92.02%，比上年减少0.17万元，</w:t>
      </w:r>
      <w:r>
        <w:rPr>
          <w:rFonts w:hint="eastAsia" w:ascii="仿宋_GB2312" w:eastAsia="仿宋_GB2312"/>
          <w:color w:val="auto"/>
          <w:spacing w:val="0"/>
          <w:sz w:val="32"/>
          <w:szCs w:val="32"/>
          <w:highlight w:val="none"/>
          <w:lang w:val="en-US" w:eastAsia="zh-CN"/>
        </w:rPr>
        <w:t>下降1.59%,</w:t>
      </w:r>
      <w:r>
        <w:rPr>
          <w:rFonts w:hint="eastAsia" w:ascii="仿宋_GB2312" w:eastAsia="仿宋_GB2312"/>
          <w:color w:val="auto"/>
          <w:sz w:val="32"/>
          <w:szCs w:val="32"/>
          <w:highlight w:val="none"/>
          <w:lang w:val="zh-CN" w:eastAsia="zh-CN"/>
        </w:rPr>
        <w:t>主要原因是：按照财政对于“三公”经费只减不增的要求，压缩“三公”经费开支；公务接待费支出0.94万元，占7.98%，比上年减少0.32万元，</w:t>
      </w:r>
      <w:r>
        <w:rPr>
          <w:rFonts w:hint="eastAsia" w:ascii="仿宋_GB2312" w:eastAsia="仿宋_GB2312"/>
          <w:color w:val="auto"/>
          <w:spacing w:val="0"/>
          <w:sz w:val="32"/>
          <w:szCs w:val="32"/>
          <w:highlight w:val="none"/>
          <w:lang w:val="en-US" w:eastAsia="zh-CN"/>
        </w:rPr>
        <w:t>下降25.59%,</w:t>
      </w:r>
      <w:r>
        <w:rPr>
          <w:rFonts w:hint="eastAsia" w:ascii="仿宋_GB2312" w:eastAsia="仿宋_GB2312"/>
          <w:color w:val="auto"/>
          <w:sz w:val="32"/>
          <w:szCs w:val="32"/>
          <w:highlight w:val="none"/>
          <w:lang w:val="zh-CN" w:eastAsia="zh-CN"/>
        </w:rPr>
        <w:t>主要原因是：按照财政过紧日子的相关指示，降低接待标准，减少接待支出。</w:t>
      </w:r>
    </w:p>
    <w:p w14:paraId="5698419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0881FE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因公出国（境）费支出0.00万元，无此项支出。单位全年安排的因公出国（境）团组0个，因公出国（境）0人次。</w:t>
      </w:r>
    </w:p>
    <w:p w14:paraId="699FF76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公务用车购置及运行维护费10.86万元，其中：公务用车购置费0.00万元，公务用车运行维护费10.86万元。公务用车运行维护费开支内容包括</w:t>
      </w:r>
      <w:r>
        <w:rPr>
          <w:rFonts w:hint="eastAsia" w:ascii="仿宋_GB2312" w:eastAsia="仿宋_GB2312"/>
          <w:sz w:val="32"/>
          <w:szCs w:val="32"/>
          <w:highlight w:val="none"/>
        </w:rPr>
        <w:t>燃油费用、车辆维修和保养费用</w:t>
      </w:r>
      <w:r>
        <w:rPr>
          <w:rFonts w:hint="eastAsia" w:ascii="仿宋_GB2312" w:eastAsia="仿宋_GB2312"/>
          <w:color w:val="auto"/>
          <w:sz w:val="32"/>
          <w:szCs w:val="32"/>
          <w:highlight w:val="none"/>
          <w:lang w:val="zh-CN" w:eastAsia="zh-CN"/>
        </w:rPr>
        <w:t>。公务用车购置数0辆，公务用车保有量6辆。国有资产占用情况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6辆，与公务用车保有量差异原因是：无差异。</w:t>
      </w:r>
    </w:p>
    <w:p w14:paraId="3033542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公务接待费0.94万元，开支内容包括公务接待餐饮及其他相关支出。单位全年安排的国内公务接待18批次，51人次。</w:t>
      </w:r>
    </w:p>
    <w:p w14:paraId="731376C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预算数12.20万元，决算数11.81万元，预决算差异率-3.23%，主要原因是：按照财政对于“三公”经费只减不增的要求，压缩“三公”经费开支。其中：因公出国（境）费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预算数11.00万元，决算数10.86万元，预决算差异率-1.24%，主要原因是：按照财政对于“三公”经费只减不增的要求，压缩“三公”经费开支；公务接待费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预算数1.20万元，决算数0.94万元，预决算差异率-21.51%，主要原因是：按照财政过紧日子的相关指示，降低接待标准，减少接待支出。</w:t>
      </w:r>
    </w:p>
    <w:p w14:paraId="2AADE0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E57C4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2C00F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06F34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31ED4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25FF6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6FA81DE">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新疆维吾尔自治区人民政府驻西安办事处（行政单位和参照公务员法管理事业单位）机关运行经费支出48.26万元，比上年减少9.33万元，下降16.20%，主要原因是：</w:t>
      </w:r>
      <w:r>
        <w:rPr>
          <w:rFonts w:hint="eastAsia" w:ascii="仿宋_GB2312" w:eastAsia="仿宋_GB2312"/>
          <w:color w:val="auto"/>
          <w:sz w:val="32"/>
          <w:szCs w:val="32"/>
          <w:highlight w:val="none"/>
          <w:lang w:val="zh-CN" w:eastAsia="zh-CN"/>
        </w:rPr>
        <w:t>严格落实财政过紧日子的相关指示，减少公用经费支出</w:t>
      </w:r>
      <w:r>
        <w:rPr>
          <w:rFonts w:hint="eastAsia" w:ascii="Times New Roman" w:hAnsi="Times New Roman" w:eastAsia="仿宋_GB2312" w:cs="Times New Roman"/>
          <w:color w:val="auto"/>
          <w:sz w:val="32"/>
          <w:szCs w:val="32"/>
          <w:highlight w:val="none"/>
          <w:lang w:val="en-US" w:eastAsia="zh-CN"/>
        </w:rPr>
        <w:t>。</w:t>
      </w:r>
    </w:p>
    <w:p w14:paraId="5458CD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72987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679781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9C3A0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AAF33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3,074.48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屋19262.93平方米，价值2,518.75万元。车辆6辆，价值164.08万元，其中：副部（省）级及以上领导用车0辆、主要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用车0辆、其他用车6辆，其他用车主要是：</w:t>
      </w:r>
      <w:r>
        <w:rPr>
          <w:rFonts w:hint="eastAsia" w:eastAsia="仿宋_GB2312" w:cs="Times New Roman"/>
          <w:color w:val="auto"/>
          <w:sz w:val="32"/>
          <w:szCs w:val="32"/>
          <w:highlight w:val="none"/>
          <w:lang w:val="zh-CN" w:eastAsia="zh-CN"/>
        </w:rPr>
        <w:t>保障我单位正常运转的公务用车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FCE33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98CF65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，我单位整体支出绩效表由主管部门编报并公开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全年预算数261.8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全年执行数188.32</w:t>
      </w:r>
      <w:bookmarkStart w:id="48" w:name="_GoBack"/>
      <w:bookmarkEnd w:id="48"/>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。预算绩效管理取得的成效：一是弥补办事处公用经费的不足，保障单位正常运转；二是</w:t>
      </w:r>
      <w:r>
        <w:rPr>
          <w:rFonts w:hint="eastAsia" w:ascii="仿宋_GB2312" w:hAnsi="仿宋_GB2312" w:eastAsia="仿宋_GB2312" w:cs="仿宋_GB2312"/>
          <w:kern w:val="0"/>
          <w:sz w:val="32"/>
          <w:szCs w:val="32"/>
          <w:highlight w:val="none"/>
          <w:lang w:val="en-US" w:eastAsia="zh-CN"/>
        </w:rPr>
        <w:t>2023年绩效管理工作中积极推进项目实施，加快资金支出进度，较好地完成了相关项目绩效目标</w:t>
      </w:r>
      <w:r>
        <w:rPr>
          <w:rFonts w:hint="eastAsia" w:ascii="仿宋_GB2312" w:eastAsia="仿宋_GB2312"/>
          <w:color w:val="auto"/>
          <w:sz w:val="32"/>
          <w:szCs w:val="32"/>
          <w:highlight w:val="none"/>
          <w:lang w:eastAsia="zh-CN"/>
        </w:rPr>
        <w:t>。发现的问题及原因：费用开支细化不具体，存在在使用过程中开支与预算细分的开支有差异。下一步改进措施：</w:t>
      </w:r>
      <w:r>
        <w:rPr>
          <w:rFonts w:hint="eastAsia" w:ascii="仿宋_GB2312" w:hAnsi="仿宋_GB2312" w:eastAsia="仿宋_GB2312" w:cs="仿宋_GB2312"/>
          <w:kern w:val="0"/>
          <w:sz w:val="32"/>
          <w:szCs w:val="32"/>
          <w:highlight w:val="none"/>
          <w:lang w:val="en-US" w:eastAsia="zh-CN"/>
        </w:rPr>
        <w:t>强化对预算执行的日常评估督促检查，对发现的问题与不足及时进行纠正和改进，</w:t>
      </w:r>
      <w:r>
        <w:rPr>
          <w:rFonts w:ascii="仿宋_GB2312" w:eastAsia="仿宋_GB2312"/>
          <w:sz w:val="32"/>
          <w:szCs w:val="32"/>
          <w:highlight w:val="none"/>
        </w:rPr>
        <w:t>严格做好预算资金</w:t>
      </w:r>
      <w:r>
        <w:rPr>
          <w:rFonts w:hint="eastAsia" w:ascii="仿宋_GB2312" w:eastAsia="仿宋_GB2312"/>
          <w:sz w:val="32"/>
          <w:szCs w:val="32"/>
          <w:highlight w:val="none"/>
          <w:lang w:eastAsia="zh-CN"/>
        </w:rPr>
        <w:t>管理</w:t>
      </w:r>
      <w:r>
        <w:rPr>
          <w:rFonts w:ascii="仿宋_GB2312" w:eastAsia="仿宋_GB2312"/>
          <w:sz w:val="32"/>
          <w:szCs w:val="32"/>
          <w:highlight w:val="none"/>
        </w:rPr>
        <w:t>，按照预算要求合理使用资金</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226FBBC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A00874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授予中小企业合同金额、授予小微企业合同金额为0万元,原因是我单位无相关业务支出。</w:t>
      </w:r>
    </w:p>
    <w:p w14:paraId="1D9E31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D8D76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59E6B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90E0C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46C04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73990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019DB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AABEAB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D20EEA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FD21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675C7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BBAE2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C2D84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BAD146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B6807E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EC497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02E2C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4248AC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609F19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7DAE59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613B1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3B7C6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9E21D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6CA00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20334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B2AC97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26B50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3095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18ED4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C18ED4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ZjJlNDZkNGFkNGQ1NTJiMDI4ZDRlNDA2ZGM1Nj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DBD6D66"/>
    <w:rsid w:val="1E086ACE"/>
    <w:rsid w:val="1E143D19"/>
    <w:rsid w:val="1E62130A"/>
    <w:rsid w:val="1E700EE2"/>
    <w:rsid w:val="1E97358B"/>
    <w:rsid w:val="1EAA4A5F"/>
    <w:rsid w:val="1EE869A7"/>
    <w:rsid w:val="1F132663"/>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EC1DE5"/>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6F80990"/>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3C2946"/>
    <w:rsid w:val="4DF94F37"/>
    <w:rsid w:val="4E0A1DD5"/>
    <w:rsid w:val="4E3160E5"/>
    <w:rsid w:val="4E4D37AF"/>
    <w:rsid w:val="4E8C6496"/>
    <w:rsid w:val="4EFD18DE"/>
    <w:rsid w:val="4F144236"/>
    <w:rsid w:val="4F570954"/>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4E65DC7"/>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195385"/>
    <w:rsid w:val="5BD456CE"/>
    <w:rsid w:val="5C0D1F49"/>
    <w:rsid w:val="5C13344B"/>
    <w:rsid w:val="5CBB0CE2"/>
    <w:rsid w:val="5CC17177"/>
    <w:rsid w:val="5CF306BC"/>
    <w:rsid w:val="5D3F3D64"/>
    <w:rsid w:val="5D833043"/>
    <w:rsid w:val="5DD92690"/>
    <w:rsid w:val="5DDB1CFD"/>
    <w:rsid w:val="5E0D0280"/>
    <w:rsid w:val="5E7E6D93"/>
    <w:rsid w:val="5ED44800"/>
    <w:rsid w:val="5F350BDE"/>
    <w:rsid w:val="5F61632C"/>
    <w:rsid w:val="5FA17648"/>
    <w:rsid w:val="5FE705CB"/>
    <w:rsid w:val="603D5080"/>
    <w:rsid w:val="60D0261B"/>
    <w:rsid w:val="61482508"/>
    <w:rsid w:val="61521762"/>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19405A"/>
    <w:rsid w:val="6B68175F"/>
    <w:rsid w:val="6BFD799F"/>
    <w:rsid w:val="6C4A2E5A"/>
    <w:rsid w:val="6C8138D0"/>
    <w:rsid w:val="6CEF0725"/>
    <w:rsid w:val="6D4B2604"/>
    <w:rsid w:val="6D8030E4"/>
    <w:rsid w:val="6E0E35C4"/>
    <w:rsid w:val="6E0F7A08"/>
    <w:rsid w:val="6E3947F5"/>
    <w:rsid w:val="6E9C74ED"/>
    <w:rsid w:val="6EA618D1"/>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5205</Words>
  <Characters>5855</Characters>
  <Lines>0</Lines>
  <Paragraphs>0</Paragraphs>
  <TotalTime>3</TotalTime>
  <ScaleCrop>false</ScaleCrop>
  <LinksUpToDate>false</LinksUpToDate>
  <CharactersWithSpaces>5866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1</cp:lastModifiedBy>
  <cp:lastPrinted>2024-08-15T03:01:00Z</cp:lastPrinted>
  <dcterms:modified xsi:type="dcterms:W3CDTF">2024-08-26T10:29:42Z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