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新疆维吾尔自治区人民政府办公厅文印中心</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自治区人民政府办公厅文印中心系自治区人民政府办公厅直属公益一类事业单位，核定编制34人。机构规格相当县（处）级，经费实行全额预算管理，主要职责负责自治区人民政府办公厅各类文件、函电、领导讲话和公报期刊等文字材料印刷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新疆维吾尔自治区人民政府办公厅文印中心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73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en-US" w:eastAsia="zh-CN"/>
        </w:rPr>
        <w:t>42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个处室，分别是：办公室、微机快印室、印装室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702.50万元，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655.04万元，使用非财政拨款结余47.46万元，年初结转和结余0.00万元。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702.50万元，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702.50万元，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减少21.32万元</w:t>
      </w:r>
      <w:r>
        <w:rPr>
          <w:rFonts w:hint="eastAsia" w:ascii="仿宋_GB2312" w:eastAsia="仿宋_GB2312"/>
          <w:color w:val="auto"/>
          <w:spacing w:val="0"/>
          <w:sz w:val="32"/>
          <w:szCs w:val="32"/>
          <w:highlight w:val="none"/>
          <w:lang w:eastAsia="zh-CN"/>
        </w:rPr>
        <w:t>，下降2.95%，主要原因是：</w:t>
      </w:r>
      <w:r>
        <w:rPr>
          <w:rFonts w:hint="eastAsia" w:ascii="仿宋_GB2312" w:eastAsia="仿宋_GB2312"/>
          <w:color w:val="auto"/>
          <w:spacing w:val="0"/>
          <w:sz w:val="32"/>
          <w:szCs w:val="32"/>
          <w:highlight w:val="none"/>
          <w:lang w:val="en-US" w:eastAsia="zh-CN"/>
        </w:rPr>
        <w:t>与2022年度相比，2023年度我单位退休人员减少，相关支出也随之减少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655.04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654.48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本年支出702.50万元，其中：基本支出557.50万元，占79.36%；项目支出145.00万元，占20.64%；上缴上级支出0.00万元，占0.00%；经营支出0.00万元，占0.00%；对附属单位补助支出0.00万元，占0.00%。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w:t>
      </w:r>
    </w:p>
    <w:p>
      <w:pPr>
        <w:ind w:firstLine="640" w:firstLineChars="200"/>
        <w:outlineLvl w:val="1"/>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增加21.09万元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年度人员工资调增导致人员经费收支决算数有所增加。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572.48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万元，预决算差异率14.32%，主要原因是：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年度人员工资调增导致人员经费收支决算数有所增加。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2023年度一般公共预算财政拨款支出654.48万元，占本年支出合计的</w:t>
      </w:r>
      <w:r>
        <w:rPr>
          <w:rFonts w:hint="eastAsia" w:ascii="仿宋_GB2312" w:eastAsia="仿宋_GB2312"/>
          <w:color w:val="auto"/>
          <w:spacing w:val="0"/>
          <w:sz w:val="32"/>
          <w:szCs w:val="32"/>
          <w:highlight w:val="none"/>
          <w:lang w:val="zh-CN" w:eastAsia="zh-CN"/>
        </w:rPr>
        <w:t>93.16%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增长3.33%,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年度人员工资调增导致人员经费收支决算数有所增加。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572.48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654.48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14.32%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年度人员工资调增导致人员经费收支决算数有所增加。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526.88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80.50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55.11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8.42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40.63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31.87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1.卫生健康支出（类）行政事业单位医疗（款）事业单位医疗（项）:支出决算数为22.04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w:t>
      </w:r>
      <w:r>
        <w:rPr>
          <w:rFonts w:hint="eastAsia" w:eastAsia="仿宋_GB2312" w:cs="Times New Roman"/>
          <w:color w:val="auto"/>
          <w:kern w:val="2"/>
          <w:sz w:val="32"/>
          <w:szCs w:val="32"/>
          <w:highlight w:val="none"/>
          <w:lang w:val="en-US" w:eastAsia="zh-CN" w:bidi="ar-SA"/>
        </w:rPr>
        <w:t>09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年工资收入增加使得202</w:t>
      </w:r>
      <w:r>
        <w:rPr>
          <w:rFonts w:hint="eastAsia" w:ascii="仿宋_GB2312" w:eastAsia="仿宋_GB2312"/>
          <w:sz w:val="32"/>
          <w:szCs w:val="32"/>
          <w:lang w:val="en-US" w:eastAsia="zh-CN"/>
        </w:rPr>
        <w:t>3</w:t>
      </w:r>
      <w:r>
        <w:rPr>
          <w:rFonts w:hint="eastAsia" w:ascii="仿宋_GB2312" w:eastAsia="仿宋_GB2312"/>
          <w:sz w:val="32"/>
          <w:szCs w:val="32"/>
        </w:rPr>
        <w:t>年医疗保险缴费基数调增。</w:t>
      </w:r>
    </w:p>
    <w:p>
      <w:pPr>
        <w:ind w:firstLine="640" w:firstLineChars="200"/>
        <w:outlineLvl w:val="1"/>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2.卫生健康支出（类）行政事业单位医疗（款）公务员医疗补助（项）:支出决算数为18.59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增长8.52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年工资收入增加使得202</w:t>
      </w:r>
      <w:r>
        <w:rPr>
          <w:rFonts w:hint="eastAsia" w:ascii="仿宋_GB2312" w:eastAsia="仿宋_GB2312"/>
          <w:sz w:val="32"/>
          <w:szCs w:val="32"/>
          <w:lang w:val="en-US" w:eastAsia="zh-CN"/>
        </w:rPr>
        <w:t>3</w:t>
      </w:r>
      <w:r>
        <w:rPr>
          <w:rFonts w:hint="eastAsia" w:ascii="仿宋_GB2312" w:eastAsia="仿宋_GB2312"/>
          <w:sz w:val="32"/>
          <w:szCs w:val="32"/>
        </w:rPr>
        <w:t>年医疗保险缴费基数调增。</w:t>
      </w:r>
    </w:p>
    <w:p>
      <w:pPr>
        <w:ind w:firstLine="640" w:firstLineChars="200"/>
        <w:outlineLvl w:val="1"/>
        <w:rPr>
          <w:rFonts w:hint="eastAsia" w:ascii="Times New Roman" w:hAnsi="Times New Roman" w:eastAsia="仿宋_GB2312" w:cs="Times New Roman"/>
          <w:color w:val="auto"/>
          <w:kern w:val="2"/>
          <w:sz w:val="32"/>
          <w:szCs w:val="32"/>
          <w:highlight w:val="yellow"/>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3.住房保障支出（类）住房改革支出（款）住房公积金（项）:支出决算数为31.87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w:t>
      </w:r>
      <w:r>
        <w:rPr>
          <w:rFonts w:hint="eastAsia" w:eastAsia="仿宋_GB2312" w:cs="Times New Roman"/>
          <w:color w:val="auto"/>
          <w:kern w:val="2"/>
          <w:sz w:val="32"/>
          <w:szCs w:val="32"/>
          <w:highlight w:val="none"/>
          <w:lang w:val="en-US" w:eastAsia="zh-CN" w:bidi="ar-SA"/>
        </w:rPr>
        <w:t>25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年工资收入增加使得202</w:t>
      </w:r>
      <w:r>
        <w:rPr>
          <w:rFonts w:hint="eastAsia" w:ascii="仿宋_GB2312" w:eastAsia="仿宋_GB2312"/>
          <w:sz w:val="32"/>
          <w:szCs w:val="32"/>
          <w:lang w:val="en-US" w:eastAsia="zh-CN"/>
        </w:rPr>
        <w:t>3</w:t>
      </w:r>
      <w:r>
        <w:rPr>
          <w:rFonts w:hint="eastAsia" w:ascii="仿宋_GB2312" w:eastAsia="仿宋_GB2312"/>
          <w:sz w:val="32"/>
          <w:szCs w:val="32"/>
        </w:rPr>
        <w:t>年公积金缴费基数调增。</w:t>
      </w:r>
    </w:p>
    <w:p>
      <w:pPr>
        <w:ind w:firstLine="640" w:firstLineChars="200"/>
        <w:outlineLvl w:val="1"/>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4.一般公共服务支出（类）政府办公厅（室）及相关机构事务（款）事业运行（项）:支出决算数为381.88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年度人员工资调增导致人员经费收支决算数有所增加。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5.社会保障和就业支出（类）行政事业单位养老支出（款）机关事业单位职业年金缴费支出（项）:支出决算数为12.62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人员较上年有所调整，职业年金做实部分增加</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6.一般公共服务支出（类）政府办公厅（室）及相关机构事务（款）其他政府办公厅（室）及相关机构事务支出（项）:支出决算数为145.00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ascii="仿宋_GB2312" w:eastAsia="仿宋_GB2312"/>
          <w:sz w:val="32"/>
          <w:szCs w:val="32"/>
          <w:lang w:val="en-US" w:eastAsia="zh-CN"/>
        </w:rPr>
        <w:t>2023</w:t>
      </w:r>
      <w:r>
        <w:rPr>
          <w:rFonts w:hint="eastAsia" w:ascii="仿宋_GB2312" w:eastAsia="仿宋_GB2312"/>
          <w:sz w:val="32"/>
          <w:szCs w:val="32"/>
          <w:lang w:eastAsia="zh-CN"/>
        </w:rPr>
        <w:t>年</w:t>
      </w:r>
      <w:r>
        <w:rPr>
          <w:rFonts w:hint="eastAsia" w:ascii="仿宋_GB2312" w:eastAsia="仿宋_GB2312"/>
          <w:sz w:val="32"/>
          <w:szCs w:val="32"/>
          <w:lang w:val="en-US" w:eastAsia="zh-CN"/>
        </w:rPr>
        <w:t>度</w:t>
      </w:r>
      <w:r>
        <w:rPr>
          <w:rFonts w:hint="eastAsia" w:ascii="仿宋_GB2312" w:eastAsia="仿宋_GB2312"/>
          <w:sz w:val="32"/>
          <w:szCs w:val="32"/>
          <w:lang w:eastAsia="zh-CN"/>
        </w:rPr>
        <w:t>印刷耗材购置量</w:t>
      </w:r>
      <w:r>
        <w:rPr>
          <w:rFonts w:hint="eastAsia" w:ascii="仿宋_GB2312" w:eastAsia="仿宋_GB2312"/>
          <w:sz w:val="32"/>
          <w:szCs w:val="32"/>
          <w:lang w:val="en-US" w:eastAsia="zh-CN"/>
        </w:rPr>
        <w:t>与2022年度保持一致</w:t>
      </w:r>
      <w:r>
        <w:rPr>
          <w:rFonts w:hint="eastAsia" w:ascii="仿宋_GB2312" w:eastAsia="仿宋_GB2312"/>
          <w:sz w:val="32"/>
          <w:szCs w:val="32"/>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7.社会保障和就业支出（类）行政事业单位养老支出（款）机关事业单位基本养老保险缴费支出（项）:支出决算数为42.49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4.27%，主要原因是：</w:t>
      </w:r>
      <w:r>
        <w:rPr>
          <w:rFonts w:hint="eastAsia"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年工资收入增加使得202</w:t>
      </w:r>
      <w:r>
        <w:rPr>
          <w:rFonts w:hint="eastAsia" w:ascii="仿宋_GB2312" w:eastAsia="仿宋_GB2312"/>
          <w:sz w:val="32"/>
          <w:szCs w:val="32"/>
          <w:lang w:val="en-US" w:eastAsia="zh-CN"/>
        </w:rPr>
        <w:t>3</w:t>
      </w:r>
      <w:r>
        <w:rPr>
          <w:rFonts w:hint="eastAsia" w:ascii="仿宋_GB2312" w:eastAsia="仿宋_GB2312"/>
          <w:sz w:val="32"/>
          <w:szCs w:val="32"/>
        </w:rPr>
        <w:t>年养老保险缴费基数调增。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509.48</w:t>
      </w:r>
      <w:r>
        <w:rPr>
          <w:rFonts w:hint="eastAsia" w:ascii="仿宋_GB2312" w:eastAsia="仿宋_GB2312"/>
          <w:color w:val="auto"/>
          <w:sz w:val="32"/>
          <w:szCs w:val="32"/>
          <w:highlight w:val="none"/>
        </w:rPr>
        <w:t>万元，其中：</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人员经费</w:t>
      </w:r>
      <w:r>
        <w:rPr>
          <w:rFonts w:hint="eastAsia" w:ascii="仿宋_GB2312" w:eastAsia="仿宋_GB2312"/>
          <w:color w:val="auto"/>
          <w:sz w:val="32"/>
          <w:szCs w:val="32"/>
          <w:highlight w:val="none"/>
          <w:lang w:eastAsia="zh-CN"/>
        </w:rPr>
        <w:t>469.89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39.59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办公费、手续费、水费、电费、取暖费、差旅费、委托业务费、工会经费、福利费、其他商品和服务支出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公务用车购置数0辆，公务用车保有量0辆。国有资产占用情况中固定资产车辆</w:t>
      </w:r>
      <w:r>
        <w:rPr>
          <w:rFonts w:hint="eastAsia" w:ascii="仿宋_GB2312" w:eastAsia="仿宋_GB2312"/>
          <w:color w:val="auto"/>
          <w:sz w:val="32"/>
          <w:szCs w:val="32"/>
          <w:highlight w:val="none"/>
          <w:lang w:val="en-US" w:eastAsia="zh-CN"/>
        </w:rPr>
        <w:t>0辆，与公务用车保有量差异原因是：无差异。</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新疆维吾尔自治区人民政府办公厅文印中心（事业单位）公用经费支出39.59万元，</w:t>
      </w:r>
      <w:r>
        <w:rPr>
          <w:rFonts w:hint="eastAsia" w:ascii="Times New Roman" w:hAnsi="Times New Roman" w:eastAsia="仿宋_GB2312" w:cs="Times New Roman"/>
          <w:color w:val="auto"/>
          <w:sz w:val="32"/>
          <w:szCs w:val="32"/>
          <w:highlight w:val="none"/>
          <w:lang w:val="zh-CN" w:eastAsia="zh-CN"/>
        </w:rPr>
        <w:t>比上年减少2.89万元，下降6.81%，主要原因是：</w:t>
      </w:r>
      <w:r>
        <w:rPr>
          <w:rFonts w:hint="eastAsia" w:eastAsia="仿宋_GB2312" w:cs="Times New Roman"/>
          <w:color w:val="auto"/>
          <w:sz w:val="32"/>
          <w:szCs w:val="32"/>
          <w:highlight w:val="none"/>
          <w:lang w:val="en-US" w:eastAsia="zh-CN"/>
        </w:rPr>
        <w:t>2022年度</w:t>
      </w:r>
      <w:r>
        <w:rPr>
          <w:rFonts w:hint="eastAsia" w:ascii="仿宋_GB2312" w:eastAsia="仿宋_GB2312"/>
          <w:sz w:val="32"/>
          <w:szCs w:val="32"/>
          <w:lang w:eastAsia="zh-CN"/>
        </w:rPr>
        <w:t>疫情防护用品支出增多，导致</w:t>
      </w:r>
      <w:r>
        <w:rPr>
          <w:rFonts w:hint="eastAsia" w:ascii="仿宋_GB2312" w:eastAsia="仿宋_GB2312"/>
          <w:sz w:val="32"/>
          <w:szCs w:val="32"/>
        </w:rPr>
        <w:t>公用</w:t>
      </w:r>
      <w:r>
        <w:rPr>
          <w:rFonts w:hint="eastAsia" w:ascii="仿宋_GB2312" w:eastAsia="仿宋_GB2312"/>
          <w:color w:val="auto"/>
          <w:sz w:val="32"/>
          <w:szCs w:val="32"/>
        </w:rPr>
        <w:t>经费</w:t>
      </w:r>
      <w:r>
        <w:rPr>
          <w:rFonts w:hint="eastAsia" w:ascii="仿宋_GB2312" w:eastAsia="仿宋_GB2312"/>
          <w:sz w:val="32"/>
          <w:szCs w:val="32"/>
        </w:rPr>
        <w:t>支出增加</w:t>
      </w:r>
      <w:r>
        <w:rPr>
          <w:rFonts w:hint="eastAsia" w:ascii="仿宋_GB2312" w:eastAsia="仿宋_GB2312"/>
          <w:sz w:val="32"/>
          <w:szCs w:val="32"/>
          <w:lang w:eastAsia="zh-CN"/>
        </w:rPr>
        <w:t>，</w:t>
      </w:r>
      <w:r>
        <w:rPr>
          <w:rFonts w:hint="eastAsia" w:ascii="仿宋_GB2312" w:eastAsia="仿宋_GB2312"/>
          <w:sz w:val="32"/>
          <w:szCs w:val="32"/>
          <w:lang w:val="en-US" w:eastAsia="zh-CN"/>
        </w:rPr>
        <w:t>而</w:t>
      </w:r>
      <w:r>
        <w:rPr>
          <w:rFonts w:hint="eastAsia" w:ascii="Times New Roman" w:hAnsi="Times New Roman" w:eastAsia="仿宋_GB2312" w:cs="Times New Roman"/>
          <w:color w:val="auto"/>
          <w:sz w:val="32"/>
          <w:szCs w:val="32"/>
          <w:highlight w:val="none"/>
          <w:lang w:val="en-US" w:eastAsia="zh-CN"/>
        </w:rPr>
        <w:t>2023</w:t>
      </w:r>
      <w:r>
        <w:rPr>
          <w:rFonts w:hint="eastAsia" w:ascii="仿宋_GB2312" w:eastAsia="仿宋_GB2312"/>
          <w:sz w:val="32"/>
          <w:szCs w:val="32"/>
          <w:lang w:val="en-US" w:eastAsia="zh-CN"/>
        </w:rPr>
        <w:t>年度无此项支出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72.57万元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其中：政府采购货物支出67.43万元、政府采购工程支出0.00万元、政府采购服务支出5.15万元。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授予中小企业合同金额72.57万元，占政府采购支出总额的100.00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，其中：授予小微企业合同金额72.57万元，占政府采购支出总额的100.00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585.82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屋5251.11平方米，价值250.53万元。车辆0辆，价值0.00万元，其中：副部（省）级及以上领导用车0辆、主要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年度开展预算绩效评价项目</w:t>
      </w:r>
      <w:r>
        <w:rPr>
          <w:rFonts w:ascii="仿宋_GB2312" w:eastAsia="仿宋_GB2312"/>
          <w:sz w:val="32"/>
          <w:szCs w:val="32"/>
        </w:rPr>
        <w:t>2</w:t>
      </w:r>
      <w:r>
        <w:rPr>
          <w:rFonts w:hint="eastAsia" w:ascii="仿宋_GB2312" w:eastAsia="仿宋_GB2312"/>
          <w:sz w:val="32"/>
          <w:szCs w:val="32"/>
        </w:rPr>
        <w:t>个，全年预算数226.00万元，全年执行数</w:t>
      </w:r>
      <w:r>
        <w:rPr>
          <w:rFonts w:hint="eastAsia" w:ascii="仿宋_GB2312" w:eastAsia="仿宋_GB2312"/>
          <w:sz w:val="32"/>
          <w:szCs w:val="32"/>
          <w:lang w:val="en-US" w:eastAsia="zh-CN"/>
        </w:rPr>
        <w:t>192.46</w:t>
      </w:r>
      <w:r>
        <w:rPr>
          <w:rFonts w:hint="eastAsia" w:ascii="仿宋_GB2312" w:eastAsia="仿宋_GB2312"/>
          <w:sz w:val="32"/>
          <w:szCs w:val="32"/>
        </w:rPr>
        <w:t>万元。预算绩效管理取得的成效：</w:t>
      </w:r>
      <w:r>
        <w:rPr>
          <w:rFonts w:ascii="仿宋_GB2312" w:eastAsia="仿宋_GB2312"/>
          <w:sz w:val="32"/>
          <w:szCs w:val="32"/>
        </w:rPr>
        <w:t>一是项目绩效目标完成情况。政府办公厅文印中心在2022年严格执行部门预算，认真落实《中央八项规定》，严格按照政府采购制度推进采购业务的进行，不断提高服务水平和服务质量；文印中心承担着政府和办公厅各处室（单位）各类文件、电报、纪要、简报、会议材料、学习材料、资料汇编等印制任务，全年扎实推进了各项工作的开展，较好的完成了年初既定绩效目标。</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二是整体支出绩效目标实现情况。自治区人民政府办公厅文印中心认真学习贯彻落实自治区党委、自治区人民政府《关于全面实施预算绩效管理的实施意见》（新党发[2018]30号），组织相关单位（处室）认真学习文件内容，领会精神实质，统一思想认识，准确把握核心内涵，加强绩效监控手段，突出绩效导向作用，将全面绩效管理落实到各项工作之中，有力推动了工作开展。如：与下设办公室不等不靠，积极配合，主动协调项目单位，合理编制绩效目标和实施计划，并严格按照计划稳步推进。根据自治区财政厅对2022年预算执行情况的通报，政府办公厅项目预算执行情况良好，如期完成了预算执行任务，实现了既定的绩效目标，有力保障了自治区重点项目及其他项目的顺利实施</w:t>
      </w:r>
      <w:r>
        <w:rPr>
          <w:rFonts w:hint="eastAsia" w:ascii="仿宋_GB2312" w:eastAsia="仿宋_GB2312"/>
          <w:sz w:val="32"/>
          <w:szCs w:val="32"/>
        </w:rPr>
        <w:t>。发现的问题及原因：</w:t>
      </w:r>
      <w:r>
        <w:rPr>
          <w:rFonts w:ascii="仿宋_GB2312" w:eastAsia="仿宋_GB2312"/>
          <w:sz w:val="32"/>
          <w:szCs w:val="32"/>
        </w:rPr>
        <w:t>一是预算编制中仍存在不规范、不合理，致使预算执行过程中存在支出不规范、不合理现象；二是财务人员政策法规平时学习不够，致使财务收支行为还存在一定的随意性，导致决算审核问题较多</w:t>
      </w:r>
      <w:r>
        <w:rPr>
          <w:rFonts w:hint="eastAsia" w:ascii="仿宋_GB2312" w:eastAsia="仿宋_GB2312"/>
          <w:sz w:val="32"/>
          <w:szCs w:val="32"/>
        </w:rPr>
        <w:t>。下一步改进措施：</w:t>
      </w:r>
      <w:r>
        <w:rPr>
          <w:rFonts w:ascii="仿宋_GB2312" w:eastAsia="仿宋_GB2312"/>
          <w:sz w:val="32"/>
          <w:szCs w:val="32"/>
        </w:rPr>
        <w:t>一是文印中心将加大对预、决算工作的审核力度；二是加强对财务人员的业务培训，将各类政策法规严格落实到各项收支业务之中，不断提高财政预算执行的准确性、及时性和规范性；三是按要求完成绩效目标，切实发挥好财政资金的效用</w:t>
      </w:r>
      <w:r>
        <w:rPr>
          <w:rFonts w:hint="eastAsia" w:ascii="仿宋_GB2312" w:eastAsia="仿宋_GB2312"/>
          <w:sz w:val="32"/>
          <w:szCs w:val="32"/>
        </w:rPr>
        <w:t>。具体项目自评情况见附件。</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OTJlNzU0NmI0YzQ4YzFiMjY2OWZhYTFjYTM2OT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320EE4"/>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C07E82"/>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19520D"/>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5F0ADD"/>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43720B"/>
    <w:rsid w:val="385E3AC3"/>
    <w:rsid w:val="387D6B9E"/>
    <w:rsid w:val="38B75FF0"/>
    <w:rsid w:val="38D45016"/>
    <w:rsid w:val="38D90432"/>
    <w:rsid w:val="3914510A"/>
    <w:rsid w:val="3926770B"/>
    <w:rsid w:val="398D3668"/>
    <w:rsid w:val="39DA0497"/>
    <w:rsid w:val="3A893816"/>
    <w:rsid w:val="3A893B6D"/>
    <w:rsid w:val="3AA1642E"/>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2165DF"/>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3520F2"/>
    <w:rsid w:val="595C505B"/>
    <w:rsid w:val="595E55C3"/>
    <w:rsid w:val="596E7E20"/>
    <w:rsid w:val="5A60780B"/>
    <w:rsid w:val="5AB34579"/>
    <w:rsid w:val="5AFC6609"/>
    <w:rsid w:val="5B113480"/>
    <w:rsid w:val="5BD456CE"/>
    <w:rsid w:val="5C0D1F49"/>
    <w:rsid w:val="5CBB0CE2"/>
    <w:rsid w:val="5CC17177"/>
    <w:rsid w:val="5CF306BC"/>
    <w:rsid w:val="5D3F3D64"/>
    <w:rsid w:val="5D7447F9"/>
    <w:rsid w:val="5D833043"/>
    <w:rsid w:val="5DD92690"/>
    <w:rsid w:val="5DDB1CFD"/>
    <w:rsid w:val="5E7E6D93"/>
    <w:rsid w:val="5ED44800"/>
    <w:rsid w:val="5F350BDE"/>
    <w:rsid w:val="5F61632C"/>
    <w:rsid w:val="5FA17648"/>
    <w:rsid w:val="5FE705CB"/>
    <w:rsid w:val="603D5080"/>
    <w:rsid w:val="60D0261B"/>
    <w:rsid w:val="6163103C"/>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8F2779"/>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5481</Words>
  <Characters>6149</Characters>
  <Lines>0</Lines>
  <Paragraphs>0</Paragraphs>
  <TotalTime>15</TotalTime>
  <ScaleCrop>false</ScaleCrop>
  <LinksUpToDate>false</LinksUpToDate>
  <CharactersWithSpaces>6163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2024-11-13T11:16:43Z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368FFA8BC75741FEB50B506A75B783DC</vt:lpwstr>
  </property>
</Properties>
</file>