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bookmarkStart w:id="48" w:name="_GoBack"/>
      <w:bookmarkEnd w:id="48"/>
      <w:r>
        <w:rPr>
          <w:rFonts w:hint="eastAsia" w:ascii="方正小标宋_GBK" w:hAnsi="宋体" w:eastAsia="方正小标宋_GBK"/>
          <w:color w:val="auto"/>
          <w:sz w:val="44"/>
          <w:szCs w:val="44"/>
          <w:highlight w:val="none"/>
          <w:lang w:val="en-US" w:eastAsia="zh-CN"/>
        </w:rPr>
        <w:t>政协新疆维吾尔自治区委员会办公厅</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机关服务中心</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2023年度单位</w:t>
      </w:r>
      <w:r>
        <w:rPr>
          <w:rFonts w:hint="eastAsia" w:ascii="方正小标宋_GBK" w:hAnsi="宋体" w:eastAsia="方正小标宋_GBK"/>
          <w:color w:val="auto"/>
          <w:sz w:val="44"/>
          <w:szCs w:val="44"/>
          <w:highlight w:val="none"/>
        </w:rPr>
        <w:t>决算公开说明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 w:eastAsia="仿宋_GB2312"/>
          <w:color w:val="000000"/>
          <w:sz w:val="32"/>
          <w:szCs w:val="32"/>
        </w:rPr>
      </w:pPr>
      <w:bookmarkStart w:id="4" w:name="_Toc31238"/>
      <w:bookmarkStart w:id="5" w:name="_Toc2151"/>
      <w:r>
        <w:rPr>
          <w:rFonts w:hint="eastAsia" w:ascii="仿宋_GB2312" w:hAnsi="仿宋" w:eastAsia="仿宋_GB2312"/>
          <w:color w:val="000000"/>
          <w:sz w:val="32"/>
          <w:szCs w:val="32"/>
        </w:rPr>
        <w:t>政协新疆维吾尔自治区委员会办公厅机关服务中心的主要职能是:</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 w:eastAsia="仿宋_GB2312"/>
          <w:color w:val="000000"/>
          <w:sz w:val="32"/>
          <w:szCs w:val="32"/>
        </w:rPr>
      </w:pPr>
      <w:r>
        <w:rPr>
          <w:rFonts w:hint="eastAsia" w:ascii="仿宋_GB2312" w:hAnsi="仿宋" w:eastAsia="仿宋_GB2312"/>
          <w:color w:val="000000"/>
          <w:sz w:val="32"/>
          <w:szCs w:val="32"/>
        </w:rPr>
        <w:t>(一)负责自治区政协及机关的后勤保障工作。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 w:eastAsia="仿宋_GB2312"/>
          <w:color w:val="000000"/>
          <w:sz w:val="32"/>
          <w:szCs w:val="32"/>
        </w:rPr>
      </w:pPr>
      <w:r>
        <w:rPr>
          <w:rFonts w:hint="eastAsia" w:ascii="仿宋_GB2312" w:hAnsi="仿宋" w:eastAsia="仿宋_GB2312"/>
          <w:color w:val="000000"/>
          <w:sz w:val="32"/>
          <w:szCs w:val="32"/>
        </w:rPr>
        <w:t>(二)承办自治区政协领导同志交办的其他事项。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政协新疆维吾尔自治区委员会办公厅机关服务中心</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89</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58</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31</w:t>
      </w:r>
      <w:r>
        <w:rPr>
          <w:rFonts w:hint="eastAsia" w:ascii="仿宋_GB2312" w:eastAsia="仿宋_GB2312"/>
          <w:color w:val="auto"/>
          <w:sz w:val="32"/>
          <w:szCs w:val="32"/>
          <w:highlight w:val="none"/>
        </w:rPr>
        <w:t>人。</w:t>
      </w:r>
    </w:p>
    <w:p>
      <w:pPr>
        <w:pStyle w:val="15"/>
        <w:spacing w:line="560" w:lineRule="exact"/>
        <w:ind w:firstLine="560"/>
        <w:rPr>
          <w:rFonts w:hint="eastAsia" w:ascii="仿宋_GB2312" w:hAnsi="仿宋" w:eastAsia="仿宋_GB2312"/>
          <w:color w:val="000000"/>
          <w:sz w:val="32"/>
          <w:szCs w:val="32"/>
        </w:rPr>
      </w:pPr>
      <w:r>
        <w:rPr>
          <w:rFonts w:hint="eastAsia" w:ascii="仿宋_GB2312" w:hAnsi="仿宋" w:eastAsia="仿宋_GB2312"/>
          <w:color w:val="000000"/>
          <w:sz w:val="32"/>
          <w:szCs w:val="32"/>
        </w:rPr>
        <w:t>政协机关服务中心无下属预算单位，下设1个处室，分别是：政协机关服务中心。</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1,827.01万元，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1,827.01万元，使用非财政拨款结余0.00万元，年初结转和结余0.00万元。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1,827.01万元，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1,827.01万元，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增加38.52万元</w:t>
      </w:r>
      <w:r>
        <w:rPr>
          <w:rFonts w:hint="eastAsia" w:ascii="仿宋_GB2312" w:eastAsia="仿宋_GB2312"/>
          <w:color w:val="auto"/>
          <w:spacing w:val="0"/>
          <w:sz w:val="32"/>
          <w:szCs w:val="32"/>
          <w:highlight w:val="none"/>
          <w:lang w:eastAsia="zh-CN"/>
        </w:rPr>
        <w:t>，增长2.15%，主要原因是：编制内在职人员增资、社保、养老、住房公积金，退休人员等人员经费和追加年终绩效奖及抚恤金。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1,827.01</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1,826.82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0.19</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本年支出1,827.01万元，其中：基本支出1,128.01万元，占61.74%；项目支出699.00万元，占38.26%；上缴上级支出0.00万元，占0.00%；经营支出0.00万元，占0.00%；对附属单位补助支出0.00万元，占0.00%。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1,826.82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1,826.82</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1,826.82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1,826.82</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FF0000"/>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增加39.32万元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增长2.20%,</w:t>
      </w:r>
      <w:r>
        <w:rPr>
          <w:rFonts w:hint="eastAsia" w:ascii="仿宋_GB2312" w:eastAsia="仿宋_GB2312"/>
          <w:color w:val="auto"/>
          <w:spacing w:val="0"/>
          <w:sz w:val="32"/>
          <w:szCs w:val="32"/>
          <w:highlight w:val="none"/>
          <w:lang w:eastAsia="zh-CN"/>
        </w:rPr>
        <w:t>主要原因是：编制内在职人员增资、社保、养老、住房公积金，退休人员等人员经费和追加年终绩效奖及抚恤金。与年初预算相比，年初预算数</w:t>
      </w:r>
      <w:r>
        <w:rPr>
          <w:rFonts w:hint="eastAsia" w:ascii="仿宋_GB2312" w:eastAsia="仿宋_GB2312"/>
          <w:color w:val="auto"/>
          <w:spacing w:val="0"/>
          <w:sz w:val="32"/>
          <w:szCs w:val="32"/>
          <w:highlight w:val="none"/>
          <w:lang w:val="zh-CN" w:eastAsia="zh-CN"/>
        </w:rPr>
        <w:t>1,715.39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1,826.82</w:t>
      </w:r>
      <w:r>
        <w:rPr>
          <w:rFonts w:hint="eastAsia" w:ascii="仿宋_GB2312" w:eastAsia="仿宋_GB2312"/>
          <w:color w:val="auto"/>
          <w:spacing w:val="0"/>
          <w:sz w:val="32"/>
          <w:szCs w:val="32"/>
          <w:highlight w:val="none"/>
          <w:lang w:eastAsia="zh-CN"/>
        </w:rPr>
        <w:t>万元，预决算差异率6.50%，主要原因是：追加年终绩效奖及抚恤金。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2023年度一般公共预算财政拨款支出1,826.82万元，占本年支出合计的</w:t>
      </w:r>
      <w:r>
        <w:rPr>
          <w:rFonts w:hint="eastAsia" w:ascii="仿宋_GB2312" w:eastAsia="仿宋_GB2312"/>
          <w:color w:val="auto"/>
          <w:spacing w:val="0"/>
          <w:sz w:val="32"/>
          <w:szCs w:val="32"/>
          <w:highlight w:val="none"/>
          <w:lang w:val="zh-CN" w:eastAsia="zh-CN"/>
        </w:rPr>
        <w:t>99.99%</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增加39.32万元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增长2.20%,</w:t>
      </w:r>
      <w:r>
        <w:rPr>
          <w:rFonts w:hint="eastAsia" w:ascii="仿宋_GB2312" w:eastAsia="仿宋_GB2312"/>
          <w:color w:val="auto"/>
          <w:spacing w:val="0"/>
          <w:sz w:val="32"/>
          <w:szCs w:val="32"/>
          <w:highlight w:val="none"/>
          <w:lang w:eastAsia="zh-CN"/>
        </w:rPr>
        <w:t>主要原因是：编制内在职人员增资、社保、养老、住房公积金，退休人员等人员经费和追加年终绩效奖及抚恤金。与年初预算相比，年初预算数</w:t>
      </w:r>
      <w:r>
        <w:rPr>
          <w:rFonts w:hint="eastAsia" w:ascii="仿宋_GB2312" w:eastAsia="仿宋_GB2312"/>
          <w:color w:val="auto"/>
          <w:spacing w:val="0"/>
          <w:sz w:val="32"/>
          <w:szCs w:val="32"/>
          <w:highlight w:val="none"/>
          <w:lang w:val="zh-CN" w:eastAsia="zh-CN"/>
        </w:rPr>
        <w:t>1,715.39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1,826.82</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6.50%</w:t>
      </w:r>
      <w:r>
        <w:rPr>
          <w:rFonts w:hint="eastAsia" w:ascii="仿宋_GB2312" w:eastAsia="仿宋_GB2312"/>
          <w:color w:val="auto"/>
          <w:spacing w:val="0"/>
          <w:sz w:val="32"/>
          <w:szCs w:val="32"/>
          <w:highlight w:val="none"/>
          <w:lang w:eastAsia="zh-CN"/>
        </w:rPr>
        <w:t>，主要原因是：追加年终绩效奖及抚恤金。</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1,541.85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84.40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214.15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11.72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70.82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3.88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ind w:right="0" w:rightChars="0"/>
        <w:jc w:val="left"/>
        <w:textAlignment w:val="auto"/>
        <w:rPr>
          <w:rFonts w:hint="eastAsia" w:ascii="黑体" w:hAnsi="黑体" w:eastAsia="黑体"/>
          <w:color w:val="auto"/>
          <w:sz w:val="32"/>
          <w:szCs w:val="32"/>
          <w:highlight w:val="none"/>
          <w:lang w:eastAsia="zh-CN"/>
        </w:rPr>
      </w:pPr>
      <w:r>
        <w:rPr>
          <w:rFonts w:hint="eastAsia" w:ascii="仿宋_GB2312" w:eastAsia="仿宋_GB2312" w:cs="Times New Roman"/>
          <w:color w:val="auto"/>
          <w:spacing w:val="0"/>
          <w:kern w:val="2"/>
          <w:sz w:val="32"/>
          <w:szCs w:val="32"/>
          <w:lang w:val="en-US" w:eastAsia="zh-CN" w:bidi="ar-SA"/>
        </w:rPr>
        <w:t xml:space="preserve">    </w:t>
      </w: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Times New Roman" w:hAnsi="Times New Roman" w:eastAsia="仿宋_GB2312" w:cs="Times New Roman"/>
          <w:color w:val="auto"/>
          <w:kern w:val="2"/>
          <w:sz w:val="32"/>
          <w:szCs w:val="32"/>
          <w:highlight w:val="none"/>
          <w:lang w:val="en-US" w:eastAsia="zh-CN" w:bidi="ar-SA"/>
        </w:rPr>
        <w:t>1.一般公共服务支出（类）政协事务（款）机关服务（项）:支出决算数为1,541.85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46.72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3.12%，主要原因是：</w:t>
      </w:r>
      <w:r>
        <w:rPr>
          <w:rFonts w:hint="eastAsia" w:ascii="仿宋_GB2312" w:eastAsia="仿宋_GB2312"/>
          <w:color w:val="auto"/>
          <w:spacing w:val="0"/>
          <w:sz w:val="32"/>
          <w:szCs w:val="32"/>
          <w:highlight w:val="none"/>
          <w:lang w:eastAsia="zh-CN"/>
        </w:rPr>
        <w:t>编制内在职人员增资、追加抚恤金和部分功能科目调整。</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2.住房保障支出（类）住房改革支出（款）住房公积金（项）:支出决算数为70.82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9.68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15.84%，主要原因是：</w:t>
      </w:r>
      <w:r>
        <w:rPr>
          <w:rFonts w:hint="eastAsia" w:eastAsia="仿宋_GB2312" w:cs="Times New Roman"/>
          <w:color w:val="auto"/>
          <w:kern w:val="2"/>
          <w:sz w:val="32"/>
          <w:szCs w:val="32"/>
          <w:highlight w:val="none"/>
          <w:lang w:val="en-US" w:eastAsia="zh-CN" w:bidi="ar-SA"/>
        </w:rPr>
        <w:t>因</w:t>
      </w:r>
      <w:r>
        <w:rPr>
          <w:rFonts w:hint="eastAsia" w:ascii="Times New Roman" w:hAnsi="Times New Roman" w:eastAsia="仿宋_GB2312" w:cs="Times New Roman"/>
          <w:color w:val="auto"/>
          <w:kern w:val="2"/>
          <w:sz w:val="32"/>
          <w:szCs w:val="32"/>
          <w:highlight w:val="none"/>
          <w:lang w:val="zh-CN" w:eastAsia="zh-CN" w:bidi="ar-SA"/>
        </w:rPr>
        <w:t>人员</w:t>
      </w:r>
      <w:r>
        <w:rPr>
          <w:rFonts w:hint="eastAsia" w:eastAsia="仿宋_GB2312" w:cs="Times New Roman"/>
          <w:color w:val="auto"/>
          <w:kern w:val="2"/>
          <w:sz w:val="32"/>
          <w:szCs w:val="32"/>
          <w:highlight w:val="none"/>
          <w:lang w:val="zh-CN" w:eastAsia="zh-CN" w:bidi="ar-SA"/>
        </w:rPr>
        <w:t>调资后住房公积金缴费基数调增，住房公积金</w:t>
      </w:r>
      <w:r>
        <w:rPr>
          <w:rFonts w:hint="eastAsia" w:ascii="Times New Roman" w:hAnsi="Times New Roman" w:eastAsia="仿宋_GB2312" w:cs="Times New Roman"/>
          <w:color w:val="auto"/>
          <w:kern w:val="2"/>
          <w:sz w:val="32"/>
          <w:szCs w:val="32"/>
          <w:highlight w:val="none"/>
          <w:lang w:val="zh-CN" w:eastAsia="zh-CN" w:bidi="ar-SA"/>
        </w:rPr>
        <w:t>经费</w:t>
      </w:r>
      <w:r>
        <w:rPr>
          <w:rFonts w:hint="eastAsia" w:eastAsia="仿宋_GB2312" w:cs="Times New Roman"/>
          <w:color w:val="auto"/>
          <w:kern w:val="2"/>
          <w:sz w:val="32"/>
          <w:szCs w:val="32"/>
          <w:highlight w:val="none"/>
          <w:lang w:val="zh-CN" w:eastAsia="zh-CN" w:bidi="ar-SA"/>
        </w:rPr>
        <w:t>相应</w:t>
      </w:r>
      <w:r>
        <w:rPr>
          <w:rFonts w:hint="eastAsia" w:ascii="Times New Roman" w:hAnsi="Times New Roman" w:eastAsia="仿宋_GB2312" w:cs="Times New Roman"/>
          <w:color w:val="auto"/>
          <w:kern w:val="2"/>
          <w:sz w:val="32"/>
          <w:szCs w:val="32"/>
          <w:highlight w:val="none"/>
          <w:lang w:val="zh-CN" w:eastAsia="zh-CN" w:bidi="ar-SA"/>
        </w:rPr>
        <w:t>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auto"/>
          <w:spacing w:val="0"/>
          <w:sz w:val="32"/>
          <w:szCs w:val="32"/>
          <w:highlight w:val="none"/>
          <w:lang w:eastAsia="zh-CN"/>
        </w:rPr>
      </w:pPr>
      <w:r>
        <w:rPr>
          <w:rFonts w:hint="eastAsia" w:ascii="Times New Roman" w:hAnsi="Times New Roman" w:eastAsia="仿宋_GB2312" w:cs="Times New Roman"/>
          <w:color w:val="auto"/>
          <w:kern w:val="2"/>
          <w:sz w:val="32"/>
          <w:szCs w:val="32"/>
          <w:highlight w:val="none"/>
          <w:lang w:val="en-US" w:eastAsia="zh-CN" w:bidi="ar-SA"/>
        </w:rPr>
        <w:t>3.社会保障和就业支出（类）行政事业单位养老支出（款）事业单位离退休（项）:支出决算数为95.62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24.15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33.80%，主要原因是：</w:t>
      </w:r>
      <w:r>
        <w:rPr>
          <w:rFonts w:hint="eastAsia" w:ascii="仿宋_GB2312" w:eastAsia="仿宋_GB2312"/>
          <w:color w:val="auto"/>
          <w:spacing w:val="0"/>
          <w:sz w:val="32"/>
          <w:szCs w:val="32"/>
          <w:highlight w:val="none"/>
          <w:lang w:eastAsia="zh-CN"/>
        </w:rPr>
        <w:t>追加退休人员年终绩效奖。</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4.社会保障和就业支出（类）行政事业单位养老支出（款）机关事业单位职业年金缴费支出（项）:支出决算数为24.10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24.10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追加退休人员</w:t>
      </w:r>
      <w:r>
        <w:rPr>
          <w:rFonts w:hint="eastAsia" w:eastAsia="仿宋_GB2312" w:cs="Times New Roman"/>
          <w:color w:val="auto"/>
          <w:kern w:val="2"/>
          <w:sz w:val="32"/>
          <w:szCs w:val="32"/>
          <w:highlight w:val="none"/>
          <w:lang w:val="zh-CN" w:eastAsia="zh-CN" w:bidi="ar-SA"/>
        </w:rPr>
        <w:t>职业年金。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5.社会保障和就业支出（类）行政事业单位养老支出（款）机关事业单位基本养老保险缴费支出（项）:支出决算数为94.43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12.91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15.84%，主要原因是：</w:t>
      </w:r>
      <w:r>
        <w:rPr>
          <w:rFonts w:hint="eastAsia" w:ascii="仿宋_GB2312" w:eastAsia="仿宋_GB2312"/>
          <w:color w:val="auto"/>
          <w:spacing w:val="0"/>
          <w:sz w:val="32"/>
          <w:szCs w:val="32"/>
          <w:highlight w:val="none"/>
          <w:lang w:eastAsia="zh-CN"/>
        </w:rPr>
        <w:t>编制内在职人员增资，社保、养老人员经费增加。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6.卫生健康支出（类）行政事业单位医疗（款）事业单位医疗（项）:支出决算数为0.00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44.01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调整调剂支出功能科目</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7.卫生健康支出（类）行政事业单位医疗（款）公务员医疗补助（项）:支出决算数为0.00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34.23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调整调剂支出功能科目。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1,127.82</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1,084.91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基本工资、津贴补贴、奖金、绩效工资、机关事业单位基本养老保险缴费、职业年金缴费、职工基本医疗保险缴费、其他社会保障缴费、住房公积金、退休费、抚恤金、医疗费补助、其他对个人和家庭的补助。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42.92</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办公费、水费、邮电费、物业管理费、差旅费、培训费、工会经费、福利费</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主要原因是：我单位无财政拨款“三公”经费支出。其中：因公出国（境）费支出0.00万元，占0.00%，比上年增加0.00万元，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主要原因是：我单位无因公出国(境)费；公务用车购置及运行维护费支出0.00万元，占0.00%，比上年增加0.00万元，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主要原因是：我单位无公务用车购置及运行维护费；公务接待费支出0.00万元，占0.00%，比上年增加0.00万元，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主要原因是：我单位无公务接待费。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因公出国（境）费支出0.00万元，开支内容包括我单位无因公出国(境)费。单位全年安排的因公出国（境）团组0个，因公出国（境）0人次。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我单位无公务用车购置及运行维护费。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原因是：无差异。</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公务接待费0.00万元，开支内容包括我单位无公务接待费。单位全年安排的国内公务接待0批次，0人次。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预算数0.00万元，决算数0.00万元，预决算差异率0.00%，主要原因是：我单位无财政拨款“三公”经费支出。其中：因公出国（境）费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0.00万元，决算数0.00万元，预决算差异率0.00%，主要原因是：我单位无因公出国(境)费；公务用车购置费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预算数0.00万元，决算数0.00万元，预决算差异率0.00%，主要原因是：我单位无公务用车购置费；公务用车运行费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预算数0.00万元，决算数0.00万元，预决算差异率0.00%，主要原因是：我单位无公务用车运行维护费；公务接待费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预算数0.00万元，决算数0.00万元，预决算差异率0.00%，主要原因是：我单位无公务接待费。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政协新疆维吾尔自治区委员会办公厅机关服务中心（事业单位）公用经费支出42.92万元，</w:t>
      </w:r>
      <w:r>
        <w:rPr>
          <w:rFonts w:hint="eastAsia" w:ascii="Times New Roman" w:hAnsi="Times New Roman" w:eastAsia="仿宋_GB2312" w:cs="Times New Roman"/>
          <w:color w:val="auto"/>
          <w:sz w:val="32"/>
          <w:szCs w:val="32"/>
          <w:highlight w:val="none"/>
          <w:lang w:val="zh-CN" w:eastAsia="zh-CN"/>
        </w:rPr>
        <w:t>比上年减少25.2</w:t>
      </w:r>
      <w:r>
        <w:rPr>
          <w:rFonts w:hint="eastAsia" w:eastAsia="仿宋_GB2312" w:cs="Times New Roman"/>
          <w:color w:val="auto"/>
          <w:sz w:val="32"/>
          <w:szCs w:val="32"/>
          <w:highlight w:val="none"/>
          <w:lang w:val="en-US" w:eastAsia="zh-CN"/>
        </w:rPr>
        <w:t>8</w:t>
      </w:r>
      <w:r>
        <w:rPr>
          <w:rFonts w:hint="eastAsia" w:ascii="Times New Roman" w:hAnsi="Times New Roman" w:eastAsia="仿宋_GB2312" w:cs="Times New Roman"/>
          <w:color w:val="auto"/>
          <w:sz w:val="32"/>
          <w:szCs w:val="32"/>
          <w:highlight w:val="none"/>
          <w:lang w:val="zh-CN" w:eastAsia="zh-CN"/>
        </w:rPr>
        <w:t>万元，下降37.0</w:t>
      </w:r>
      <w:r>
        <w:rPr>
          <w:rFonts w:hint="eastAsia" w:eastAsia="仿宋_GB2312" w:cs="Times New Roman"/>
          <w:color w:val="auto"/>
          <w:sz w:val="32"/>
          <w:szCs w:val="32"/>
          <w:highlight w:val="none"/>
          <w:lang w:val="en-US" w:eastAsia="zh-CN"/>
        </w:rPr>
        <w:t>7</w:t>
      </w:r>
      <w:r>
        <w:rPr>
          <w:rFonts w:hint="eastAsia" w:ascii="Times New Roman" w:hAnsi="Times New Roman" w:eastAsia="仿宋_GB2312" w:cs="Times New Roman"/>
          <w:color w:val="auto"/>
          <w:sz w:val="32"/>
          <w:szCs w:val="32"/>
          <w:highlight w:val="none"/>
          <w:lang w:val="zh-CN" w:eastAsia="zh-CN"/>
        </w:rPr>
        <w:t>%，主要原因是：</w:t>
      </w:r>
      <w:r>
        <w:rPr>
          <w:rFonts w:hint="eastAsia" w:eastAsia="仿宋_GB2312" w:cs="Times New Roman"/>
          <w:color w:val="auto"/>
          <w:sz w:val="32"/>
          <w:szCs w:val="32"/>
          <w:highlight w:val="none"/>
          <w:lang w:val="zh-CN" w:eastAsia="zh-CN"/>
        </w:rPr>
        <w:t>取暖费支出科目调整调剂</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431.12万元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其中：政府采购货物支出214.58万元、政府采购工程支出0.00万元、政府采购服务支出216.54万元。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授予中小企业合同金额35.00万元，占政府采购支出总额的8.12</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，其中：授予小微企业合同金额35.00万元，占政府采购支出总额的8.12</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0.00</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屋0.0平方米，价值0.00万元。车辆0辆，价值0.00万元，其中：副部（省）级及以上领导用车0辆、主要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用车0辆、其他用车0辆，其他用车主要是：</w:t>
      </w:r>
      <w:r>
        <w:rPr>
          <w:rFonts w:hint="eastAsia" w:eastAsia="仿宋_GB2312" w:cs="Times New Roman"/>
          <w:color w:val="auto"/>
          <w:sz w:val="32"/>
          <w:szCs w:val="32"/>
          <w:highlight w:val="none"/>
          <w:lang w:val="zh-CN" w:eastAsia="zh-CN"/>
        </w:rPr>
        <w:t>我单位无其它用车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spacing w:line="600" w:lineRule="exact"/>
        <w:ind w:firstLine="640" w:firstLineChars="200"/>
        <w:jc w:val="left"/>
        <w:rPr>
          <w:rFonts w:ascii="仿宋_GB2312" w:hAnsi="宋体" w:eastAsia="仿宋_GB2312"/>
          <w:bCs/>
          <w:sz w:val="32"/>
          <w:szCs w:val="32"/>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。我单位整体支出绩效自评表由主管单位编制并公开。预算绩效评价项目</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全年预算数699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全年执行数699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将绩效监控理念贯穿到预算管理的全过程,推进了财政资金使用良性循环；二是完善绩效问责制度，本着“谁用款、谁负责”的原则,在预算编制和执行过程中绩效管理目标与责任人的年度工作目标考核挂钩,形成预算绩效管理的威慑力，</w:t>
      </w:r>
      <w:r>
        <w:rPr>
          <w:rFonts w:hint="eastAsia" w:ascii="仿宋_GB2312" w:hAnsi="宋体" w:eastAsia="仿宋_GB2312"/>
          <w:bCs/>
          <w:sz w:val="32"/>
          <w:szCs w:val="32"/>
          <w:lang w:eastAsia="zh-CN"/>
        </w:rPr>
        <w:t>有力推进</w:t>
      </w:r>
      <w:r>
        <w:rPr>
          <w:rFonts w:hint="eastAsia" w:ascii="仿宋_GB2312" w:hAnsi="宋体" w:eastAsia="仿宋_GB2312"/>
          <w:bCs/>
          <w:sz w:val="32"/>
          <w:szCs w:val="32"/>
        </w:rPr>
        <w:t>自治区政协机关后勤保障工作</w:t>
      </w:r>
      <w:r>
        <w:rPr>
          <w:rFonts w:hint="eastAsia" w:ascii="仿宋_GB2312" w:hAnsi="宋体" w:eastAsia="仿宋_GB2312"/>
          <w:bCs/>
          <w:sz w:val="32"/>
          <w:szCs w:val="32"/>
          <w:lang w:eastAsia="zh-CN"/>
        </w:rPr>
        <w:t>提质增效</w:t>
      </w:r>
      <w:r>
        <w:rPr>
          <w:rFonts w:hint="eastAsia" w:ascii="仿宋_GB2312" w:eastAsia="仿宋_GB2312"/>
          <w:color w:val="auto"/>
          <w:sz w:val="32"/>
          <w:szCs w:val="32"/>
          <w:highlight w:val="none"/>
          <w:lang w:eastAsia="zh-CN"/>
        </w:rPr>
        <w:t>。发现的问题及原因：一是对预算资金绩效管理的认识不足,没有深入人心；二是评价指标设计相对单一,需要进一步完善。问题产生的原因:绩效监控管理法律法规不健全,形成制度制约瓶颈。下一步改进措施：一是</w:t>
      </w:r>
      <w:r>
        <w:rPr>
          <w:rFonts w:hint="eastAsia" w:ascii="仿宋_GB2312" w:hAnsi="宋体" w:eastAsia="仿宋_GB2312"/>
          <w:bCs/>
          <w:sz w:val="32"/>
          <w:szCs w:val="32"/>
        </w:rPr>
        <w:t>制订年度绩效管理目标实施方案，明确职责分工、时序进度和目标要求，重点改进绩效监控和绩效自评工作，适时开展监控预警和动态纠偏整改，用“容错纠错”的空间，换取促进机关整体绩效提升的余地</w:t>
      </w:r>
      <w:r>
        <w:rPr>
          <w:rFonts w:hint="eastAsia" w:ascii="仿宋_GB2312" w:eastAsia="仿宋_GB2312"/>
          <w:color w:val="auto"/>
          <w:sz w:val="32"/>
          <w:szCs w:val="32"/>
          <w:highlight w:val="none"/>
          <w:lang w:eastAsia="zh-CN"/>
        </w:rPr>
        <w:t>；二是</w:t>
      </w:r>
      <w:r>
        <w:rPr>
          <w:rFonts w:hint="eastAsia" w:ascii="仿宋_GB2312" w:hAnsi="宋体" w:eastAsia="仿宋_GB2312"/>
          <w:bCs/>
          <w:sz w:val="32"/>
          <w:szCs w:val="32"/>
        </w:rPr>
        <w:t>提高部门预算和预算绩效指标编制水平。突出“全方位、全覆盖”要求，将优化预算结构作为设定所有项目绩效目标的前置条件，挤干各处室担心资金不足而人为加大预算资金的水分，确保部门预算的真实准确、绩效目标切实可行</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仿宋_GB2312" w:hAnsi="宋体" w:eastAsia="仿宋_GB2312"/>
          <w:bCs/>
          <w:sz w:val="32"/>
          <w:szCs w:val="32"/>
        </w:rPr>
        <w:t xml:space="preserve"> </w:t>
      </w: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2"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modern"/>
    <w:pitch w:val="default"/>
    <w:sig w:usb0="00000000" w:usb1="00000000" w:usb2="00000009" w:usb3="00000000" w:csb0="400001FF" w:csb1="FFFF0000"/>
  </w:font>
  <w:font w:name="宋体">
    <w:altName w:val="方正书宋_GBK"/>
    <w:panose1 w:val="02010600030101010101"/>
    <w:charset w:val="50"/>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swiss"/>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false" upright="fals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FgAAAGRycy9QSwECFAAUAAAACACHTuJAzql5uc8AAAAFAQAADwAAAAAAAAABACAA&#10;AAA4AAAAZHJzL2Rvd25yZXYueG1sUEsBAhQAFAAAAAgAh07iQBCr8CPHAQAAewMAAA4AAAAAAAAA&#10;AQAgAAAANA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2"/>
  <w:bordersDoNotSurroundHeader w:val="false"/>
  <w:bordersDoNotSurroundFooter w:val="false"/>
  <w:documentProtection w:enforcement="0"/>
  <w:defaultTabStop w:val="420"/>
  <w:hyphenationZone w:val="36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138DD"/>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6E56313"/>
    <w:rsid w:val="37490E10"/>
    <w:rsid w:val="379CA357"/>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2FBD36"/>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7FDEC1B"/>
    <w:rsid w:val="58175352"/>
    <w:rsid w:val="581F2200"/>
    <w:rsid w:val="583059FA"/>
    <w:rsid w:val="584A0929"/>
    <w:rsid w:val="58CD2491"/>
    <w:rsid w:val="591B41B2"/>
    <w:rsid w:val="59254A26"/>
    <w:rsid w:val="59326325"/>
    <w:rsid w:val="595C505B"/>
    <w:rsid w:val="595E55C3"/>
    <w:rsid w:val="596E7E20"/>
    <w:rsid w:val="59BF2A58"/>
    <w:rsid w:val="5A60780B"/>
    <w:rsid w:val="5AB34579"/>
    <w:rsid w:val="5AFC6609"/>
    <w:rsid w:val="5B113480"/>
    <w:rsid w:val="5BAFAE2A"/>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D77517"/>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DE6CDCE"/>
    <w:rsid w:val="6E0E35C4"/>
    <w:rsid w:val="6E0F7A08"/>
    <w:rsid w:val="6E3947F5"/>
    <w:rsid w:val="6E3C2C54"/>
    <w:rsid w:val="6E9C74ED"/>
    <w:rsid w:val="6EF72976"/>
    <w:rsid w:val="6F5B2716"/>
    <w:rsid w:val="6F5FD6BF"/>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39758"/>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B0F5A77"/>
    <w:rsid w:val="7BFB49BD"/>
    <w:rsid w:val="7C7248A0"/>
    <w:rsid w:val="7C976D69"/>
    <w:rsid w:val="7CD752DA"/>
    <w:rsid w:val="7CDE40AB"/>
    <w:rsid w:val="7CED2A10"/>
    <w:rsid w:val="7CF057E2"/>
    <w:rsid w:val="7D1548B5"/>
    <w:rsid w:val="7D730400"/>
    <w:rsid w:val="7DF84014"/>
    <w:rsid w:val="7DFF640D"/>
    <w:rsid w:val="7E207949"/>
    <w:rsid w:val="7E5C0A47"/>
    <w:rsid w:val="7E670C75"/>
    <w:rsid w:val="7EE24272"/>
    <w:rsid w:val="7EEA6053"/>
    <w:rsid w:val="7EFF874B"/>
    <w:rsid w:val="7F487C04"/>
    <w:rsid w:val="7F5F900A"/>
    <w:rsid w:val="7FB45F21"/>
    <w:rsid w:val="7FE57088"/>
    <w:rsid w:val="7FEB8BFA"/>
    <w:rsid w:val="7FF37FA3"/>
    <w:rsid w:val="7FFFE5B0"/>
    <w:rsid w:val="AFEBA236"/>
    <w:rsid w:val="B86FBB16"/>
    <w:rsid w:val="BBF9B326"/>
    <w:rsid w:val="BDA5A360"/>
    <w:rsid w:val="EA7F2321"/>
    <w:rsid w:val="EDDFD196"/>
    <w:rsid w:val="EFF1F155"/>
    <w:rsid w:val="F37F1D00"/>
    <w:rsid w:val="F7F5516D"/>
    <w:rsid w:val="FBF74F51"/>
    <w:rsid w:val="FD5841B9"/>
    <w:rsid w:val="FEB68750"/>
    <w:rsid w:val="FF7F2216"/>
    <w:rsid w:val="FF7F50AF"/>
    <w:rsid w:val="FFB3159E"/>
    <w:rsid w:val="FFBE4A4D"/>
    <w:rsid w:val="FFFCD7F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List Paragraph"/>
    <w:basedOn w:val="1"/>
    <w:qFormat/>
    <w:uiPriority w:val="0"/>
    <w:pPr>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6480</Words>
  <Characters>20825</Characters>
  <Lines>0</Lines>
  <Paragraphs>0</Paragraphs>
  <TotalTime>18</TotalTime>
  <ScaleCrop>false</ScaleCrop>
  <LinksUpToDate>false</LinksUpToDate>
  <CharactersWithSpaces>20937</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2014-11-03T04:08:00Z</dcterms:created>
  <dc:creator>GXR</dc:creator>
  <cp:lastModifiedBy>user</cp:lastModifiedBy>
  <cp:lastPrinted>2024-08-28T12:11:39Z</cp:lastPrinted>
  <dcterms:modified xsi:type="dcterms:W3CDTF">2024-08-28T12:11:46Z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D624B15633CD43C8BF9435464A96BF70</vt:lpwstr>
  </property>
</Properties>
</file>