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eastAsia" w:ascii="黑体" w:hAnsi="黑体" w:eastAsia="黑体"/>
          <w:color w:val="auto"/>
          <w:sz w:val="32"/>
          <w:szCs w:val="32"/>
          <w:highlight w:val="none"/>
          <w:lang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简体" w:hAnsi="方正小标宋简体" w:eastAsia="方正小标宋简体" w:cs="方正小标宋简体"/>
          <w:color w:val="auto"/>
          <w:sz w:val="44"/>
          <w:szCs w:val="44"/>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简体" w:hAnsi="方正小标宋简体" w:eastAsia="方正小标宋简体" w:cs="方正小标宋简体"/>
          <w:color w:val="auto"/>
          <w:sz w:val="44"/>
          <w:szCs w:val="44"/>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简体" w:hAnsi="方正小标宋简体" w:eastAsia="方正小标宋简体" w:cs="方正小标宋简体"/>
          <w:color w:val="auto"/>
          <w:sz w:val="44"/>
          <w:szCs w:val="44"/>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简体" w:hAnsi="方正小标宋简体" w:eastAsia="方正小标宋简体" w:cs="方正小标宋简体"/>
          <w:color w:val="auto"/>
          <w:sz w:val="44"/>
          <w:szCs w:val="44"/>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亚洲中心时报社(《新疆政协》杂志社）</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CN"/>
        </w:rPr>
        <w:t xml:space="preserve"> 2023年度单位</w:t>
      </w:r>
      <w:r>
        <w:rPr>
          <w:rFonts w:hint="eastAsia" w:ascii="方正小标宋简体" w:hAnsi="方正小标宋简体" w:eastAsia="方正小标宋简体" w:cs="方正小标宋简体"/>
          <w:color w:val="auto"/>
          <w:sz w:val="44"/>
          <w:szCs w:val="44"/>
          <w:highlight w:val="none"/>
        </w:rPr>
        <w:t>决算公开说明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2"/>
          <w:szCs w:val="32"/>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color w:val="auto"/>
          <w:sz w:val="32"/>
          <w:szCs w:val="32"/>
          <w:highlight w:val="none"/>
        </w:rPr>
      </w:pPr>
      <w:bookmarkStart w:id="0" w:name="_Toc24028"/>
      <w:bookmarkStart w:id="1" w:name="_Toc32314"/>
      <w:r>
        <w:rPr>
          <w:rFonts w:hint="eastAsia" w:ascii="黑体" w:hAnsi="黑体" w:eastAsia="黑体" w:cs="黑体"/>
          <w:color w:val="auto"/>
          <w:sz w:val="32"/>
          <w:szCs w:val="32"/>
          <w:highlight w:val="none"/>
        </w:rPr>
        <w:t xml:space="preserve">第一部分 </w:t>
      </w:r>
      <w:r>
        <w:rPr>
          <w:rFonts w:hint="eastAsia" w:ascii="黑体" w:hAnsi="黑体" w:eastAsia="黑体" w:cs="黑体"/>
          <w:color w:val="auto"/>
          <w:sz w:val="32"/>
          <w:szCs w:val="32"/>
          <w:highlight w:val="none"/>
          <w:lang w:eastAsia="zh-CN"/>
        </w:rPr>
        <w:t>单位</w:t>
      </w:r>
      <w:r>
        <w:rPr>
          <w:rFonts w:hint="eastAsia" w:ascii="黑体" w:hAnsi="黑体" w:eastAsia="黑体" w:cs="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color w:val="auto"/>
          <w:kern w:val="0"/>
          <w:sz w:val="32"/>
          <w:szCs w:val="32"/>
          <w:highlight w:val="none"/>
        </w:rPr>
      </w:pPr>
      <w:bookmarkStart w:id="2" w:name="_Toc30567"/>
      <w:bookmarkStart w:id="3" w:name="_Toc30738"/>
      <w:r>
        <w:rPr>
          <w:rFonts w:hint="eastAsia" w:ascii="黑体" w:hAnsi="黑体" w:eastAsia="黑体" w:cs="黑体"/>
          <w:bCs/>
          <w:color w:val="auto"/>
          <w:kern w:val="0"/>
          <w:sz w:val="32"/>
          <w:szCs w:val="32"/>
          <w:highlight w:val="none"/>
        </w:rPr>
        <w:t>一、主要职能</w:t>
      </w:r>
      <w:bookmarkEnd w:id="2"/>
      <w:bookmarkEnd w:id="3"/>
    </w:p>
    <w:p>
      <w:pPr>
        <w:pStyle w:val="15"/>
        <w:keepNext w:val="0"/>
        <w:keepLines w:val="0"/>
        <w:pageBreakBefore w:val="0"/>
        <w:widowControl w:val="0"/>
        <w:kinsoku/>
        <w:wordWrap/>
        <w:overflowPunct/>
        <w:topLinePunct w:val="0"/>
        <w:autoSpaceDE/>
        <w:autoSpaceDN/>
        <w:bidi w:val="0"/>
        <w:adjustRightInd/>
        <w:snapToGrid/>
        <w:spacing w:line="520" w:lineRule="exact"/>
        <w:ind w:firstLine="56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《亚洲中心时报》是政协新疆维吾尔自治区委员会机关报，也是我区唯一宣传人民政协和统一战线工作的面向全国发行的专业性报纸，以汉、维吾尔、哈萨克三种文版出版发行，目前已形成“一报、</w:t>
      </w:r>
      <w:r>
        <w:rPr>
          <w:rFonts w:hint="eastAsia" w:ascii="仿宋_GB2312" w:hAnsi="仿宋_GB2312" w:eastAsia="仿宋_GB2312" w:cs="仿宋_GB2312"/>
          <w:color w:val="000000"/>
          <w:sz w:val="32"/>
          <w:szCs w:val="32"/>
          <w:lang w:eastAsia="zh-CN"/>
        </w:rPr>
        <w:t>一刊、</w:t>
      </w:r>
      <w:r>
        <w:rPr>
          <w:rFonts w:hint="eastAsia" w:ascii="仿宋_GB2312" w:hAnsi="仿宋_GB2312" w:eastAsia="仿宋_GB2312" w:cs="仿宋_GB2312"/>
          <w:color w:val="000000"/>
          <w:sz w:val="32"/>
          <w:szCs w:val="32"/>
        </w:rPr>
        <w:t xml:space="preserve">两微、一端”的全媒体宣传格局。 </w:t>
      </w:r>
    </w:p>
    <w:p>
      <w:pPr>
        <w:pStyle w:val="15"/>
        <w:keepNext w:val="0"/>
        <w:keepLines w:val="0"/>
        <w:pageBreakBefore w:val="0"/>
        <w:widowControl w:val="0"/>
        <w:kinsoku/>
        <w:wordWrap/>
        <w:overflowPunct/>
        <w:topLinePunct w:val="0"/>
        <w:autoSpaceDE/>
        <w:autoSpaceDN/>
        <w:bidi w:val="0"/>
        <w:adjustRightInd/>
        <w:snapToGrid/>
        <w:spacing w:line="520" w:lineRule="exact"/>
        <w:ind w:firstLine="56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我单位坚持“立足政协统战，服务社会发展”的办报方针，积极宣传中国共产党领导的多党合作和政治协商制度，宣传统一战线和人民政协理论，宣传各级政协组织、政协委员、各民主党派和工商联及社会各界，为推进新疆改革发展稳定事业所作出的突出贡献和先进事迹，为各级政协组织履行职能服务，为广大政协委员参政议政服务，为推动中国式现代化新疆实践提供舆论支持。</w:t>
      </w:r>
    </w:p>
    <w:p>
      <w:pPr>
        <w:pStyle w:val="15"/>
        <w:keepNext w:val="0"/>
        <w:keepLines w:val="0"/>
        <w:pageBreakBefore w:val="0"/>
        <w:widowControl w:val="0"/>
        <w:kinsoku/>
        <w:wordWrap/>
        <w:overflowPunct/>
        <w:topLinePunct w:val="0"/>
        <w:autoSpaceDE/>
        <w:autoSpaceDN/>
        <w:bidi w:val="0"/>
        <w:adjustRightInd/>
        <w:snapToGrid/>
        <w:spacing w:line="520" w:lineRule="exact"/>
        <w:ind w:firstLine="560"/>
        <w:jc w:val="both"/>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近年来，我单位坚持以习近平新时代中国特色社会主义思想为指导，深入学习宣传贯彻党的十九大、二十大精神，学习宣传贯彻第二次、第三次中央新疆工作座谈会精神，牢牢把握正确政治方向和舆论导向，开设了“深入学习贯彻</w:t>
      </w:r>
      <w:r>
        <w:rPr>
          <w:rFonts w:hint="eastAsia" w:ascii="仿宋_GB2312" w:hAnsi="仿宋_GB2312" w:eastAsia="仿宋_GB2312" w:cs="仿宋_GB2312"/>
          <w:color w:val="000000"/>
          <w:sz w:val="32"/>
          <w:szCs w:val="32"/>
          <w:lang w:eastAsia="zh-CN"/>
        </w:rPr>
        <w:t>习近平新时代中国特色社会主义思想</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lang w:eastAsia="zh-CN"/>
        </w:rPr>
        <w:t>“牢记殷殷嘱托</w:t>
      </w:r>
      <w:r>
        <w:rPr>
          <w:rFonts w:hint="eastAsia" w:ascii="仿宋_GB2312" w:hAnsi="仿宋_GB2312" w:eastAsia="仿宋_GB2312" w:cs="仿宋_GB2312"/>
          <w:color w:val="000000"/>
          <w:sz w:val="32"/>
          <w:szCs w:val="32"/>
          <w:lang w:val="en-US" w:eastAsia="zh-CN"/>
        </w:rPr>
        <w:t xml:space="preserve"> </w:t>
      </w:r>
      <w:r>
        <w:rPr>
          <w:rFonts w:hint="eastAsia" w:ascii="仿宋_GB2312" w:hAnsi="仿宋_GB2312" w:eastAsia="仿宋_GB2312" w:cs="仿宋_GB2312"/>
          <w:color w:val="000000"/>
          <w:sz w:val="32"/>
          <w:szCs w:val="32"/>
          <w:lang w:eastAsia="zh-CN"/>
        </w:rPr>
        <w:t>建设美丽新疆”</w:t>
      </w:r>
      <w:r>
        <w:rPr>
          <w:rFonts w:hint="eastAsia" w:ascii="仿宋_GB2312" w:hAnsi="仿宋_GB2312" w:eastAsia="仿宋_GB2312" w:cs="仿宋_GB2312"/>
          <w:color w:val="000000"/>
          <w:sz w:val="32"/>
          <w:szCs w:val="32"/>
        </w:rPr>
        <w:t>“奋进新征程 建功新时代”“协商在基层”“主席话履职”等专栏，通过三种文版报纸</w:t>
      </w:r>
      <w:r>
        <w:rPr>
          <w:rFonts w:hint="eastAsia" w:ascii="仿宋_GB2312" w:hAnsi="仿宋_GB2312" w:eastAsia="仿宋_GB2312" w:cs="仿宋_GB2312"/>
          <w:color w:val="000000"/>
          <w:sz w:val="32"/>
          <w:szCs w:val="32"/>
          <w:lang w:eastAsia="zh-CN"/>
        </w:rPr>
        <w:t>、《新疆政协》内部资料性出版物和新媒体平台</w:t>
      </w:r>
      <w:r>
        <w:rPr>
          <w:rFonts w:hint="eastAsia" w:ascii="仿宋_GB2312" w:hAnsi="仿宋_GB2312" w:eastAsia="仿宋_GB2312" w:cs="仿宋_GB2312"/>
          <w:color w:val="000000"/>
          <w:sz w:val="32"/>
          <w:szCs w:val="32"/>
        </w:rPr>
        <w:t>，全面报道我区各级政协组织坚持</w:t>
      </w:r>
      <w:r>
        <w:rPr>
          <w:rFonts w:hint="eastAsia" w:ascii="仿宋_GB2312" w:hAnsi="仿宋_GB2312" w:eastAsia="仿宋_GB2312" w:cs="仿宋_GB2312"/>
          <w:color w:val="000000"/>
          <w:sz w:val="32"/>
          <w:szCs w:val="32"/>
          <w:lang w:eastAsia="zh-CN"/>
        </w:rPr>
        <w:t>建言资政和凝聚共识</w:t>
      </w:r>
      <w:r>
        <w:rPr>
          <w:rFonts w:hint="eastAsia" w:ascii="仿宋_GB2312" w:hAnsi="仿宋_GB2312" w:eastAsia="仿宋_GB2312" w:cs="仿宋_GB2312"/>
          <w:color w:val="000000"/>
          <w:sz w:val="32"/>
          <w:szCs w:val="32"/>
        </w:rPr>
        <w:t>双向发力的生动实践，努力讲好政协故事、传播政协声音、展示政协形象、扩大政协影响，为巩固共同思想政治基础、铸牢中华民族共同体意识作出了积极贡献。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color w:val="auto"/>
          <w:kern w:val="0"/>
          <w:sz w:val="32"/>
          <w:szCs w:val="32"/>
          <w:highlight w:val="none"/>
        </w:rPr>
      </w:pPr>
      <w:bookmarkStart w:id="4" w:name="_Toc31238"/>
      <w:bookmarkStart w:id="5" w:name="_Toc2151"/>
      <w:r>
        <w:rPr>
          <w:rFonts w:hint="eastAsia" w:ascii="黑体" w:hAnsi="黑体" w:eastAsia="黑体" w:cs="黑体"/>
          <w:bCs/>
          <w:color w:val="auto"/>
          <w:kern w:val="0"/>
          <w:sz w:val="32"/>
          <w:szCs w:val="32"/>
          <w:highlight w:val="none"/>
        </w:rPr>
        <w:t>二、机构设置</w:t>
      </w:r>
      <w:r>
        <w:rPr>
          <w:rFonts w:hint="eastAsia" w:ascii="黑体" w:hAnsi="黑体" w:eastAsia="黑体" w:cs="黑体"/>
          <w:bCs/>
          <w:color w:val="auto"/>
          <w:kern w:val="0"/>
          <w:sz w:val="32"/>
          <w:szCs w:val="32"/>
          <w:highlight w:val="none"/>
          <w:lang w:eastAsia="zh-CN"/>
        </w:rPr>
        <w:t>及</w:t>
      </w:r>
      <w:bookmarkEnd w:id="4"/>
      <w:r>
        <w:rPr>
          <w:rFonts w:hint="eastAsia" w:ascii="黑体" w:hAnsi="黑体" w:eastAsia="黑体" w:cs="黑体"/>
          <w:bCs/>
          <w:color w:val="auto"/>
          <w:kern w:val="0"/>
          <w:sz w:val="32"/>
          <w:szCs w:val="32"/>
          <w:highlight w:val="none"/>
          <w:lang w:eastAsia="zh-CN"/>
        </w:rPr>
        <w:t>人员</w:t>
      </w:r>
      <w:r>
        <w:rPr>
          <w:rFonts w:hint="eastAsia" w:ascii="黑体" w:hAnsi="黑体" w:eastAsia="黑体" w:cs="黑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b/>
          <w:color w:val="auto"/>
          <w:sz w:val="32"/>
          <w:szCs w:val="32"/>
          <w:highlight w:val="none"/>
        </w:rPr>
      </w:pPr>
      <w:r>
        <w:rPr>
          <w:rFonts w:hint="eastAsia" w:ascii="仿宋_GB2312" w:hAnsi="仿宋_GB2312" w:eastAsia="仿宋_GB2312" w:cs="仿宋_GB2312"/>
          <w:color w:val="auto"/>
          <w:sz w:val="32"/>
          <w:szCs w:val="32"/>
          <w:highlight w:val="none"/>
          <w:lang w:val="en-US" w:eastAsia="zh-CN"/>
        </w:rPr>
        <w:t>亚洲中心时报社(《新疆政协》杂志社）</w:t>
      </w:r>
      <w:r>
        <w:rPr>
          <w:rFonts w:hint="eastAsia" w:ascii="仿宋_GB2312" w:hAnsi="仿宋_GB2312" w:eastAsia="仿宋_GB2312" w:cs="仿宋_GB2312"/>
          <w:color w:val="auto"/>
          <w:sz w:val="32"/>
          <w:szCs w:val="32"/>
          <w:highlight w:val="none"/>
          <w:lang w:eastAsia="zh-CN"/>
        </w:rPr>
        <w:t>2023年度，</w:t>
      </w:r>
      <w:r>
        <w:rPr>
          <w:rFonts w:hint="eastAsia" w:ascii="仿宋_GB2312" w:hAnsi="仿宋_GB2312" w:eastAsia="仿宋_GB2312" w:cs="仿宋_GB2312"/>
          <w:color w:val="auto"/>
          <w:sz w:val="32"/>
          <w:szCs w:val="32"/>
          <w:highlight w:val="none"/>
        </w:rPr>
        <w:t>实有人数</w:t>
      </w:r>
      <w:r>
        <w:rPr>
          <w:rFonts w:hint="eastAsia" w:ascii="仿宋_GB2312" w:hAnsi="仿宋_GB2312" w:eastAsia="仿宋_GB2312" w:cs="仿宋_GB2312"/>
          <w:color w:val="auto"/>
          <w:sz w:val="32"/>
          <w:szCs w:val="32"/>
          <w:highlight w:val="none"/>
          <w:lang w:val="zh-CN" w:eastAsia="zh-CN"/>
        </w:rPr>
        <w:t>26</w:t>
      </w:r>
      <w:r>
        <w:rPr>
          <w:rFonts w:hint="eastAsia" w:ascii="仿宋_GB2312" w:hAnsi="仿宋_GB2312" w:eastAsia="仿宋_GB2312" w:cs="仿宋_GB2312"/>
          <w:color w:val="auto"/>
          <w:sz w:val="32"/>
          <w:szCs w:val="32"/>
          <w:highlight w:val="none"/>
        </w:rPr>
        <w:t>人，其中：在职人员</w:t>
      </w:r>
      <w:r>
        <w:rPr>
          <w:rFonts w:hint="eastAsia" w:ascii="仿宋_GB2312" w:hAnsi="仿宋_GB2312" w:eastAsia="仿宋_GB2312" w:cs="仿宋_GB2312"/>
          <w:color w:val="auto"/>
          <w:sz w:val="32"/>
          <w:szCs w:val="32"/>
          <w:highlight w:val="none"/>
          <w:lang w:val="zh-CN" w:eastAsia="zh-CN"/>
        </w:rPr>
        <w:t>14</w:t>
      </w:r>
      <w:r>
        <w:rPr>
          <w:rFonts w:hint="eastAsia" w:ascii="仿宋_GB2312" w:hAnsi="仿宋_GB2312" w:eastAsia="仿宋_GB2312" w:cs="仿宋_GB2312"/>
          <w:color w:val="auto"/>
          <w:sz w:val="32"/>
          <w:szCs w:val="32"/>
          <w:highlight w:val="none"/>
        </w:rPr>
        <w:t>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离休人员</w:t>
      </w:r>
      <w:r>
        <w:rPr>
          <w:rFonts w:hint="eastAsia" w:ascii="仿宋_GB2312" w:hAnsi="仿宋_GB2312" w:eastAsia="仿宋_GB2312" w:cs="仿宋_GB2312"/>
          <w:color w:val="auto"/>
          <w:sz w:val="32"/>
          <w:szCs w:val="32"/>
          <w:highlight w:val="none"/>
          <w:lang w:val="zh-CN" w:eastAsia="zh-CN"/>
        </w:rPr>
        <w:t>0</w:t>
      </w:r>
      <w:r>
        <w:rPr>
          <w:rFonts w:hint="eastAsia" w:ascii="仿宋_GB2312" w:hAnsi="仿宋_GB2312" w:eastAsia="仿宋_GB2312" w:cs="仿宋_GB2312"/>
          <w:color w:val="auto"/>
          <w:sz w:val="32"/>
          <w:szCs w:val="32"/>
          <w:highlight w:val="none"/>
        </w:rPr>
        <w:t>人，退休人员</w:t>
      </w:r>
      <w:r>
        <w:rPr>
          <w:rFonts w:hint="eastAsia" w:ascii="仿宋_GB2312" w:hAnsi="仿宋_GB2312" w:eastAsia="仿宋_GB2312" w:cs="仿宋_GB2312"/>
          <w:color w:val="auto"/>
          <w:sz w:val="32"/>
          <w:szCs w:val="32"/>
          <w:highlight w:val="none"/>
          <w:lang w:val="zh-CN" w:eastAsia="zh-CN"/>
        </w:rPr>
        <w:t>12</w:t>
      </w:r>
      <w:r>
        <w:rPr>
          <w:rFonts w:hint="eastAsia" w:ascii="仿宋_GB2312" w:hAnsi="仿宋_GB2312" w:eastAsia="仿宋_GB2312" w:cs="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Cs/>
          <w:color w:val="auto"/>
          <w:kern w:val="0"/>
          <w:sz w:val="32"/>
          <w:szCs w:val="32"/>
          <w:highlight w:val="none"/>
        </w:rPr>
        <w:t>单位无下属预算单位，下设</w:t>
      </w:r>
      <w:r>
        <w:rPr>
          <w:rFonts w:hint="eastAsia" w:ascii="仿宋_GB2312" w:hAnsi="仿宋_GB2312" w:eastAsia="仿宋_GB2312" w:cs="仿宋_GB2312"/>
          <w:bCs/>
          <w:color w:val="auto"/>
          <w:kern w:val="0"/>
          <w:sz w:val="32"/>
          <w:szCs w:val="32"/>
          <w:highlight w:val="none"/>
          <w:lang w:val="en-US" w:eastAsia="zh-CN"/>
        </w:rPr>
        <w:t>10</w:t>
      </w:r>
      <w:r>
        <w:rPr>
          <w:rFonts w:hint="eastAsia" w:ascii="仿宋_GB2312" w:hAnsi="仿宋_GB2312" w:eastAsia="仿宋_GB2312" w:cs="仿宋_GB2312"/>
          <w:bCs/>
          <w:color w:val="auto"/>
          <w:kern w:val="0"/>
          <w:sz w:val="32"/>
          <w:szCs w:val="32"/>
          <w:highlight w:val="none"/>
        </w:rPr>
        <w:t>个处室，分别是：</w:t>
      </w:r>
      <w:r>
        <w:rPr>
          <w:rFonts w:hint="eastAsia" w:ascii="仿宋_GB2312" w:hAnsi="仿宋_GB2312" w:eastAsia="仿宋_GB2312" w:cs="仿宋_GB2312"/>
          <w:bCs/>
          <w:kern w:val="0"/>
          <w:sz w:val="32"/>
          <w:szCs w:val="32"/>
        </w:rPr>
        <w:t>汉文编辑部、维吾尔文编辑部、哈萨克文编辑部、记者部、</w:t>
      </w:r>
      <w:r>
        <w:rPr>
          <w:rFonts w:hint="eastAsia" w:ascii="仿宋_GB2312" w:hAnsi="仿宋_GB2312" w:eastAsia="仿宋_GB2312" w:cs="仿宋_GB2312"/>
          <w:bCs/>
          <w:kern w:val="0"/>
          <w:sz w:val="32"/>
          <w:szCs w:val="32"/>
          <w:lang w:eastAsia="zh-CN"/>
        </w:rPr>
        <w:t>新媒体部、</w:t>
      </w:r>
      <w:r>
        <w:rPr>
          <w:rFonts w:hint="eastAsia" w:ascii="仿宋_GB2312" w:hAnsi="仿宋_GB2312" w:eastAsia="仿宋_GB2312" w:cs="仿宋_GB2312"/>
          <w:bCs/>
          <w:kern w:val="0"/>
          <w:sz w:val="32"/>
          <w:szCs w:val="32"/>
        </w:rPr>
        <w:t>审校翻译中心、</w:t>
      </w:r>
      <w:r>
        <w:rPr>
          <w:rFonts w:hint="eastAsia" w:ascii="仿宋_GB2312" w:hAnsi="仿宋_GB2312" w:eastAsia="仿宋_GB2312" w:cs="仿宋_GB2312"/>
          <w:bCs/>
          <w:kern w:val="0"/>
          <w:sz w:val="32"/>
          <w:szCs w:val="32"/>
          <w:lang w:eastAsia="zh-CN"/>
        </w:rPr>
        <w:t>《新疆政协》编辑部、</w:t>
      </w:r>
      <w:r>
        <w:rPr>
          <w:rFonts w:hint="eastAsia" w:ascii="仿宋_GB2312" w:hAnsi="仿宋_GB2312" w:eastAsia="仿宋_GB2312" w:cs="仿宋_GB2312"/>
          <w:bCs/>
          <w:kern w:val="0"/>
          <w:sz w:val="32"/>
          <w:szCs w:val="32"/>
        </w:rPr>
        <w:t>办公室、财务室、经营发展中心</w:t>
      </w:r>
      <w:r>
        <w:rPr>
          <w:rFonts w:hint="eastAsia" w:ascii="仿宋_GB2312" w:hAnsi="仿宋_GB2312" w:eastAsia="仿宋_GB2312" w:cs="仿宋_GB2312"/>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仿宋_GB2312" w:hAnsi="仿宋_GB2312" w:eastAsia="仿宋_GB2312" w:cs="仿宋_GB2312"/>
          <w:color w:val="auto"/>
          <w:sz w:val="32"/>
          <w:szCs w:val="32"/>
          <w:highlight w:val="none"/>
        </w:rPr>
      </w:pPr>
      <w:bookmarkStart w:id="6" w:name="_Toc29374"/>
      <w:bookmarkStart w:id="7" w:name="_Toc3092"/>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rPr>
        <w:t>第</w:t>
      </w:r>
      <w:r>
        <w:rPr>
          <w:rFonts w:hint="eastAsia" w:ascii="黑体" w:hAnsi="黑体" w:eastAsia="黑体" w:cs="黑体"/>
          <w:color w:val="auto"/>
          <w:sz w:val="32"/>
          <w:szCs w:val="32"/>
          <w:highlight w:val="none"/>
          <w:lang w:val="en-US" w:eastAsia="zh-CN"/>
        </w:rPr>
        <w:t>二</w:t>
      </w:r>
      <w:r>
        <w:rPr>
          <w:rFonts w:hint="eastAsia" w:ascii="黑体" w:hAnsi="黑体" w:eastAsia="黑体" w:cs="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color w:val="auto"/>
          <w:kern w:val="0"/>
          <w:sz w:val="32"/>
          <w:szCs w:val="32"/>
          <w:highlight w:val="none"/>
        </w:rPr>
      </w:pPr>
      <w:bookmarkStart w:id="8" w:name="_Toc12566"/>
      <w:bookmarkStart w:id="9" w:name="_Toc25314"/>
      <w:r>
        <w:rPr>
          <w:rFonts w:hint="eastAsia" w:ascii="黑体" w:hAnsi="黑体" w:eastAsia="黑体" w:cs="黑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pacing w:val="0"/>
          <w:sz w:val="32"/>
          <w:szCs w:val="32"/>
          <w:highlight w:val="none"/>
          <w:lang w:eastAsia="zh-CN"/>
        </w:rPr>
      </w:pPr>
      <w:r>
        <w:rPr>
          <w:rFonts w:hint="eastAsia" w:ascii="仿宋_GB2312" w:hAnsi="仿宋_GB2312" w:eastAsia="仿宋_GB2312" w:cs="仿宋_GB2312"/>
          <w:color w:val="auto"/>
          <w:spacing w:val="0"/>
          <w:sz w:val="32"/>
          <w:szCs w:val="32"/>
          <w:highlight w:val="none"/>
          <w:lang w:eastAsia="zh-CN"/>
        </w:rPr>
        <w:t>2023年度</w:t>
      </w:r>
      <w:r>
        <w:rPr>
          <w:rFonts w:hint="eastAsia" w:ascii="仿宋_GB2312" w:hAnsi="仿宋_GB2312" w:eastAsia="仿宋_GB2312" w:cs="仿宋_GB2312"/>
          <w:color w:val="auto"/>
          <w:spacing w:val="0"/>
          <w:sz w:val="32"/>
          <w:szCs w:val="32"/>
          <w:highlight w:val="none"/>
          <w:lang w:val="en-US" w:eastAsia="zh-CN"/>
        </w:rPr>
        <w:t>收入总计</w:t>
      </w:r>
      <w:r>
        <w:rPr>
          <w:rFonts w:hint="eastAsia" w:ascii="仿宋_GB2312" w:hAnsi="仿宋_GB2312" w:eastAsia="仿宋_GB2312" w:cs="仿宋_GB2312"/>
          <w:color w:val="auto"/>
          <w:spacing w:val="0"/>
          <w:sz w:val="32"/>
          <w:szCs w:val="32"/>
          <w:highlight w:val="none"/>
          <w:lang w:eastAsia="zh-CN"/>
        </w:rPr>
        <w:t>1,086.94万元，</w:t>
      </w:r>
      <w:r>
        <w:rPr>
          <w:rFonts w:hint="eastAsia" w:ascii="仿宋_GB2312" w:hAnsi="仿宋_GB2312" w:eastAsia="仿宋_GB2312" w:cs="仿宋_GB2312"/>
          <w:color w:val="auto"/>
          <w:spacing w:val="0"/>
          <w:sz w:val="32"/>
          <w:szCs w:val="32"/>
          <w:highlight w:val="none"/>
          <w:lang w:val="en-US" w:eastAsia="zh-CN"/>
        </w:rPr>
        <w:t>其中：本年收入合计</w:t>
      </w:r>
      <w:r>
        <w:rPr>
          <w:rFonts w:hint="eastAsia" w:ascii="仿宋_GB2312" w:hAnsi="仿宋_GB2312" w:eastAsia="仿宋_GB2312" w:cs="仿宋_GB2312"/>
          <w:color w:val="auto"/>
          <w:spacing w:val="0"/>
          <w:sz w:val="32"/>
          <w:szCs w:val="32"/>
          <w:highlight w:val="none"/>
          <w:lang w:eastAsia="zh-CN"/>
        </w:rPr>
        <w:t>1,086.94万元，使用非财政拨款结余0.00万元，年初结转和结余0.00万元。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pacing w:val="0"/>
          <w:sz w:val="32"/>
          <w:szCs w:val="32"/>
          <w:highlight w:val="none"/>
          <w:lang w:eastAsia="zh-CN"/>
        </w:rPr>
      </w:pPr>
      <w:r>
        <w:rPr>
          <w:rFonts w:hint="eastAsia" w:ascii="仿宋_GB2312" w:hAnsi="仿宋_GB2312" w:eastAsia="仿宋_GB2312" w:cs="仿宋_GB2312"/>
          <w:color w:val="auto"/>
          <w:spacing w:val="0"/>
          <w:sz w:val="32"/>
          <w:szCs w:val="32"/>
          <w:highlight w:val="none"/>
          <w:lang w:val="en-US" w:eastAsia="zh-CN"/>
        </w:rPr>
        <w:t>2023</w:t>
      </w:r>
      <w:r>
        <w:rPr>
          <w:rFonts w:hint="eastAsia" w:ascii="仿宋_GB2312" w:hAnsi="仿宋_GB2312" w:eastAsia="仿宋_GB2312" w:cs="仿宋_GB2312"/>
          <w:color w:val="auto"/>
          <w:spacing w:val="0"/>
          <w:sz w:val="32"/>
          <w:szCs w:val="32"/>
          <w:highlight w:val="none"/>
          <w:lang w:eastAsia="zh-CN"/>
        </w:rPr>
        <w:t>年</w:t>
      </w:r>
      <w:r>
        <w:rPr>
          <w:rFonts w:hint="eastAsia" w:ascii="仿宋_GB2312" w:hAnsi="仿宋_GB2312" w:eastAsia="仿宋_GB2312" w:cs="仿宋_GB2312"/>
          <w:color w:val="auto"/>
          <w:spacing w:val="0"/>
          <w:sz w:val="32"/>
          <w:szCs w:val="32"/>
          <w:highlight w:val="none"/>
          <w:lang w:val="en-US" w:eastAsia="zh-CN"/>
        </w:rPr>
        <w:t>度</w:t>
      </w:r>
      <w:r>
        <w:rPr>
          <w:rFonts w:hint="eastAsia" w:ascii="仿宋_GB2312" w:hAnsi="仿宋_GB2312" w:eastAsia="仿宋_GB2312" w:cs="仿宋_GB2312"/>
          <w:color w:val="auto"/>
          <w:spacing w:val="0"/>
          <w:sz w:val="32"/>
          <w:szCs w:val="32"/>
          <w:highlight w:val="none"/>
          <w:lang w:eastAsia="zh-CN"/>
        </w:rPr>
        <w:t>支出</w:t>
      </w:r>
      <w:r>
        <w:rPr>
          <w:rFonts w:hint="eastAsia" w:ascii="仿宋_GB2312" w:hAnsi="仿宋_GB2312" w:eastAsia="仿宋_GB2312" w:cs="仿宋_GB2312"/>
          <w:color w:val="auto"/>
          <w:spacing w:val="0"/>
          <w:sz w:val="32"/>
          <w:szCs w:val="32"/>
          <w:highlight w:val="none"/>
          <w:lang w:val="en-US" w:eastAsia="zh-CN"/>
        </w:rPr>
        <w:t>总计</w:t>
      </w:r>
      <w:r>
        <w:rPr>
          <w:rFonts w:hint="eastAsia" w:ascii="仿宋_GB2312" w:hAnsi="仿宋_GB2312" w:eastAsia="仿宋_GB2312" w:cs="仿宋_GB2312"/>
          <w:color w:val="auto"/>
          <w:spacing w:val="0"/>
          <w:sz w:val="32"/>
          <w:szCs w:val="32"/>
          <w:highlight w:val="none"/>
          <w:lang w:eastAsia="zh-CN"/>
        </w:rPr>
        <w:t>1,086.94万元，</w:t>
      </w:r>
      <w:r>
        <w:rPr>
          <w:rFonts w:hint="eastAsia" w:ascii="仿宋_GB2312" w:hAnsi="仿宋_GB2312" w:eastAsia="仿宋_GB2312" w:cs="仿宋_GB2312"/>
          <w:color w:val="auto"/>
          <w:spacing w:val="0"/>
          <w:sz w:val="32"/>
          <w:szCs w:val="32"/>
          <w:highlight w:val="none"/>
          <w:lang w:val="en-US" w:eastAsia="zh-CN"/>
        </w:rPr>
        <w:t>其中：本年支出合计</w:t>
      </w:r>
      <w:r>
        <w:rPr>
          <w:rFonts w:hint="eastAsia" w:ascii="仿宋_GB2312" w:hAnsi="仿宋_GB2312" w:eastAsia="仿宋_GB2312" w:cs="仿宋_GB2312"/>
          <w:color w:val="auto"/>
          <w:spacing w:val="0"/>
          <w:sz w:val="32"/>
          <w:szCs w:val="32"/>
          <w:highlight w:val="none"/>
          <w:lang w:eastAsia="zh-CN"/>
        </w:rPr>
        <w:t>1,064.05万元，</w:t>
      </w:r>
      <w:r>
        <w:rPr>
          <w:rFonts w:hint="eastAsia" w:ascii="仿宋_GB2312" w:hAnsi="仿宋_GB2312" w:eastAsia="仿宋_GB2312" w:cs="仿宋_GB2312"/>
          <w:color w:val="auto"/>
          <w:spacing w:val="0"/>
          <w:sz w:val="32"/>
          <w:szCs w:val="32"/>
          <w:highlight w:val="none"/>
          <w:lang w:val="en-US" w:eastAsia="zh-CN"/>
        </w:rPr>
        <w:t>结余分配</w:t>
      </w:r>
      <w:r>
        <w:rPr>
          <w:rFonts w:hint="eastAsia" w:ascii="仿宋_GB2312" w:hAnsi="仿宋_GB2312" w:eastAsia="仿宋_GB2312" w:cs="仿宋_GB2312"/>
          <w:color w:val="auto"/>
          <w:spacing w:val="0"/>
          <w:sz w:val="32"/>
          <w:szCs w:val="32"/>
          <w:highlight w:val="none"/>
          <w:lang w:eastAsia="zh-CN"/>
        </w:rPr>
        <w:t>22.89万元，年末结转和结余0.00万元。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pacing w:val="0"/>
          <w:sz w:val="32"/>
          <w:szCs w:val="32"/>
          <w:highlight w:val="none"/>
          <w:lang w:eastAsia="zh-CN"/>
        </w:rPr>
      </w:pPr>
      <w:r>
        <w:rPr>
          <w:rFonts w:hint="eastAsia" w:ascii="仿宋_GB2312" w:hAnsi="仿宋_GB2312" w:eastAsia="仿宋_GB2312" w:cs="仿宋_GB2312"/>
          <w:color w:val="auto"/>
          <w:spacing w:val="0"/>
          <w:sz w:val="32"/>
          <w:szCs w:val="32"/>
          <w:highlight w:val="none"/>
          <w:lang w:val="en-US" w:eastAsia="zh-CN"/>
        </w:rPr>
        <w:t>收入支出总体与上年相比</w:t>
      </w:r>
      <w:r>
        <w:rPr>
          <w:rFonts w:hint="eastAsia"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lang w:val="zh-CN" w:eastAsia="zh-CN"/>
        </w:rPr>
        <w:t>增加50.79万元</w:t>
      </w:r>
      <w:r>
        <w:rPr>
          <w:rFonts w:hint="eastAsia" w:ascii="仿宋_GB2312" w:hAnsi="仿宋_GB2312" w:eastAsia="仿宋_GB2312" w:cs="仿宋_GB2312"/>
          <w:color w:val="auto"/>
          <w:spacing w:val="0"/>
          <w:sz w:val="32"/>
          <w:szCs w:val="32"/>
          <w:highlight w:val="none"/>
          <w:lang w:eastAsia="zh-CN"/>
        </w:rPr>
        <w:t>，增长4.90%，主要原因是：</w:t>
      </w:r>
      <w:r>
        <w:rPr>
          <w:rFonts w:hint="eastAsia" w:ascii="仿宋_GB2312" w:hAnsi="仿宋_GB2312" w:eastAsia="仿宋_GB2312" w:cs="仿宋_GB2312"/>
          <w:sz w:val="32"/>
          <w:szCs w:val="32"/>
        </w:rPr>
        <w:t>调资后人员经费增加</w:t>
      </w:r>
      <w:r>
        <w:rPr>
          <w:rFonts w:hint="eastAsia" w:ascii="仿宋_GB2312" w:hAnsi="仿宋_GB2312" w:eastAsia="仿宋_GB2312" w:cs="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color w:val="auto"/>
          <w:kern w:val="0"/>
          <w:sz w:val="32"/>
          <w:szCs w:val="32"/>
          <w:highlight w:val="none"/>
        </w:rPr>
      </w:pPr>
      <w:bookmarkStart w:id="10" w:name="_Toc1979"/>
      <w:bookmarkStart w:id="11" w:name="_Toc12142"/>
      <w:r>
        <w:rPr>
          <w:rFonts w:hint="eastAsia" w:ascii="黑体" w:hAnsi="黑体" w:eastAsia="黑体" w:cs="黑体"/>
          <w:bCs/>
          <w:color w:val="auto"/>
          <w:kern w:val="0"/>
          <w:sz w:val="32"/>
          <w:szCs w:val="32"/>
          <w:highlight w:val="none"/>
          <w:lang w:eastAsia="zh-CN"/>
        </w:rPr>
        <w:t>二、</w:t>
      </w:r>
      <w:r>
        <w:rPr>
          <w:rFonts w:hint="eastAsia" w:ascii="黑体" w:hAnsi="黑体" w:eastAsia="黑体" w:cs="黑体"/>
          <w:bCs/>
          <w:color w:val="auto"/>
          <w:kern w:val="0"/>
          <w:sz w:val="32"/>
          <w:szCs w:val="32"/>
          <w:highlight w:val="none"/>
        </w:rPr>
        <w:t>收入</w:t>
      </w:r>
      <w:r>
        <w:rPr>
          <w:rFonts w:hint="eastAsia" w:ascii="黑体" w:hAnsi="黑体" w:eastAsia="黑体" w:cs="黑体"/>
          <w:bCs/>
          <w:color w:val="auto"/>
          <w:kern w:val="0"/>
          <w:sz w:val="32"/>
          <w:szCs w:val="32"/>
          <w:highlight w:val="none"/>
          <w:lang w:eastAsia="zh-CN"/>
        </w:rPr>
        <w:t>决算</w:t>
      </w:r>
      <w:r>
        <w:rPr>
          <w:rFonts w:hint="eastAsia" w:ascii="黑体" w:hAnsi="黑体" w:eastAsia="黑体" w:cs="黑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本年收入</w:t>
      </w:r>
      <w:r>
        <w:rPr>
          <w:rFonts w:hint="eastAsia" w:ascii="仿宋_GB2312" w:hAnsi="仿宋_GB2312" w:eastAsia="仿宋_GB2312" w:cs="仿宋_GB2312"/>
          <w:color w:val="auto"/>
          <w:sz w:val="32"/>
          <w:szCs w:val="32"/>
          <w:highlight w:val="none"/>
          <w:lang w:eastAsia="zh-CN"/>
        </w:rPr>
        <w:t>1,086.94</w:t>
      </w:r>
      <w:r>
        <w:rPr>
          <w:rFonts w:hint="eastAsia" w:ascii="仿宋_GB2312" w:hAnsi="仿宋_GB2312" w:eastAsia="仿宋_GB2312" w:cs="仿宋_GB2312"/>
          <w:color w:val="auto"/>
          <w:sz w:val="32"/>
          <w:szCs w:val="32"/>
          <w:highlight w:val="none"/>
        </w:rPr>
        <w:t>万元，其中：财政拨款收入</w:t>
      </w:r>
      <w:r>
        <w:rPr>
          <w:rFonts w:hint="eastAsia" w:ascii="仿宋_GB2312" w:hAnsi="仿宋_GB2312" w:eastAsia="仿宋_GB2312" w:cs="仿宋_GB2312"/>
          <w:color w:val="auto"/>
          <w:sz w:val="32"/>
          <w:szCs w:val="32"/>
          <w:highlight w:val="none"/>
          <w:lang w:val="zh-CN"/>
        </w:rPr>
        <w:t>876.87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zh-CN"/>
        </w:rPr>
        <w:t>80.67</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；上级补助收入</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；事业收入</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；经营收入</w:t>
      </w:r>
      <w:r>
        <w:rPr>
          <w:rFonts w:hint="eastAsia" w:ascii="仿宋_GB2312" w:hAnsi="仿宋_GB2312" w:eastAsia="仿宋_GB2312" w:cs="仿宋_GB2312"/>
          <w:color w:val="auto"/>
          <w:sz w:val="32"/>
          <w:szCs w:val="32"/>
          <w:highlight w:val="none"/>
          <w:lang w:val="zh-CN"/>
        </w:rPr>
        <w:t>209.90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zh-CN"/>
        </w:rPr>
        <w:t>19.31</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；其他收入</w:t>
      </w:r>
      <w:r>
        <w:rPr>
          <w:rFonts w:hint="eastAsia" w:ascii="仿宋_GB2312" w:hAnsi="仿宋_GB2312" w:eastAsia="仿宋_GB2312" w:cs="仿宋_GB2312"/>
          <w:color w:val="auto"/>
          <w:sz w:val="32"/>
          <w:szCs w:val="32"/>
          <w:highlight w:val="none"/>
          <w:lang w:val="zh-CN"/>
        </w:rPr>
        <w:t>0.17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zh-CN"/>
        </w:rPr>
        <w:t>0.02</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color w:val="auto"/>
          <w:kern w:val="0"/>
          <w:sz w:val="32"/>
          <w:szCs w:val="32"/>
          <w:highlight w:val="none"/>
          <w:lang w:eastAsia="zh-CN"/>
        </w:rPr>
      </w:pPr>
      <w:bookmarkStart w:id="12" w:name="_Toc13201"/>
      <w:bookmarkStart w:id="13" w:name="_Toc27961"/>
      <w:r>
        <w:rPr>
          <w:rFonts w:hint="eastAsia" w:ascii="黑体" w:hAnsi="黑体" w:eastAsia="黑体" w:cs="黑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本年支出1,064.05万元，其中：基本支出319.04万元，占29.98%；项目支出558.00万元，占52.44%；上缴上级支出0.00万元，占0.00%；经营支出187.01万元，占17.58%；对附属单位补助支出0.00万元，占0.00%。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color w:val="auto"/>
          <w:kern w:val="0"/>
          <w:sz w:val="32"/>
          <w:szCs w:val="32"/>
          <w:highlight w:val="none"/>
          <w:lang w:eastAsia="zh-CN"/>
        </w:rPr>
      </w:pPr>
      <w:bookmarkStart w:id="14" w:name="_Toc26564"/>
      <w:bookmarkStart w:id="15" w:name="_Toc4393"/>
      <w:r>
        <w:rPr>
          <w:rFonts w:hint="eastAsia" w:ascii="黑体" w:hAnsi="黑体" w:eastAsia="黑体" w:cs="黑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pacing w:val="0"/>
          <w:sz w:val="32"/>
          <w:szCs w:val="32"/>
          <w:highlight w:val="none"/>
          <w:lang w:eastAsia="zh-CN"/>
        </w:rPr>
      </w:pPr>
      <w:r>
        <w:rPr>
          <w:rFonts w:hint="eastAsia" w:ascii="仿宋_GB2312" w:hAnsi="仿宋_GB2312" w:eastAsia="仿宋_GB2312" w:cs="仿宋_GB2312"/>
          <w:color w:val="auto"/>
          <w:spacing w:val="0"/>
          <w:sz w:val="32"/>
          <w:szCs w:val="32"/>
          <w:highlight w:val="none"/>
          <w:lang w:eastAsia="zh-CN"/>
        </w:rPr>
        <w:t>2023年度财政拨款收入</w:t>
      </w:r>
      <w:r>
        <w:rPr>
          <w:rFonts w:hint="eastAsia" w:ascii="仿宋_GB2312" w:hAnsi="仿宋_GB2312" w:eastAsia="仿宋_GB2312" w:cs="仿宋_GB2312"/>
          <w:color w:val="auto"/>
          <w:spacing w:val="0"/>
          <w:sz w:val="32"/>
          <w:szCs w:val="32"/>
          <w:highlight w:val="none"/>
          <w:lang w:val="en-US" w:eastAsia="zh-CN"/>
        </w:rPr>
        <w:t>总计</w:t>
      </w:r>
      <w:r>
        <w:rPr>
          <w:rFonts w:hint="eastAsia" w:ascii="仿宋_GB2312" w:hAnsi="仿宋_GB2312" w:eastAsia="仿宋_GB2312" w:cs="仿宋_GB2312"/>
          <w:color w:val="auto"/>
          <w:spacing w:val="0"/>
          <w:sz w:val="32"/>
          <w:szCs w:val="32"/>
          <w:highlight w:val="none"/>
          <w:lang w:val="zh-CN" w:eastAsia="zh-CN"/>
        </w:rPr>
        <w:t>876.87</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其中：年初财政拨款结转和结余</w:t>
      </w:r>
      <w:r>
        <w:rPr>
          <w:rFonts w:hint="eastAsia" w:ascii="仿宋_GB2312" w:hAnsi="仿宋_GB2312" w:eastAsia="仿宋_GB2312" w:cs="仿宋_GB2312"/>
          <w:color w:val="auto"/>
          <w:spacing w:val="0"/>
          <w:sz w:val="32"/>
          <w:szCs w:val="32"/>
          <w:highlight w:val="none"/>
          <w:lang w:val="zh-CN" w:eastAsia="zh-CN"/>
        </w:rPr>
        <w:t>0.00</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本年财政拨款收入</w:t>
      </w:r>
      <w:r>
        <w:rPr>
          <w:rFonts w:hint="eastAsia" w:ascii="仿宋_GB2312" w:hAnsi="仿宋_GB2312" w:eastAsia="仿宋_GB2312" w:cs="仿宋_GB2312"/>
          <w:color w:val="auto"/>
          <w:spacing w:val="0"/>
          <w:sz w:val="32"/>
          <w:szCs w:val="32"/>
          <w:highlight w:val="none"/>
          <w:lang w:val="zh-CN" w:eastAsia="zh-CN"/>
        </w:rPr>
        <w:t>876.87</w:t>
      </w:r>
      <w:r>
        <w:rPr>
          <w:rFonts w:hint="eastAsia" w:ascii="仿宋_GB2312" w:hAnsi="仿宋_GB2312" w:eastAsia="仿宋_GB2312" w:cs="仿宋_GB2312"/>
          <w:color w:val="auto"/>
          <w:spacing w:val="0"/>
          <w:sz w:val="32"/>
          <w:szCs w:val="32"/>
          <w:highlight w:val="none"/>
          <w:lang w:eastAsia="zh-CN"/>
        </w:rPr>
        <w:t>万元。财政拨款支出</w:t>
      </w:r>
      <w:r>
        <w:rPr>
          <w:rFonts w:hint="eastAsia" w:ascii="仿宋_GB2312" w:hAnsi="仿宋_GB2312" w:eastAsia="仿宋_GB2312" w:cs="仿宋_GB2312"/>
          <w:color w:val="auto"/>
          <w:spacing w:val="0"/>
          <w:sz w:val="32"/>
          <w:szCs w:val="32"/>
          <w:highlight w:val="none"/>
          <w:lang w:val="en-US" w:eastAsia="zh-CN"/>
        </w:rPr>
        <w:t>总计</w:t>
      </w:r>
      <w:r>
        <w:rPr>
          <w:rFonts w:hint="eastAsia" w:ascii="仿宋_GB2312" w:hAnsi="仿宋_GB2312" w:eastAsia="仿宋_GB2312" w:cs="仿宋_GB2312"/>
          <w:color w:val="auto"/>
          <w:spacing w:val="0"/>
          <w:sz w:val="32"/>
          <w:szCs w:val="32"/>
          <w:highlight w:val="none"/>
          <w:lang w:val="zh-CN" w:eastAsia="zh-CN"/>
        </w:rPr>
        <w:t>876.87</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其中：年末财政拨款结转和结余</w:t>
      </w:r>
      <w:r>
        <w:rPr>
          <w:rFonts w:hint="eastAsia" w:ascii="仿宋_GB2312" w:hAnsi="仿宋_GB2312" w:eastAsia="仿宋_GB2312" w:cs="仿宋_GB2312"/>
          <w:color w:val="auto"/>
          <w:spacing w:val="0"/>
          <w:sz w:val="32"/>
          <w:szCs w:val="32"/>
          <w:highlight w:val="none"/>
          <w:lang w:val="zh-CN" w:eastAsia="zh-CN"/>
        </w:rPr>
        <w:t>0.00</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本年财政拨款支出</w:t>
      </w:r>
      <w:r>
        <w:rPr>
          <w:rFonts w:hint="eastAsia" w:ascii="仿宋_GB2312" w:hAnsi="仿宋_GB2312" w:eastAsia="仿宋_GB2312" w:cs="仿宋_GB2312"/>
          <w:color w:val="auto"/>
          <w:spacing w:val="0"/>
          <w:sz w:val="32"/>
          <w:szCs w:val="32"/>
          <w:highlight w:val="none"/>
          <w:lang w:val="zh-CN" w:eastAsia="zh-CN"/>
        </w:rPr>
        <w:t>876.87</w:t>
      </w:r>
      <w:r>
        <w:rPr>
          <w:rFonts w:hint="eastAsia" w:ascii="仿宋_GB2312" w:hAnsi="仿宋_GB2312" w:eastAsia="仿宋_GB2312" w:cs="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eastAsia="zh-CN"/>
        </w:rPr>
        <w:t>财政拨款收入支出总体与上年相比</w:t>
      </w:r>
      <w:r>
        <w:rPr>
          <w:rFonts w:hint="eastAsia" w:ascii="仿宋_GB2312" w:hAnsi="仿宋_GB2312" w:eastAsia="仿宋_GB2312" w:cs="仿宋_GB2312"/>
          <w:color w:val="auto"/>
          <w:spacing w:val="0"/>
          <w:sz w:val="32"/>
          <w:szCs w:val="32"/>
          <w:highlight w:val="none"/>
          <w:lang w:val="en-US" w:eastAsia="zh-CN"/>
        </w:rPr>
        <w:t>,</w:t>
      </w:r>
      <w:r>
        <w:rPr>
          <w:rFonts w:hint="eastAsia" w:ascii="仿宋_GB2312" w:hAnsi="仿宋_GB2312" w:eastAsia="仿宋_GB2312" w:cs="仿宋_GB2312"/>
          <w:color w:val="auto"/>
          <w:spacing w:val="0"/>
          <w:sz w:val="32"/>
          <w:szCs w:val="32"/>
          <w:highlight w:val="none"/>
          <w:lang w:val="zh-CN" w:eastAsia="zh-CN"/>
        </w:rPr>
        <w:t>增加41.44万元</w:t>
      </w:r>
      <w:r>
        <w:rPr>
          <w:rFonts w:hint="eastAsia"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lang w:val="en-US" w:eastAsia="zh-CN"/>
        </w:rPr>
        <w:t>增长4.96%,</w:t>
      </w:r>
      <w:r>
        <w:rPr>
          <w:rFonts w:hint="eastAsia" w:ascii="仿宋_GB2312" w:hAnsi="仿宋_GB2312" w:eastAsia="仿宋_GB2312" w:cs="仿宋_GB2312"/>
          <w:color w:val="auto"/>
          <w:spacing w:val="0"/>
          <w:sz w:val="32"/>
          <w:szCs w:val="32"/>
          <w:highlight w:val="none"/>
          <w:lang w:eastAsia="zh-CN"/>
        </w:rPr>
        <w:t>主要原因是：</w:t>
      </w:r>
      <w:r>
        <w:rPr>
          <w:rFonts w:hint="eastAsia" w:ascii="仿宋_GB2312" w:hAnsi="仿宋_GB2312" w:eastAsia="仿宋_GB2312" w:cs="仿宋_GB2312"/>
          <w:sz w:val="32"/>
          <w:szCs w:val="32"/>
        </w:rPr>
        <w:t>调资后人员经费增加</w:t>
      </w:r>
      <w:r>
        <w:rPr>
          <w:rFonts w:hint="eastAsia" w:ascii="仿宋_GB2312" w:hAnsi="仿宋_GB2312" w:eastAsia="仿宋_GB2312" w:cs="仿宋_GB2312"/>
          <w:color w:val="auto"/>
          <w:spacing w:val="0"/>
          <w:sz w:val="32"/>
          <w:szCs w:val="32"/>
          <w:highlight w:val="none"/>
          <w:lang w:eastAsia="zh-CN"/>
        </w:rPr>
        <w:t>。与年初预算相比，年初预算数</w:t>
      </w:r>
      <w:r>
        <w:rPr>
          <w:rFonts w:hint="eastAsia" w:ascii="仿宋_GB2312" w:hAnsi="仿宋_GB2312" w:eastAsia="仿宋_GB2312" w:cs="仿宋_GB2312"/>
          <w:color w:val="auto"/>
          <w:spacing w:val="0"/>
          <w:sz w:val="32"/>
          <w:szCs w:val="32"/>
          <w:highlight w:val="none"/>
          <w:lang w:val="zh-CN" w:eastAsia="zh-CN"/>
        </w:rPr>
        <w:t>897.28</w:t>
      </w:r>
      <w:r>
        <w:rPr>
          <w:rFonts w:hint="eastAsia" w:ascii="仿宋_GB2312" w:hAnsi="仿宋_GB2312" w:eastAsia="仿宋_GB2312" w:cs="仿宋_GB2312"/>
          <w:color w:val="auto"/>
          <w:spacing w:val="0"/>
          <w:sz w:val="32"/>
          <w:szCs w:val="32"/>
          <w:highlight w:val="none"/>
          <w:lang w:eastAsia="zh-CN"/>
        </w:rPr>
        <w:t>万元，决算数</w:t>
      </w:r>
      <w:r>
        <w:rPr>
          <w:rFonts w:hint="eastAsia" w:ascii="仿宋_GB2312" w:hAnsi="仿宋_GB2312" w:eastAsia="仿宋_GB2312" w:cs="仿宋_GB2312"/>
          <w:color w:val="auto"/>
          <w:spacing w:val="0"/>
          <w:sz w:val="32"/>
          <w:szCs w:val="32"/>
          <w:highlight w:val="none"/>
          <w:lang w:val="zh-CN" w:eastAsia="zh-CN"/>
        </w:rPr>
        <w:t>876.87</w:t>
      </w:r>
      <w:r>
        <w:rPr>
          <w:rFonts w:hint="eastAsia" w:ascii="仿宋_GB2312" w:hAnsi="仿宋_GB2312" w:eastAsia="仿宋_GB2312" w:cs="仿宋_GB2312"/>
          <w:color w:val="auto"/>
          <w:spacing w:val="0"/>
          <w:sz w:val="32"/>
          <w:szCs w:val="32"/>
          <w:highlight w:val="none"/>
          <w:lang w:eastAsia="zh-CN"/>
        </w:rPr>
        <w:t>万元，预决算差异率-2.27%，主要原因是：人员减少导致工资福利支出减少。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color w:val="auto"/>
          <w:kern w:val="0"/>
          <w:sz w:val="32"/>
          <w:szCs w:val="32"/>
          <w:highlight w:val="none"/>
          <w:lang w:eastAsia="zh-CN"/>
        </w:rPr>
      </w:pPr>
      <w:bookmarkStart w:id="16" w:name="_Toc13833"/>
      <w:bookmarkStart w:id="17" w:name="_Toc20360"/>
      <w:r>
        <w:rPr>
          <w:rFonts w:hint="eastAsia" w:ascii="黑体" w:hAnsi="黑体" w:eastAsia="黑体" w:cs="黑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仿宋_GB2312" w:hAnsi="仿宋_GB2312" w:eastAsia="仿宋_GB2312" w:cs="仿宋_GB2312"/>
          <w:color w:val="auto"/>
          <w:sz w:val="32"/>
          <w:szCs w:val="32"/>
          <w:highlight w:val="none"/>
          <w:lang w:eastAsia="zh-CN"/>
        </w:rPr>
      </w:pPr>
      <w:r>
        <w:rPr>
          <w:rFonts w:hint="eastAsia" w:ascii="黑体" w:hAnsi="黑体" w:eastAsia="黑体" w:cs="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sz w:val="32"/>
          <w:szCs w:val="32"/>
          <w:highlight w:val="none"/>
          <w:lang w:eastAsia="zh-CN"/>
        </w:rPr>
        <w:t>2023年度一般公共预算财政拨款支出876.87万元，占本年支出合计的</w:t>
      </w:r>
      <w:r>
        <w:rPr>
          <w:rFonts w:hint="eastAsia" w:ascii="仿宋_GB2312" w:hAnsi="仿宋_GB2312" w:eastAsia="仿宋_GB2312" w:cs="仿宋_GB2312"/>
          <w:color w:val="auto"/>
          <w:spacing w:val="0"/>
          <w:sz w:val="32"/>
          <w:szCs w:val="32"/>
          <w:highlight w:val="none"/>
          <w:lang w:val="zh-CN" w:eastAsia="zh-CN"/>
        </w:rPr>
        <w:t>82.41%</w:t>
      </w:r>
      <w:r>
        <w:rPr>
          <w:rFonts w:hint="eastAsia" w:ascii="仿宋_GB2312" w:hAnsi="仿宋_GB2312" w:eastAsia="仿宋_GB2312" w:cs="仿宋_GB2312"/>
          <w:color w:val="auto"/>
          <w:spacing w:val="0"/>
          <w:sz w:val="32"/>
          <w:szCs w:val="32"/>
          <w:highlight w:val="none"/>
          <w:lang w:eastAsia="zh-CN"/>
        </w:rPr>
        <w:t>。与上年相比，</w:t>
      </w:r>
      <w:r>
        <w:rPr>
          <w:rFonts w:hint="eastAsia" w:ascii="仿宋_GB2312" w:hAnsi="仿宋_GB2312" w:eastAsia="仿宋_GB2312" w:cs="仿宋_GB2312"/>
          <w:color w:val="auto"/>
          <w:spacing w:val="0"/>
          <w:sz w:val="32"/>
          <w:szCs w:val="32"/>
          <w:highlight w:val="none"/>
          <w:lang w:val="zh-CN" w:eastAsia="zh-CN"/>
        </w:rPr>
        <w:t>增加41.44万元</w:t>
      </w:r>
      <w:r>
        <w:rPr>
          <w:rFonts w:hint="eastAsia"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lang w:val="en-US" w:eastAsia="zh-CN"/>
        </w:rPr>
        <w:t>增长4.96%,</w:t>
      </w:r>
      <w:r>
        <w:rPr>
          <w:rFonts w:hint="eastAsia" w:ascii="仿宋_GB2312" w:hAnsi="仿宋_GB2312" w:eastAsia="仿宋_GB2312" w:cs="仿宋_GB2312"/>
          <w:color w:val="auto"/>
          <w:spacing w:val="0"/>
          <w:sz w:val="32"/>
          <w:szCs w:val="32"/>
          <w:highlight w:val="none"/>
          <w:lang w:eastAsia="zh-CN"/>
        </w:rPr>
        <w:t>主要原因是：</w:t>
      </w:r>
      <w:r>
        <w:rPr>
          <w:rFonts w:hint="eastAsia" w:ascii="仿宋_GB2312" w:hAnsi="仿宋_GB2312" w:eastAsia="仿宋_GB2312" w:cs="仿宋_GB2312"/>
          <w:sz w:val="32"/>
          <w:szCs w:val="32"/>
        </w:rPr>
        <w:t>调资后人员经费增加</w:t>
      </w:r>
      <w:r>
        <w:rPr>
          <w:rFonts w:hint="eastAsia" w:ascii="仿宋_GB2312" w:hAnsi="仿宋_GB2312" w:eastAsia="仿宋_GB2312" w:cs="仿宋_GB2312"/>
          <w:color w:val="auto"/>
          <w:spacing w:val="0"/>
          <w:sz w:val="32"/>
          <w:szCs w:val="32"/>
          <w:highlight w:val="none"/>
          <w:lang w:eastAsia="zh-CN"/>
        </w:rPr>
        <w:t>。与年初预算相比，年初预算数</w:t>
      </w:r>
      <w:r>
        <w:rPr>
          <w:rFonts w:hint="eastAsia" w:ascii="仿宋_GB2312" w:hAnsi="仿宋_GB2312" w:eastAsia="仿宋_GB2312" w:cs="仿宋_GB2312"/>
          <w:color w:val="auto"/>
          <w:spacing w:val="0"/>
          <w:sz w:val="32"/>
          <w:szCs w:val="32"/>
          <w:highlight w:val="none"/>
          <w:lang w:val="zh-CN" w:eastAsia="zh-CN"/>
        </w:rPr>
        <w:t>897.28</w:t>
      </w:r>
      <w:r>
        <w:rPr>
          <w:rFonts w:hint="eastAsia" w:ascii="仿宋_GB2312" w:hAnsi="仿宋_GB2312" w:eastAsia="仿宋_GB2312" w:cs="仿宋_GB2312"/>
          <w:color w:val="auto"/>
          <w:spacing w:val="0"/>
          <w:sz w:val="32"/>
          <w:szCs w:val="32"/>
          <w:highlight w:val="none"/>
          <w:lang w:eastAsia="zh-CN"/>
        </w:rPr>
        <w:t>万元，决算数</w:t>
      </w:r>
      <w:r>
        <w:rPr>
          <w:rFonts w:hint="eastAsia" w:ascii="仿宋_GB2312" w:hAnsi="仿宋_GB2312" w:eastAsia="仿宋_GB2312" w:cs="仿宋_GB2312"/>
          <w:color w:val="auto"/>
          <w:spacing w:val="0"/>
          <w:sz w:val="32"/>
          <w:szCs w:val="32"/>
          <w:highlight w:val="none"/>
          <w:lang w:val="zh-CN" w:eastAsia="zh-CN"/>
        </w:rPr>
        <w:t>876.87</w:t>
      </w:r>
      <w:r>
        <w:rPr>
          <w:rFonts w:hint="eastAsia" w:ascii="仿宋_GB2312" w:hAnsi="仿宋_GB2312" w:eastAsia="仿宋_GB2312" w:cs="仿宋_GB2312"/>
          <w:color w:val="auto"/>
          <w:spacing w:val="0"/>
          <w:sz w:val="32"/>
          <w:szCs w:val="32"/>
          <w:highlight w:val="none"/>
          <w:lang w:eastAsia="zh-CN"/>
        </w:rPr>
        <w:t>万元，预决算差异率</w:t>
      </w:r>
      <w:r>
        <w:rPr>
          <w:rFonts w:hint="eastAsia" w:ascii="仿宋_GB2312" w:hAnsi="仿宋_GB2312" w:eastAsia="仿宋_GB2312" w:cs="仿宋_GB2312"/>
          <w:color w:val="auto"/>
          <w:spacing w:val="0"/>
          <w:sz w:val="32"/>
          <w:szCs w:val="32"/>
          <w:highlight w:val="none"/>
          <w:lang w:val="zh-CN" w:eastAsia="zh-CN"/>
        </w:rPr>
        <w:t>-2.27%</w:t>
      </w:r>
      <w:r>
        <w:rPr>
          <w:rFonts w:hint="eastAsia" w:ascii="仿宋_GB2312" w:hAnsi="仿宋_GB2312" w:eastAsia="仿宋_GB2312" w:cs="仿宋_GB2312"/>
          <w:color w:val="auto"/>
          <w:spacing w:val="0"/>
          <w:sz w:val="32"/>
          <w:szCs w:val="32"/>
          <w:highlight w:val="none"/>
          <w:lang w:eastAsia="zh-CN"/>
        </w:rPr>
        <w:t>，主要原因是：人员减少导致工资福利支出减少。</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s="黑体"/>
          <w:color w:val="auto"/>
          <w:spacing w:val="0"/>
          <w:kern w:val="2"/>
          <w:sz w:val="32"/>
          <w:szCs w:val="32"/>
          <w:highlight w:val="none"/>
          <w:lang w:val="en-US" w:eastAsia="zh-CN" w:bidi="ar-SA"/>
        </w:rPr>
      </w:pPr>
      <w:r>
        <w:rPr>
          <w:rFonts w:hint="eastAsia" w:ascii="黑体" w:hAnsi="黑体" w:eastAsia="黑体" w:cs="黑体"/>
          <w:color w:val="auto"/>
          <w:sz w:val="32"/>
          <w:szCs w:val="32"/>
          <w:highlight w:val="none"/>
          <w:lang w:eastAsia="zh-CN"/>
        </w:rPr>
        <w:t>一般公共预算</w:t>
      </w:r>
      <w:r>
        <w:rPr>
          <w:rFonts w:hint="eastAsia" w:ascii="黑体" w:hAnsi="黑体" w:eastAsia="黑体" w:cs="黑体"/>
          <w:color w:val="auto"/>
          <w:sz w:val="32"/>
          <w:szCs w:val="32"/>
          <w:highlight w:val="none"/>
          <w:lang w:val="en-US" w:eastAsia="zh-CN"/>
        </w:rPr>
        <w:t>财政拨款支出决算</w:t>
      </w:r>
      <w:r>
        <w:rPr>
          <w:rFonts w:hint="eastAsia" w:ascii="黑体" w:hAnsi="黑体" w:eastAsia="黑体" w:cs="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1.</w:t>
      </w:r>
      <w:r>
        <w:rPr>
          <w:rFonts w:hint="eastAsia" w:ascii="仿宋_GB2312" w:hAnsi="仿宋_GB2312" w:eastAsia="仿宋_GB2312" w:cs="仿宋_GB2312"/>
          <w:color w:val="auto"/>
          <w:spacing w:val="0"/>
          <w:kern w:val="2"/>
          <w:sz w:val="32"/>
          <w:szCs w:val="32"/>
          <w:highlight w:val="none"/>
          <w:lang w:val="zh-CN" w:eastAsia="zh-CN" w:bidi="ar-SA"/>
        </w:rPr>
        <w:t>文化旅游体育与传媒支出（类）770.09万元，占87.82%；</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lang w:val="en-US" w:eastAsia="zh-CN" w:bidi="ar-SA"/>
        </w:rPr>
        <w:t>2</w:t>
      </w:r>
      <w:r>
        <w:rPr>
          <w:rFonts w:hint="eastAsia" w:ascii="仿宋_GB2312" w:hAnsi="仿宋_GB2312" w:eastAsia="仿宋_GB2312" w:cs="仿宋_GB2312"/>
          <w:color w:val="auto"/>
          <w:spacing w:val="0"/>
          <w:kern w:val="2"/>
          <w:sz w:val="32"/>
          <w:szCs w:val="32"/>
          <w:lang w:val="zh-CN" w:eastAsia="zh-CN" w:bidi="ar-SA"/>
        </w:rPr>
        <w:t>.</w:t>
      </w:r>
      <w:r>
        <w:rPr>
          <w:rFonts w:hint="eastAsia" w:ascii="仿宋_GB2312" w:hAnsi="仿宋_GB2312" w:eastAsia="仿宋_GB2312" w:cs="仿宋_GB2312"/>
          <w:color w:val="auto"/>
          <w:spacing w:val="0"/>
          <w:kern w:val="2"/>
          <w:sz w:val="32"/>
          <w:szCs w:val="32"/>
          <w:highlight w:val="none"/>
          <w:lang w:val="zh-CN" w:eastAsia="zh-CN" w:bidi="ar-SA"/>
        </w:rPr>
        <w:t>社会保障和就业支出（类）59.16万元，占6.75%；</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lang w:val="en-US" w:eastAsia="zh-CN" w:bidi="ar-SA"/>
        </w:rPr>
        <w:t>3</w:t>
      </w:r>
      <w:r>
        <w:rPr>
          <w:rFonts w:hint="eastAsia" w:ascii="仿宋_GB2312" w:hAnsi="仿宋_GB2312" w:eastAsia="仿宋_GB2312" w:cs="仿宋_GB2312"/>
          <w:color w:val="auto"/>
          <w:spacing w:val="0"/>
          <w:kern w:val="2"/>
          <w:sz w:val="32"/>
          <w:szCs w:val="32"/>
          <w:lang w:val="zh-CN" w:eastAsia="zh-CN" w:bidi="ar-SA"/>
        </w:rPr>
        <w:t>.</w:t>
      </w:r>
      <w:r>
        <w:rPr>
          <w:rFonts w:hint="eastAsia" w:ascii="仿宋_GB2312" w:hAnsi="仿宋_GB2312" w:eastAsia="仿宋_GB2312" w:cs="仿宋_GB2312"/>
          <w:color w:val="auto"/>
          <w:spacing w:val="0"/>
          <w:kern w:val="2"/>
          <w:sz w:val="32"/>
          <w:szCs w:val="32"/>
          <w:highlight w:val="none"/>
          <w:lang w:val="zh-CN" w:eastAsia="zh-CN" w:bidi="ar-SA"/>
        </w:rPr>
        <w:t>卫生健康支出（类）25.67万元，占2.93%；</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both"/>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lang w:val="en-US" w:eastAsia="zh-CN" w:bidi="ar-SA"/>
        </w:rPr>
        <w:t>4</w:t>
      </w:r>
      <w:r>
        <w:rPr>
          <w:rFonts w:hint="eastAsia" w:ascii="仿宋_GB2312" w:hAnsi="仿宋_GB2312" w:eastAsia="仿宋_GB2312" w:cs="仿宋_GB2312"/>
          <w:color w:val="auto"/>
          <w:spacing w:val="0"/>
          <w:kern w:val="2"/>
          <w:sz w:val="32"/>
          <w:szCs w:val="32"/>
          <w:lang w:val="zh-CN" w:eastAsia="zh-CN" w:bidi="ar-SA"/>
        </w:rPr>
        <w:t>.</w:t>
      </w:r>
      <w:r>
        <w:rPr>
          <w:rFonts w:hint="eastAsia" w:ascii="仿宋_GB2312" w:hAnsi="仿宋_GB2312" w:eastAsia="仿宋_GB2312" w:cs="仿宋_GB2312"/>
          <w:color w:val="auto"/>
          <w:spacing w:val="0"/>
          <w:kern w:val="2"/>
          <w:sz w:val="32"/>
          <w:szCs w:val="32"/>
          <w:highlight w:val="none"/>
          <w:lang w:val="zh-CN" w:eastAsia="zh-CN" w:bidi="ar-SA"/>
        </w:rPr>
        <w:t>住房保障支出（类）21.95万元，占2.50%。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s="黑体"/>
          <w:color w:val="auto"/>
          <w:sz w:val="32"/>
          <w:szCs w:val="32"/>
          <w:highlight w:val="none"/>
          <w:lang w:eastAsia="zh-CN"/>
        </w:rPr>
      </w:pPr>
      <w:r>
        <w:rPr>
          <w:rFonts w:hint="eastAsia" w:ascii="黑体" w:hAnsi="黑体" w:eastAsia="黑体" w:cs="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1.卫生健康支出（类）行政事业单位医疗（款）事业单位医疗（项）:支出决算数为13.25万元，比上年决算增加0.82万元，增长</w:t>
      </w:r>
      <w:r>
        <w:rPr>
          <w:rFonts w:hint="eastAsia" w:ascii="仿宋" w:hAnsi="仿宋" w:eastAsia="仿宋" w:cs="仿宋"/>
          <w:color w:val="auto"/>
          <w:kern w:val="2"/>
          <w:sz w:val="32"/>
          <w:szCs w:val="32"/>
          <w:highlight w:val="none"/>
          <w:lang w:val="en-US" w:eastAsia="zh-CN" w:bidi="ar-SA"/>
        </w:rPr>
        <w:t>6.60%</w:t>
      </w:r>
      <w:r>
        <w:rPr>
          <w:rFonts w:hint="eastAsia" w:ascii="仿宋_GB2312" w:hAnsi="仿宋_GB2312" w:eastAsia="仿宋_GB2312" w:cs="仿宋_GB2312"/>
          <w:color w:val="auto"/>
          <w:kern w:val="2"/>
          <w:sz w:val="32"/>
          <w:szCs w:val="32"/>
          <w:highlight w:val="none"/>
          <w:lang w:val="en-US" w:eastAsia="zh-CN" w:bidi="ar-SA"/>
        </w:rPr>
        <w:t>，主要原因是：</w:t>
      </w:r>
      <w:r>
        <w:rPr>
          <w:rFonts w:hint="eastAsia" w:ascii="仿宋_GB2312" w:hAnsi="仿宋_GB2312" w:eastAsia="仿宋_GB2312" w:cs="仿宋_GB2312"/>
          <w:sz w:val="32"/>
          <w:szCs w:val="32"/>
          <w:lang w:eastAsia="zh-CN"/>
        </w:rPr>
        <w:t>人员增资后医疗保险缴费基数相应调增</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2.卫生健康支出（类）行政事业单位医疗（款）公务员医疗补助（项）:支出决算数为12.42万元，比上年决算增加2.75万元，增长28.44%，主要原因是：</w:t>
      </w:r>
      <w:r>
        <w:rPr>
          <w:rFonts w:hint="eastAsia" w:ascii="仿宋_GB2312" w:hAnsi="仿宋_GB2312" w:eastAsia="仿宋_GB2312" w:cs="仿宋_GB2312"/>
          <w:sz w:val="32"/>
          <w:szCs w:val="32"/>
          <w:lang w:eastAsia="zh-CN"/>
        </w:rPr>
        <w:t>人员增资后公务员医疗补助缴费基数相应调增</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3.住房保障支出（类）住房改革支出（款）住房公积金（项）:支出决算数为21.95万元，比上年决算增加4.65万元，增长26.88%，主要原因是：</w:t>
      </w:r>
      <w:r>
        <w:rPr>
          <w:rFonts w:hint="eastAsia" w:ascii="仿宋_GB2312" w:hAnsi="仿宋_GB2312" w:eastAsia="仿宋_GB2312" w:cs="仿宋_GB2312"/>
          <w:sz w:val="32"/>
          <w:szCs w:val="32"/>
          <w:lang w:eastAsia="zh-CN"/>
        </w:rPr>
        <w:t>人员增资后住房公积金缴费基数相应调增</w:t>
      </w:r>
      <w:r>
        <w:rPr>
          <w:rFonts w:hint="eastAsia" w:ascii="仿宋_GB2312" w:hAnsi="仿宋_GB2312" w:eastAsia="仿宋_GB2312" w:cs="仿宋_GB2312"/>
          <w:color w:val="auto"/>
          <w:kern w:val="2"/>
          <w:sz w:val="32"/>
          <w:szCs w:val="32"/>
          <w:highlight w:val="none"/>
          <w:lang w:val="zh-CN" w:eastAsia="zh-CN" w:bidi="ar-SA"/>
        </w:rPr>
        <w:t>。</w:t>
      </w:r>
      <w:bookmarkStart w:id="48" w:name="_GoBack"/>
      <w:bookmarkEnd w:id="48"/>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4.文化旅游体育与传媒支出（类）新闻出版电影（款）出版发行（项）:支出决算数为770.09万元，比上年决算增加122.58万元，增长18.93%，主要原因是：</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调资后人员经费增加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2.支出功能科目调整，增加基层政协补助经费。</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5.社会保障和就业支出（类）行政事业单位养老支出（款）事业单位离退休（项）:支出决算数为19.12万元，比上年决算增加4.73万元，增长32.87%，主要原因是：</w:t>
      </w:r>
      <w:r>
        <w:rPr>
          <w:rFonts w:hint="eastAsia" w:ascii="仿宋_GB2312" w:hAnsi="仿宋_GB2312" w:eastAsia="仿宋_GB2312" w:cs="仿宋_GB2312"/>
          <w:color w:val="auto"/>
          <w:kern w:val="2"/>
          <w:sz w:val="32"/>
          <w:szCs w:val="32"/>
          <w:highlight w:val="none"/>
          <w:lang w:val="zh-CN" w:eastAsia="zh-CN" w:bidi="ar-SA"/>
        </w:rPr>
        <w:t>退休人员增加，导致事业单位离退休（项）增加。</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6.社会保障和就业支出（类）行政事业单位养老支出（款）机关事业单位职业年金缴费支出（项）:支出决算数为13.35万元，比上年决算增加2.3万元，增长20.81%，主要原因是：</w:t>
      </w:r>
      <w:r>
        <w:rPr>
          <w:rFonts w:hint="eastAsia" w:ascii="仿宋_GB2312" w:hAnsi="仿宋_GB2312" w:eastAsia="仿宋_GB2312" w:cs="仿宋_GB2312"/>
          <w:sz w:val="32"/>
          <w:szCs w:val="32"/>
          <w:lang w:eastAsia="zh-CN"/>
        </w:rPr>
        <w:t>人员增资后职业年金缴费基数相应调增</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7.社会保障和就业支出（类）行政事业单位养老支出（款）机关事业单位基本养老保险缴费支出（项）:支出决算数为26.69万元，比上年决算增加3.62万元，增长15.69%，主要原因是：</w:t>
      </w:r>
      <w:r>
        <w:rPr>
          <w:rFonts w:hint="eastAsia" w:ascii="仿宋_GB2312" w:hAnsi="仿宋_GB2312" w:eastAsia="仿宋_GB2312" w:cs="仿宋_GB2312"/>
          <w:sz w:val="32"/>
          <w:szCs w:val="32"/>
          <w:lang w:eastAsia="zh-CN"/>
        </w:rPr>
        <w:t>人员增资后养老保险缴费基数相应调增</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8.一般公共服务支出（类）政协事务（款）其他政协事务支出（项）:支出决算数为0.00万元，比上年决算减少100.00万元，下降100%，主要原因是：</w:t>
      </w:r>
      <w:r>
        <w:rPr>
          <w:rFonts w:hint="eastAsia" w:ascii="仿宋_GB2312" w:hAnsi="仿宋_GB2312" w:eastAsia="仿宋_GB2312" w:cs="仿宋_GB2312"/>
          <w:sz w:val="32"/>
          <w:szCs w:val="32"/>
        </w:rPr>
        <w:t>支出功能科目调整</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color w:val="auto"/>
          <w:kern w:val="0"/>
          <w:sz w:val="32"/>
          <w:szCs w:val="32"/>
          <w:highlight w:val="none"/>
          <w:lang w:eastAsia="zh-CN"/>
        </w:rPr>
      </w:pPr>
      <w:r>
        <w:rPr>
          <w:rFonts w:hint="eastAsia" w:ascii="黑体" w:hAnsi="黑体" w:eastAsia="黑体" w:cs="黑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0"/>
          <w:sz w:val="32"/>
          <w:szCs w:val="32"/>
          <w:highlight w:val="none"/>
          <w:lang w:eastAsia="zh-CN"/>
        </w:rPr>
        <w:t>2023年度</w:t>
      </w:r>
      <w:r>
        <w:rPr>
          <w:rFonts w:hint="eastAsia" w:ascii="仿宋_GB2312" w:hAnsi="仿宋_GB2312" w:eastAsia="仿宋_GB2312" w:cs="仿宋_GB2312"/>
          <w:color w:val="auto"/>
          <w:sz w:val="32"/>
          <w:szCs w:val="32"/>
          <w:highlight w:val="none"/>
        </w:rPr>
        <w:t>一般公共预算财政拨款基本支出</w:t>
      </w:r>
      <w:r>
        <w:rPr>
          <w:rFonts w:hint="eastAsia" w:ascii="仿宋_GB2312" w:hAnsi="仿宋_GB2312" w:eastAsia="仿宋_GB2312" w:cs="仿宋_GB2312"/>
          <w:color w:val="auto"/>
          <w:sz w:val="32"/>
          <w:szCs w:val="32"/>
          <w:highlight w:val="none"/>
          <w:lang w:eastAsia="zh-CN"/>
        </w:rPr>
        <w:t>318.87</w:t>
      </w:r>
      <w:r>
        <w:rPr>
          <w:rFonts w:hint="eastAsia" w:ascii="仿宋_GB2312" w:hAnsi="仿宋_GB2312" w:eastAsia="仿宋_GB2312" w:cs="仿宋_GB2312"/>
          <w:color w:val="auto"/>
          <w:sz w:val="32"/>
          <w:szCs w:val="32"/>
          <w:highlight w:val="none"/>
        </w:rPr>
        <w:t>万元，其中：人员经费</w:t>
      </w:r>
      <w:r>
        <w:rPr>
          <w:rFonts w:hint="eastAsia" w:ascii="仿宋_GB2312" w:hAnsi="仿宋_GB2312" w:eastAsia="仿宋_GB2312" w:cs="仿宋_GB2312"/>
          <w:color w:val="auto"/>
          <w:sz w:val="32"/>
          <w:szCs w:val="32"/>
          <w:highlight w:val="none"/>
          <w:lang w:eastAsia="zh-CN"/>
        </w:rPr>
        <w:t>299.91</w:t>
      </w:r>
      <w:r>
        <w:rPr>
          <w:rFonts w:hint="eastAsia" w:ascii="仿宋_GB2312" w:hAnsi="仿宋_GB2312" w:eastAsia="仿宋_GB2312" w:cs="仿宋_GB2312"/>
          <w:color w:val="auto"/>
          <w:sz w:val="32"/>
          <w:szCs w:val="32"/>
          <w:highlight w:val="none"/>
        </w:rPr>
        <w:t>万元，包括：</w:t>
      </w:r>
      <w:r>
        <w:rPr>
          <w:rFonts w:hint="eastAsia" w:ascii="仿宋_GB2312" w:hAnsi="仿宋_GB2312" w:eastAsia="仿宋_GB2312" w:cs="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基本工资、津贴补贴、奖金、绩效工资、机关事业单位基本养老保险缴费、职业年金缴费、职工基本医疗保险缴费、公务员医疗补助缴费、其他社会保障缴费、住房公积金、退休费、奖励金。</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red"/>
          <w:lang w:val="en-US" w:eastAsia="zh-CN"/>
        </w:rPr>
      </w:pPr>
      <w:r>
        <w:rPr>
          <w:rFonts w:hint="eastAsia" w:ascii="仿宋_GB2312" w:hAnsi="仿宋_GB2312" w:eastAsia="仿宋_GB2312" w:cs="仿宋_GB2312"/>
          <w:color w:val="auto"/>
          <w:sz w:val="32"/>
          <w:szCs w:val="32"/>
          <w:highlight w:val="none"/>
        </w:rPr>
        <w:t>公用经费</w:t>
      </w:r>
      <w:r>
        <w:rPr>
          <w:rFonts w:hint="eastAsia" w:ascii="仿宋_GB2312" w:hAnsi="仿宋_GB2312" w:eastAsia="仿宋_GB2312" w:cs="仿宋_GB2312"/>
          <w:color w:val="auto"/>
          <w:sz w:val="32"/>
          <w:szCs w:val="32"/>
          <w:highlight w:val="none"/>
          <w:lang w:eastAsia="zh-CN"/>
        </w:rPr>
        <w:t>18.97</w:t>
      </w:r>
      <w:r>
        <w:rPr>
          <w:rFonts w:hint="eastAsia" w:ascii="仿宋_GB2312" w:hAnsi="仿宋_GB2312" w:eastAsia="仿宋_GB2312" w:cs="仿宋_GB2312"/>
          <w:color w:val="auto"/>
          <w:sz w:val="32"/>
          <w:szCs w:val="32"/>
          <w:highlight w:val="none"/>
        </w:rPr>
        <w:t>万元，包括：</w:t>
      </w:r>
      <w:r>
        <w:rPr>
          <w:rFonts w:hint="eastAsia" w:ascii="仿宋_GB2312" w:hAnsi="仿宋_GB2312" w:eastAsia="仿宋_GB2312" w:cs="仿宋_GB2312"/>
          <w:color w:val="auto"/>
          <w:sz w:val="32"/>
          <w:szCs w:val="32"/>
          <w:highlight w:val="none"/>
          <w:lang w:val="en-US" w:eastAsia="zh-CN"/>
        </w:rPr>
        <w:t>办公费、差旅费、维修（护）费、培训费、工会经费、福利费、其他交通费用、其他商品和服务支出。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color w:val="auto"/>
          <w:kern w:val="0"/>
          <w:sz w:val="32"/>
          <w:szCs w:val="32"/>
          <w:highlight w:val="none"/>
          <w:lang w:eastAsia="zh-CN"/>
        </w:rPr>
      </w:pPr>
      <w:r>
        <w:rPr>
          <w:rFonts w:hint="eastAsia" w:ascii="黑体" w:hAnsi="黑体" w:eastAsia="黑体" w:cs="黑体"/>
          <w:bCs/>
          <w:color w:val="auto"/>
          <w:kern w:val="0"/>
          <w:sz w:val="32"/>
          <w:szCs w:val="32"/>
          <w:highlight w:val="none"/>
          <w:lang w:val="en-US" w:eastAsia="zh-CN"/>
        </w:rPr>
        <w:t>七、</w:t>
      </w:r>
      <w:r>
        <w:rPr>
          <w:rFonts w:hint="eastAsia" w:ascii="黑体" w:hAnsi="黑体" w:eastAsia="黑体" w:cs="黑体"/>
          <w:bCs/>
          <w:color w:val="auto"/>
          <w:kern w:val="0"/>
          <w:sz w:val="32"/>
          <w:szCs w:val="32"/>
          <w:highlight w:val="none"/>
          <w:lang w:eastAsia="zh-CN"/>
        </w:rPr>
        <w:t>财政拨款</w:t>
      </w:r>
      <w:r>
        <w:rPr>
          <w:rFonts w:hint="eastAsia" w:ascii="黑体" w:hAnsi="黑体" w:eastAsia="黑体" w:cs="黑体"/>
          <w:bCs/>
          <w:color w:val="auto"/>
          <w:kern w:val="0"/>
          <w:sz w:val="32"/>
          <w:szCs w:val="32"/>
          <w:highlight w:val="none"/>
        </w:rPr>
        <w:t>“三公”经费支出</w:t>
      </w:r>
      <w:r>
        <w:rPr>
          <w:rFonts w:hint="eastAsia" w:ascii="黑体" w:hAnsi="黑体" w:eastAsia="黑体" w:cs="黑体"/>
          <w:bCs/>
          <w:color w:val="auto"/>
          <w:kern w:val="0"/>
          <w:sz w:val="32"/>
          <w:szCs w:val="32"/>
          <w:highlight w:val="none"/>
          <w:lang w:eastAsia="zh-CN"/>
        </w:rPr>
        <w:t>决算</w:t>
      </w:r>
      <w:r>
        <w:rPr>
          <w:rFonts w:hint="eastAsia" w:ascii="黑体" w:hAnsi="黑体" w:eastAsia="黑体" w:cs="黑体"/>
          <w:bCs/>
          <w:color w:val="auto"/>
          <w:kern w:val="0"/>
          <w:sz w:val="32"/>
          <w:szCs w:val="32"/>
          <w:highlight w:val="none"/>
        </w:rPr>
        <w:t>情况</w:t>
      </w:r>
      <w:r>
        <w:rPr>
          <w:rFonts w:hint="eastAsia" w:ascii="黑体" w:hAnsi="黑体" w:eastAsia="黑体" w:cs="黑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财政拨款</w:t>
      </w:r>
      <w:r>
        <w:rPr>
          <w:rFonts w:hint="eastAsia" w:ascii="仿宋_GB2312" w:hAnsi="仿宋_GB2312" w:eastAsia="仿宋_GB2312" w:cs="仿宋_GB2312"/>
          <w:color w:val="auto"/>
          <w:sz w:val="32"/>
          <w:szCs w:val="32"/>
          <w:highlight w:val="none"/>
          <w:lang w:val="zh-CN" w:eastAsia="zh-CN"/>
        </w:rPr>
        <w:t>“三公”经费支出4.00万元，</w:t>
      </w:r>
      <w:r>
        <w:rPr>
          <w:rFonts w:hint="eastAsia" w:ascii="仿宋_GB2312" w:hAnsi="仿宋_GB2312" w:eastAsia="仿宋_GB2312" w:cs="仿宋_GB2312"/>
          <w:color w:val="auto"/>
          <w:sz w:val="32"/>
          <w:szCs w:val="32"/>
          <w:highlight w:val="none"/>
          <w:lang w:val="en-US" w:eastAsia="zh-CN"/>
        </w:rPr>
        <w:t>比上年</w:t>
      </w:r>
      <w:r>
        <w:rPr>
          <w:rFonts w:hint="eastAsia" w:ascii="仿宋_GB2312" w:hAnsi="仿宋_GB2312" w:eastAsia="仿宋_GB2312" w:cs="仿宋_GB2312"/>
          <w:color w:val="auto"/>
          <w:sz w:val="32"/>
          <w:szCs w:val="32"/>
          <w:highlight w:val="none"/>
          <w:lang w:val="zh-CN" w:eastAsia="zh-CN"/>
        </w:rPr>
        <w:t>减少1.03万元，</w:t>
      </w:r>
      <w:r>
        <w:rPr>
          <w:rFonts w:hint="eastAsia" w:ascii="仿宋_GB2312" w:hAnsi="仿宋_GB2312" w:eastAsia="仿宋_GB2312" w:cs="仿宋_GB2312"/>
          <w:color w:val="auto"/>
          <w:spacing w:val="0"/>
          <w:sz w:val="32"/>
          <w:szCs w:val="32"/>
          <w:highlight w:val="none"/>
          <w:lang w:val="en-US" w:eastAsia="zh-CN"/>
        </w:rPr>
        <w:t>下降20.48%,</w:t>
      </w:r>
      <w:r>
        <w:rPr>
          <w:rFonts w:hint="eastAsia" w:ascii="仿宋_GB2312" w:hAnsi="仿宋_GB2312" w:eastAsia="仿宋_GB2312" w:cs="仿宋_GB2312"/>
          <w:color w:val="auto"/>
          <w:sz w:val="32"/>
          <w:szCs w:val="32"/>
          <w:highlight w:val="none"/>
          <w:lang w:val="zh-CN" w:eastAsia="zh-CN"/>
        </w:rPr>
        <w:t>主要原因是：落实厉行节约，过紧日子要求。其中：因公出国（境）费支出0.00万元，占0.00%，比上年增加0.00万元，</w:t>
      </w:r>
      <w:r>
        <w:rPr>
          <w:rFonts w:hint="eastAsia" w:ascii="仿宋_GB2312" w:hAnsi="仿宋_GB2312" w:eastAsia="仿宋_GB2312" w:cs="仿宋_GB2312"/>
          <w:color w:val="auto"/>
          <w:spacing w:val="0"/>
          <w:sz w:val="32"/>
          <w:szCs w:val="32"/>
          <w:highlight w:val="none"/>
          <w:lang w:val="en-US" w:eastAsia="zh-CN"/>
        </w:rPr>
        <w:t>增长0.00%,</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sz w:val="32"/>
          <w:szCs w:val="32"/>
          <w:highlight w:val="none"/>
        </w:rPr>
        <w:t>我单位无因公出国（境）费</w:t>
      </w:r>
      <w:r>
        <w:rPr>
          <w:rFonts w:hint="eastAsia" w:ascii="仿宋_GB2312" w:hAnsi="仿宋_GB2312" w:eastAsia="仿宋_GB2312" w:cs="仿宋_GB2312"/>
          <w:color w:val="auto"/>
          <w:sz w:val="32"/>
          <w:szCs w:val="32"/>
          <w:highlight w:val="none"/>
          <w:lang w:val="zh-CN" w:eastAsia="zh-CN"/>
        </w:rPr>
        <w:t>；公务用车购置及运行维护费支出4.00万元，占100.00%，比上年减少1.03万元，</w:t>
      </w:r>
      <w:r>
        <w:rPr>
          <w:rFonts w:hint="eastAsia" w:ascii="仿宋_GB2312" w:hAnsi="仿宋_GB2312" w:eastAsia="仿宋_GB2312" w:cs="仿宋_GB2312"/>
          <w:color w:val="auto"/>
          <w:spacing w:val="0"/>
          <w:sz w:val="32"/>
          <w:szCs w:val="32"/>
          <w:highlight w:val="none"/>
          <w:lang w:val="en-US" w:eastAsia="zh-CN"/>
        </w:rPr>
        <w:t>下降20.48%,</w:t>
      </w:r>
      <w:r>
        <w:rPr>
          <w:rFonts w:hint="eastAsia" w:ascii="仿宋_GB2312" w:hAnsi="仿宋_GB2312" w:eastAsia="仿宋_GB2312" w:cs="仿宋_GB2312"/>
          <w:color w:val="auto"/>
          <w:sz w:val="32"/>
          <w:szCs w:val="32"/>
          <w:highlight w:val="none"/>
          <w:lang w:val="zh-CN" w:eastAsia="zh-CN"/>
        </w:rPr>
        <w:t>主要原因是：落实厉行节约，过紧日子要求；公务接待费支出0.00万元，占0.00%，比上年增加0.00万元，</w:t>
      </w:r>
      <w:r>
        <w:rPr>
          <w:rFonts w:hint="eastAsia" w:ascii="仿宋_GB2312" w:hAnsi="仿宋_GB2312" w:eastAsia="仿宋_GB2312" w:cs="仿宋_GB2312"/>
          <w:color w:val="auto"/>
          <w:spacing w:val="0"/>
          <w:sz w:val="32"/>
          <w:szCs w:val="32"/>
          <w:highlight w:val="none"/>
          <w:lang w:val="en-US" w:eastAsia="zh-CN"/>
        </w:rPr>
        <w:t>增长0.00%,</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sz w:val="32"/>
          <w:szCs w:val="32"/>
        </w:rPr>
        <w:t>我单位无公务接待费</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因公出国（境）费支出0.00万元，开支内容包括</w:t>
      </w:r>
      <w:r>
        <w:rPr>
          <w:rFonts w:hint="eastAsia" w:ascii="仿宋_GB2312" w:hAnsi="仿宋_GB2312" w:eastAsia="仿宋_GB2312" w:cs="仿宋_GB2312"/>
          <w:sz w:val="32"/>
          <w:szCs w:val="32"/>
        </w:rPr>
        <w:t>我单位无因公出国（境）费</w:t>
      </w:r>
      <w:r>
        <w:rPr>
          <w:rFonts w:hint="eastAsia" w:ascii="仿宋_GB2312" w:hAnsi="仿宋_GB2312" w:eastAsia="仿宋_GB2312" w:cs="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公务用车购置及运行维护费4.00万元，其中：公务用车购置费0.00万元，公务用车运行维护费4.00万元。公务用车运行维护费开支内容包括</w:t>
      </w:r>
      <w:r>
        <w:rPr>
          <w:rFonts w:hint="eastAsia" w:ascii="仿宋_GB2312" w:hAnsi="仿宋_GB2312" w:eastAsia="仿宋_GB2312" w:cs="仿宋_GB2312"/>
          <w:sz w:val="32"/>
          <w:szCs w:val="32"/>
        </w:rPr>
        <w:t>车辆保险费、维修保养费、油料费、停车费</w:t>
      </w:r>
      <w:r>
        <w:rPr>
          <w:rFonts w:hint="eastAsia" w:ascii="仿宋_GB2312" w:hAnsi="仿宋_GB2312" w:eastAsia="仿宋_GB2312" w:cs="仿宋_GB2312"/>
          <w:color w:val="auto"/>
          <w:sz w:val="32"/>
          <w:szCs w:val="32"/>
          <w:highlight w:val="none"/>
          <w:lang w:val="zh-CN" w:eastAsia="zh-CN"/>
        </w:rPr>
        <w:t>。公务用车购置数0辆，公务用车保有量2辆。国有资产占用情况</w:t>
      </w:r>
      <w:r>
        <w:rPr>
          <w:rFonts w:hint="eastAsia" w:ascii="仿宋_GB2312" w:hAnsi="仿宋_GB2312" w:eastAsia="仿宋_GB2312" w:cs="仿宋_GB2312"/>
          <w:color w:val="auto"/>
          <w:sz w:val="32"/>
          <w:szCs w:val="32"/>
          <w:highlight w:val="none"/>
          <w:lang w:val="en-US" w:eastAsia="zh-CN"/>
        </w:rPr>
        <w:t>中固定资产车辆</w:t>
      </w:r>
      <w:r>
        <w:rPr>
          <w:rFonts w:hint="eastAsia" w:ascii="仿宋_GB2312" w:hAnsi="仿宋_GB2312" w:eastAsia="仿宋_GB2312" w:cs="仿宋_GB2312"/>
          <w:color w:val="auto"/>
          <w:sz w:val="32"/>
          <w:szCs w:val="32"/>
          <w:highlight w:val="none"/>
          <w:lang w:val="zh-CN" w:eastAsia="zh-CN"/>
        </w:rPr>
        <w:t>2辆，</w:t>
      </w:r>
      <w:r>
        <w:rPr>
          <w:rFonts w:hint="eastAsia" w:ascii="仿宋_GB2312" w:hAnsi="仿宋_GB2312" w:eastAsia="仿宋_GB2312" w:cs="仿宋_GB2312"/>
          <w:color w:val="auto"/>
          <w:sz w:val="32"/>
          <w:szCs w:val="32"/>
          <w:highlight w:val="none"/>
          <w:lang w:val="en-US" w:eastAsia="zh-CN"/>
        </w:rPr>
        <w:t>与</w:t>
      </w:r>
      <w:r>
        <w:rPr>
          <w:rFonts w:hint="eastAsia" w:ascii="仿宋_GB2312" w:hAnsi="仿宋_GB2312" w:eastAsia="仿宋_GB2312" w:cs="仿宋_GB2312"/>
          <w:color w:val="auto"/>
          <w:sz w:val="32"/>
          <w:szCs w:val="32"/>
          <w:highlight w:val="none"/>
          <w:lang w:val="zh-CN" w:eastAsia="zh-CN"/>
        </w:rPr>
        <w:t>公务用车</w:t>
      </w:r>
      <w:r>
        <w:rPr>
          <w:rFonts w:hint="eastAsia" w:ascii="仿宋_GB2312" w:hAnsi="仿宋_GB2312" w:eastAsia="仿宋_GB2312" w:cs="仿宋_GB2312"/>
          <w:color w:val="auto"/>
          <w:sz w:val="32"/>
          <w:szCs w:val="32"/>
          <w:highlight w:val="none"/>
          <w:lang w:val="en-US" w:eastAsia="zh-CN"/>
        </w:rPr>
        <w:t>保有量差异</w:t>
      </w:r>
      <w:r>
        <w:rPr>
          <w:rFonts w:hint="eastAsia" w:ascii="仿宋_GB2312" w:hAnsi="仿宋_GB2312" w:eastAsia="仿宋_GB2312" w:cs="仿宋_GB2312"/>
          <w:color w:val="auto"/>
          <w:sz w:val="32"/>
          <w:szCs w:val="32"/>
          <w:highlight w:val="none"/>
          <w:lang w:val="zh-CN" w:eastAsia="zh-CN"/>
        </w:rPr>
        <w:t>原因是：公务用车保有量</w:t>
      </w:r>
      <w:r>
        <w:rPr>
          <w:rFonts w:hint="eastAsia" w:ascii="仿宋_GB2312" w:hAnsi="仿宋_GB2312" w:eastAsia="仿宋_GB2312" w:cs="仿宋_GB2312"/>
          <w:color w:val="auto"/>
          <w:sz w:val="32"/>
          <w:szCs w:val="32"/>
          <w:highlight w:val="none"/>
          <w:lang w:val="en-US" w:eastAsia="zh-CN"/>
        </w:rPr>
        <w:t>与</w:t>
      </w:r>
      <w:r>
        <w:rPr>
          <w:rFonts w:hint="eastAsia" w:ascii="仿宋_GB2312" w:hAnsi="仿宋_GB2312" w:eastAsia="仿宋_GB2312" w:cs="仿宋_GB2312"/>
          <w:color w:val="auto"/>
          <w:sz w:val="32"/>
          <w:szCs w:val="32"/>
          <w:highlight w:val="none"/>
          <w:lang w:val="zh-CN" w:eastAsia="zh-CN"/>
        </w:rPr>
        <w:t>国有资产占用情况</w:t>
      </w:r>
      <w:r>
        <w:rPr>
          <w:rFonts w:hint="eastAsia" w:ascii="仿宋_GB2312" w:hAnsi="仿宋_GB2312" w:eastAsia="仿宋_GB2312" w:cs="仿宋_GB2312"/>
          <w:color w:val="auto"/>
          <w:sz w:val="32"/>
          <w:szCs w:val="32"/>
          <w:highlight w:val="none"/>
          <w:lang w:val="en-US" w:eastAsia="zh-CN"/>
        </w:rPr>
        <w:t>中固定资产车辆无差异</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公务接待费0.00万元，开支内容包括</w:t>
      </w:r>
      <w:r>
        <w:rPr>
          <w:rFonts w:hint="eastAsia" w:ascii="仿宋_GB2312" w:hAnsi="仿宋_GB2312" w:eastAsia="仿宋_GB2312" w:cs="仿宋_GB2312"/>
          <w:sz w:val="32"/>
          <w:szCs w:val="32"/>
        </w:rPr>
        <w:t>我单位无公务接待费。</w:t>
      </w:r>
      <w:r>
        <w:rPr>
          <w:rFonts w:hint="eastAsia" w:ascii="仿宋_GB2312" w:hAnsi="仿宋_GB2312" w:eastAsia="仿宋_GB2312" w:cs="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与</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预算相比</w:t>
      </w:r>
      <w:r>
        <w:rPr>
          <w:rFonts w:hint="eastAsia"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财政拨款“三公”经费支出</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预算数4.00万元，决算数4.00万元，预决算差异率0.00%，主要原因是：</w:t>
      </w:r>
      <w:r>
        <w:rPr>
          <w:rFonts w:hint="eastAsia" w:ascii="仿宋_GB2312" w:hAnsi="仿宋_GB2312" w:eastAsia="仿宋_GB2312" w:cs="仿宋_GB2312"/>
          <w:sz w:val="32"/>
          <w:szCs w:val="32"/>
        </w:rPr>
        <w:t>全年预算数与决算数无差异</w:t>
      </w:r>
      <w:r>
        <w:rPr>
          <w:rFonts w:hint="eastAsia" w:ascii="仿宋_GB2312" w:hAnsi="仿宋_GB2312" w:eastAsia="仿宋_GB2312" w:cs="仿宋_GB2312"/>
          <w:color w:val="auto"/>
          <w:sz w:val="32"/>
          <w:szCs w:val="32"/>
          <w:highlight w:val="none"/>
          <w:lang w:val="zh-CN" w:eastAsia="zh-CN"/>
        </w:rPr>
        <w:t>。其中：因公出国（境）费</w:t>
      </w:r>
      <w:r>
        <w:rPr>
          <w:rFonts w:hint="eastAsia" w:ascii="仿宋_GB2312" w:hAnsi="仿宋_GB2312" w:eastAsia="仿宋_GB2312" w:cs="仿宋_GB2312"/>
          <w:color w:val="auto"/>
          <w:sz w:val="32"/>
          <w:szCs w:val="32"/>
          <w:highlight w:val="none"/>
          <w:lang w:val="en-US" w:eastAsia="zh-CN"/>
        </w:rPr>
        <w:t>全年预算数</w:t>
      </w:r>
      <w:r>
        <w:rPr>
          <w:rFonts w:hint="eastAsia" w:ascii="仿宋_GB2312" w:hAnsi="仿宋_GB2312" w:eastAsia="仿宋_GB2312" w:cs="仿宋_GB2312"/>
          <w:color w:val="auto"/>
          <w:sz w:val="32"/>
          <w:szCs w:val="32"/>
          <w:highlight w:val="none"/>
          <w:lang w:val="zh-CN" w:eastAsia="zh-CN"/>
        </w:rPr>
        <w:t>0.00万元，决算数0.00万元，预决算差异率0.00%，主要原因是：</w:t>
      </w:r>
      <w:r>
        <w:rPr>
          <w:rFonts w:hint="eastAsia" w:ascii="仿宋_GB2312" w:hAnsi="仿宋_GB2312" w:eastAsia="仿宋_GB2312" w:cs="仿宋_GB2312"/>
          <w:sz w:val="32"/>
          <w:szCs w:val="32"/>
        </w:rPr>
        <w:t>我单位无因公出国（境）费</w:t>
      </w:r>
      <w:r>
        <w:rPr>
          <w:rFonts w:hint="eastAsia" w:ascii="仿宋_GB2312" w:hAnsi="仿宋_GB2312" w:eastAsia="仿宋_GB2312" w:cs="仿宋_GB2312"/>
          <w:color w:val="auto"/>
          <w:sz w:val="32"/>
          <w:szCs w:val="32"/>
          <w:highlight w:val="none"/>
          <w:lang w:val="zh-CN" w:eastAsia="zh-CN"/>
        </w:rPr>
        <w:t>；公务用车购置费</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预算数0.00万元，决算数0.00万元，预决算差异率0.00%，主要原因是：</w:t>
      </w:r>
      <w:r>
        <w:rPr>
          <w:rFonts w:hint="eastAsia" w:ascii="仿宋_GB2312" w:hAnsi="仿宋_GB2312" w:eastAsia="仿宋_GB2312" w:cs="仿宋_GB2312"/>
          <w:sz w:val="32"/>
          <w:szCs w:val="32"/>
        </w:rPr>
        <w:t>我单位无公务用车购置费</w:t>
      </w:r>
      <w:r>
        <w:rPr>
          <w:rFonts w:hint="eastAsia" w:ascii="仿宋_GB2312" w:hAnsi="仿宋_GB2312" w:eastAsia="仿宋_GB2312" w:cs="仿宋_GB2312"/>
          <w:color w:val="auto"/>
          <w:sz w:val="32"/>
          <w:szCs w:val="32"/>
          <w:highlight w:val="none"/>
          <w:lang w:val="zh-CN" w:eastAsia="zh-CN"/>
        </w:rPr>
        <w:t>；公务用车运行费</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预算数4.00万元，决算数4.00万元，预决算差异率0.00%，主要原因是：</w:t>
      </w:r>
      <w:r>
        <w:rPr>
          <w:rFonts w:hint="eastAsia" w:ascii="仿宋_GB2312" w:hAnsi="仿宋_GB2312" w:eastAsia="仿宋_GB2312" w:cs="仿宋_GB2312"/>
          <w:sz w:val="32"/>
          <w:szCs w:val="32"/>
        </w:rPr>
        <w:t>全年预算数与决算数无差异</w:t>
      </w:r>
      <w:r>
        <w:rPr>
          <w:rFonts w:hint="eastAsia" w:ascii="仿宋_GB2312" w:hAnsi="仿宋_GB2312" w:eastAsia="仿宋_GB2312" w:cs="仿宋_GB2312"/>
          <w:color w:val="auto"/>
          <w:sz w:val="32"/>
          <w:szCs w:val="32"/>
          <w:highlight w:val="none"/>
          <w:lang w:val="zh-CN" w:eastAsia="zh-CN"/>
        </w:rPr>
        <w:t>；公务接待费</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预算数0.00万元，决算数0.00万元，预决算差异率0.00%，主要原因是：</w:t>
      </w:r>
      <w:r>
        <w:rPr>
          <w:rFonts w:hint="eastAsia" w:ascii="仿宋_GB2312" w:hAnsi="仿宋_GB2312" w:eastAsia="仿宋_GB2312" w:cs="仿宋_GB2312"/>
          <w:sz w:val="32"/>
          <w:szCs w:val="32"/>
        </w:rPr>
        <w:t>我单位无公务接待费</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color w:val="auto"/>
          <w:kern w:val="0"/>
          <w:sz w:val="32"/>
          <w:szCs w:val="32"/>
          <w:highlight w:val="none"/>
          <w:lang w:eastAsia="zh-CN"/>
        </w:rPr>
      </w:pPr>
      <w:bookmarkStart w:id="18" w:name="_Toc7927"/>
      <w:bookmarkStart w:id="19" w:name="_Toc5810"/>
      <w:r>
        <w:rPr>
          <w:rFonts w:hint="eastAsia" w:ascii="黑体" w:hAnsi="黑体" w:eastAsia="黑体" w:cs="黑体"/>
          <w:bCs/>
          <w:color w:val="auto"/>
          <w:kern w:val="0"/>
          <w:sz w:val="32"/>
          <w:szCs w:val="32"/>
          <w:highlight w:val="none"/>
          <w:lang w:val="en-US" w:eastAsia="zh-CN"/>
        </w:rPr>
        <w:t>八</w:t>
      </w:r>
      <w:r>
        <w:rPr>
          <w:rFonts w:hint="eastAsia" w:ascii="黑体" w:hAnsi="黑体" w:eastAsia="黑体" w:cs="黑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我</w:t>
      </w:r>
      <w:r>
        <w:rPr>
          <w:rFonts w:hint="eastAsia" w:ascii="仿宋_GB2312" w:hAnsi="仿宋_GB2312" w:eastAsia="仿宋_GB2312" w:cs="仿宋_GB2312"/>
          <w:color w:val="auto"/>
          <w:sz w:val="32"/>
          <w:szCs w:val="32"/>
          <w:highlight w:val="none"/>
          <w:lang w:val="en-US" w:eastAsia="zh-CN"/>
        </w:rPr>
        <w:t>单位</w:t>
      </w:r>
      <w:r>
        <w:rPr>
          <w:rFonts w:hint="eastAsia" w:ascii="仿宋_GB2312" w:hAnsi="仿宋_GB2312" w:eastAsia="仿宋_GB2312" w:cs="仿宋_GB2312"/>
          <w:color w:val="auto"/>
          <w:sz w:val="32"/>
          <w:szCs w:val="32"/>
          <w:highlight w:val="none"/>
          <w:lang w:eastAsia="zh-CN"/>
        </w:rPr>
        <w:t>本年度无政府性基金预算财政拨款收入、支出</w:t>
      </w:r>
      <w:r>
        <w:rPr>
          <w:rFonts w:hint="eastAsia" w:ascii="仿宋_GB2312" w:hAnsi="仿宋_GB2312" w:eastAsia="仿宋_GB2312" w:cs="仿宋_GB2312"/>
          <w:color w:val="auto"/>
          <w:sz w:val="32"/>
          <w:szCs w:val="32"/>
          <w:highlight w:val="none"/>
          <w:lang w:val="en-US" w:eastAsia="zh-CN"/>
        </w:rPr>
        <w:t>及结转和结余</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color w:val="auto"/>
          <w:kern w:val="0"/>
          <w:sz w:val="32"/>
          <w:szCs w:val="32"/>
          <w:highlight w:val="none"/>
          <w:lang w:eastAsia="zh-CN"/>
        </w:rPr>
      </w:pPr>
      <w:r>
        <w:rPr>
          <w:rFonts w:hint="eastAsia" w:ascii="黑体" w:hAnsi="黑体" w:eastAsia="黑体" w:cs="黑体"/>
          <w:bCs/>
          <w:color w:val="auto"/>
          <w:kern w:val="0"/>
          <w:sz w:val="32"/>
          <w:szCs w:val="32"/>
          <w:highlight w:val="none"/>
          <w:lang w:val="en-US" w:eastAsia="zh-CN"/>
        </w:rPr>
        <w:t>九</w:t>
      </w:r>
      <w:r>
        <w:rPr>
          <w:rFonts w:hint="eastAsia" w:ascii="黑体" w:hAnsi="黑体" w:eastAsia="黑体" w:cs="黑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我</w:t>
      </w:r>
      <w:r>
        <w:rPr>
          <w:rFonts w:hint="eastAsia" w:ascii="仿宋_GB2312" w:hAnsi="仿宋_GB2312" w:eastAsia="仿宋_GB2312" w:cs="仿宋_GB2312"/>
          <w:color w:val="auto"/>
          <w:sz w:val="32"/>
          <w:szCs w:val="32"/>
          <w:highlight w:val="none"/>
          <w:lang w:val="en-US" w:eastAsia="zh-CN"/>
        </w:rPr>
        <w:t>单位</w:t>
      </w:r>
      <w:r>
        <w:rPr>
          <w:rFonts w:hint="eastAsia" w:ascii="仿宋_GB2312" w:hAnsi="仿宋_GB2312" w:eastAsia="仿宋_GB2312" w:cs="仿宋_GB2312"/>
          <w:color w:val="auto"/>
          <w:sz w:val="32"/>
          <w:szCs w:val="32"/>
          <w:highlight w:val="none"/>
          <w:lang w:eastAsia="zh-CN"/>
        </w:rPr>
        <w:t>本年度无国有资本经营预算财政拨款收入、支出</w:t>
      </w:r>
      <w:r>
        <w:rPr>
          <w:rFonts w:hint="eastAsia" w:ascii="仿宋_GB2312" w:hAnsi="仿宋_GB2312" w:eastAsia="仿宋_GB2312" w:cs="仿宋_GB2312"/>
          <w:color w:val="auto"/>
          <w:sz w:val="32"/>
          <w:szCs w:val="32"/>
          <w:highlight w:val="none"/>
          <w:lang w:val="en-US" w:eastAsia="zh-CN"/>
        </w:rPr>
        <w:t>及结转和结余</w:t>
      </w:r>
      <w:r>
        <w:rPr>
          <w:rFonts w:hint="eastAsia" w:ascii="仿宋_GB2312" w:hAnsi="仿宋_GB2312" w:eastAsia="仿宋_GB2312" w:cs="仿宋_GB2312"/>
          <w:color w:val="auto"/>
          <w:sz w:val="32"/>
          <w:szCs w:val="32"/>
          <w:highlight w:val="none"/>
          <w:lang w:eastAsia="zh-CN"/>
        </w:rPr>
        <w:t>，国有资本经营</w:t>
      </w:r>
      <w:r>
        <w:rPr>
          <w:rFonts w:hint="eastAsia" w:ascii="仿宋_GB2312" w:hAnsi="仿宋_GB2312" w:eastAsia="仿宋_GB2312" w:cs="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color w:val="auto"/>
          <w:kern w:val="0"/>
          <w:sz w:val="32"/>
          <w:szCs w:val="32"/>
          <w:highlight w:val="none"/>
          <w:lang w:eastAsia="zh-CN"/>
        </w:rPr>
      </w:pPr>
      <w:bookmarkStart w:id="20" w:name="_Toc7314"/>
      <w:bookmarkStart w:id="21" w:name="_Toc1235"/>
      <w:r>
        <w:rPr>
          <w:rFonts w:hint="eastAsia" w:ascii="黑体" w:hAnsi="黑体" w:eastAsia="黑体" w:cs="黑体"/>
          <w:bCs/>
          <w:color w:val="auto"/>
          <w:kern w:val="0"/>
          <w:sz w:val="32"/>
          <w:szCs w:val="32"/>
          <w:highlight w:val="none"/>
          <w:lang w:eastAsia="zh-CN"/>
        </w:rPr>
        <w:t>十</w:t>
      </w:r>
      <w:r>
        <w:rPr>
          <w:rFonts w:hint="eastAsia" w:ascii="黑体" w:hAnsi="黑体" w:eastAsia="黑体" w:cs="黑体"/>
          <w:bCs/>
          <w:color w:val="auto"/>
          <w:kern w:val="0"/>
          <w:sz w:val="32"/>
          <w:szCs w:val="32"/>
          <w:highlight w:val="none"/>
        </w:rPr>
        <w:t>、其他重要事项的情况</w:t>
      </w:r>
      <w:r>
        <w:rPr>
          <w:rFonts w:hint="eastAsia" w:ascii="黑体" w:hAnsi="黑体" w:eastAsia="黑体" w:cs="黑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2"/>
        <w:rPr>
          <w:rFonts w:hint="eastAsia" w:ascii="黑体" w:hAnsi="黑体" w:eastAsia="黑体" w:cs="黑体"/>
          <w:color w:val="auto"/>
          <w:sz w:val="32"/>
          <w:szCs w:val="32"/>
          <w:highlight w:val="none"/>
        </w:rPr>
      </w:pPr>
      <w:bookmarkStart w:id="22" w:name="_Toc13105"/>
      <w:bookmarkStart w:id="23" w:name="_Toc14519"/>
      <w:r>
        <w:rPr>
          <w:rFonts w:hint="eastAsia" w:ascii="黑体" w:hAnsi="黑体" w:eastAsia="黑体" w:cs="黑体"/>
          <w:color w:val="auto"/>
          <w:sz w:val="32"/>
          <w:szCs w:val="32"/>
          <w:highlight w:val="none"/>
          <w:lang w:eastAsia="zh-CN"/>
        </w:rPr>
        <w:t>（一）</w:t>
      </w:r>
      <w:r>
        <w:rPr>
          <w:rFonts w:hint="eastAsia" w:ascii="黑体" w:hAnsi="黑体" w:eastAsia="黑体" w:cs="黑体"/>
          <w:color w:val="auto"/>
          <w:sz w:val="32"/>
          <w:szCs w:val="32"/>
          <w:highlight w:val="none"/>
        </w:rPr>
        <w:t>机关运行经费支出情况</w:t>
      </w:r>
      <w:bookmarkEnd w:id="22"/>
      <w:bookmarkEnd w:id="23"/>
    </w:p>
    <w:p>
      <w:pPr>
        <w:ind w:firstLine="640" w:firstLineChars="200"/>
        <w:jc w:val="both"/>
        <w:rPr>
          <w:rFonts w:hint="eastAsia" w:ascii="仿宋_GB2312" w:hAnsi="仿宋_GB2312" w:eastAsia="仿宋_GB2312" w:cs="仿宋_GB2312"/>
          <w:color w:val="auto"/>
          <w:sz w:val="32"/>
          <w:szCs w:val="32"/>
          <w:highlight w:val="none"/>
          <w:lang w:val="zh-CN"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亚洲中心时报社(《新疆政协》杂志社）</w:t>
      </w:r>
      <w:r>
        <w:rPr>
          <w:rFonts w:hint="eastAsia" w:ascii="仿宋_GB2312" w:hAnsi="仿宋_GB2312" w:eastAsia="仿宋_GB2312" w:cs="仿宋_GB2312"/>
          <w:color w:val="auto"/>
          <w:sz w:val="32"/>
          <w:szCs w:val="32"/>
          <w:highlight w:val="none"/>
          <w:lang w:val="zh-CN" w:eastAsia="zh-CN"/>
        </w:rPr>
        <w:t>（事业单位）公用经费支出18.97万元，比上年减少0.13万元，下降0.68%，主要原因是：厉行节约，降低成本。</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黑体" w:hAnsi="黑体" w:eastAsia="黑体" w:cs="黑体"/>
          <w:color w:val="auto"/>
          <w:sz w:val="32"/>
          <w:szCs w:val="32"/>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514.25万元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其中：政府采购货物支出11.07万元、政府采购工程支出1.21万元、政府采购服务支出501.96万元。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授予中小企业合同金额343.79万元，占政府采购支出总额的66.85%，其中：授予小微企业合同金额279.</w:t>
      </w:r>
      <w:r>
        <w:rPr>
          <w:rFonts w:hint="eastAsia" w:ascii="仿宋_GB2312" w:hAnsi="仿宋_GB2312" w:eastAsia="仿宋_GB2312" w:cs="仿宋_GB2312"/>
          <w:color w:val="auto"/>
          <w:sz w:val="32"/>
          <w:szCs w:val="32"/>
          <w:highlight w:val="none"/>
          <w:lang w:val="en-US" w:eastAsia="zh-CN"/>
        </w:rPr>
        <w:t>28</w:t>
      </w:r>
      <w:r>
        <w:rPr>
          <w:rFonts w:hint="eastAsia" w:ascii="仿宋_GB2312" w:hAnsi="仿宋_GB2312" w:eastAsia="仿宋_GB2312" w:cs="仿宋_GB2312"/>
          <w:color w:val="auto"/>
          <w:sz w:val="32"/>
          <w:szCs w:val="32"/>
          <w:highlight w:val="none"/>
          <w:lang w:val="zh-CN" w:eastAsia="zh-CN"/>
        </w:rPr>
        <w:t>万元，占政府采购支出总额的54.31%</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黑体" w:hAnsi="黑体" w:eastAsia="黑体" w:cs="黑体"/>
          <w:color w:val="auto"/>
          <w:sz w:val="32"/>
          <w:szCs w:val="32"/>
          <w:highlight w:val="none"/>
          <w:lang w:val="zh-CN" w:eastAsia="zh-CN"/>
        </w:rPr>
      </w:pPr>
      <w:bookmarkStart w:id="26" w:name="_Toc4591"/>
      <w:bookmarkStart w:id="27" w:name="_Toc8391"/>
      <w:r>
        <w:rPr>
          <w:rFonts w:hint="eastAsia" w:ascii="黑体" w:hAnsi="黑体" w:eastAsia="黑体" w:cs="黑体"/>
          <w:color w:val="auto"/>
          <w:sz w:val="32"/>
          <w:szCs w:val="32"/>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317.16</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屋0.0平方米，价值0.00万元。车辆2辆，价值41.57万元，其中：副部（省）级及以上领导用车0辆、主要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用车0辆、其他用车2辆，其他用车主要是：</w:t>
      </w:r>
      <w:r>
        <w:rPr>
          <w:rFonts w:hint="eastAsia" w:ascii="仿宋_GB2312" w:hAnsi="仿宋_GB2312" w:eastAsia="仿宋_GB2312" w:cs="仿宋_GB2312"/>
          <w:sz w:val="32"/>
          <w:szCs w:val="32"/>
        </w:rPr>
        <w:t>一般公务用车</w:t>
      </w:r>
      <w:r>
        <w:rPr>
          <w:rFonts w:hint="eastAsia" w:ascii="仿宋_GB2312" w:hAnsi="仿宋_GB2312" w:eastAsia="仿宋_GB2312" w:cs="仿宋_GB2312"/>
          <w:color w:val="auto"/>
          <w:sz w:val="32"/>
          <w:szCs w:val="32"/>
          <w:highlight w:val="none"/>
          <w:lang w:val="zh-CN" w:eastAsia="zh-CN"/>
        </w:rPr>
        <w:t>；单价100万元（含）以上设备（不含车辆）0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黑体"/>
          <w:bCs/>
          <w:color w:val="auto"/>
          <w:kern w:val="0"/>
          <w:sz w:val="32"/>
          <w:szCs w:val="32"/>
          <w:highlight w:val="none"/>
          <w:lang w:eastAsia="zh-CN"/>
        </w:rPr>
      </w:pPr>
      <w:bookmarkStart w:id="28" w:name="_Toc435"/>
      <w:bookmarkStart w:id="29" w:name="_Toc11283"/>
      <w:r>
        <w:rPr>
          <w:rFonts w:hint="eastAsia" w:ascii="黑体" w:hAnsi="黑体" w:eastAsia="黑体" w:cs="黑体"/>
          <w:bCs/>
          <w:color w:val="auto"/>
          <w:kern w:val="0"/>
          <w:sz w:val="32"/>
          <w:szCs w:val="32"/>
          <w:highlight w:val="none"/>
          <w:lang w:eastAsia="zh-CN"/>
        </w:rPr>
        <w:t>十</w:t>
      </w:r>
      <w:r>
        <w:rPr>
          <w:rFonts w:hint="eastAsia" w:ascii="黑体" w:hAnsi="黑体" w:eastAsia="黑体" w:cs="黑体"/>
          <w:bCs/>
          <w:color w:val="auto"/>
          <w:kern w:val="0"/>
          <w:sz w:val="32"/>
          <w:szCs w:val="32"/>
          <w:highlight w:val="none"/>
          <w:lang w:val="en-US" w:eastAsia="zh-CN"/>
        </w:rPr>
        <w:t>一</w:t>
      </w:r>
      <w:r>
        <w:rPr>
          <w:rFonts w:hint="eastAsia" w:ascii="黑体" w:hAnsi="黑体" w:eastAsia="黑体" w:cs="黑体"/>
          <w:bCs/>
          <w:color w:val="auto"/>
          <w:kern w:val="0"/>
          <w:sz w:val="32"/>
          <w:szCs w:val="32"/>
          <w:highlight w:val="none"/>
          <w:lang w:eastAsia="zh-CN"/>
        </w:rPr>
        <w:t>、预算绩效的情况说明</w:t>
      </w:r>
      <w:bookmarkEnd w:id="28"/>
      <w:bookmarkEnd w:id="29"/>
    </w:p>
    <w:p>
      <w:pPr>
        <w:ind w:firstLine="640" w:firstLineChars="200"/>
        <w:jc w:val="both"/>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根据预算绩效管理要求，我</w:t>
      </w:r>
      <w:r>
        <w:rPr>
          <w:rFonts w:hint="eastAsia" w:ascii="仿宋_GB2312" w:hAnsi="仿宋_GB2312" w:eastAsia="仿宋_GB2312" w:cs="仿宋_GB2312"/>
          <w:color w:val="auto"/>
          <w:sz w:val="32"/>
          <w:szCs w:val="32"/>
          <w:highlight w:val="none"/>
          <w:lang w:val="en-US" w:eastAsia="zh-CN"/>
        </w:rPr>
        <w:t>单位</w:t>
      </w:r>
      <w:r>
        <w:rPr>
          <w:rFonts w:hint="eastAsia" w:ascii="仿宋_GB2312" w:hAnsi="仿宋_GB2312" w:eastAsia="仿宋_GB2312" w:cs="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kern w:val="0"/>
          <w:sz w:val="32"/>
          <w:szCs w:val="32"/>
          <w:highlight w:val="none"/>
          <w:lang w:val="en-US" w:eastAsia="zh-CN"/>
        </w:rPr>
        <w:t>0个，全年</w:t>
      </w:r>
      <w:r>
        <w:rPr>
          <w:rFonts w:hint="eastAsia" w:ascii="仿宋_GB2312" w:hAnsi="仿宋_GB2312" w:eastAsia="仿宋_GB2312" w:cs="仿宋_GB2312"/>
          <w:color w:val="auto"/>
          <w:sz w:val="32"/>
          <w:szCs w:val="32"/>
          <w:highlight w:val="none"/>
          <w:lang w:val="en-US" w:eastAsia="zh-CN"/>
        </w:rPr>
        <w:t>预算总额0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实际执行总额0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我单位整体支出绩效自评表由主管单位编制并公开。</w:t>
      </w:r>
      <w:r>
        <w:rPr>
          <w:rFonts w:hint="eastAsia" w:ascii="仿宋_GB2312" w:hAnsi="仿宋_GB2312" w:eastAsia="仿宋_GB2312" w:cs="仿宋_GB2312"/>
          <w:color w:val="auto"/>
          <w:sz w:val="32"/>
          <w:szCs w:val="32"/>
          <w:highlight w:val="none"/>
          <w:lang w:eastAsia="zh-CN"/>
        </w:rPr>
        <w:t>预算绩效评价项目</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个，</w:t>
      </w:r>
      <w:r>
        <w:rPr>
          <w:rFonts w:hint="eastAsia" w:ascii="仿宋_GB2312" w:hAnsi="仿宋_GB2312" w:eastAsia="仿宋_GB2312" w:cs="仿宋_GB2312"/>
          <w:color w:val="auto"/>
          <w:sz w:val="32"/>
          <w:szCs w:val="32"/>
          <w:highlight w:val="none"/>
          <w:lang w:val="en-US" w:eastAsia="zh-CN"/>
        </w:rPr>
        <w:t>全年预算数818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全年执行数745.01</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。预算绩效管理取得的成效：</w:t>
      </w:r>
      <w:r>
        <w:rPr>
          <w:rFonts w:hint="eastAsia" w:ascii="仿宋_GB2312" w:eastAsia="仿宋_GB2312"/>
          <w:b w:val="0"/>
          <w:bCs w:val="0"/>
          <w:sz w:val="32"/>
          <w:szCs w:val="32"/>
          <w:highlight w:val="none"/>
          <w:lang w:eastAsia="zh-CN"/>
        </w:rPr>
        <w:t>一</w:t>
      </w:r>
      <w:r>
        <w:rPr>
          <w:rFonts w:hint="eastAsia" w:ascii="仿宋_GB2312" w:eastAsia="仿宋_GB2312"/>
          <w:b w:val="0"/>
          <w:bCs w:val="0"/>
          <w:sz w:val="32"/>
          <w:szCs w:val="32"/>
          <w:lang w:eastAsia="zh-CN"/>
        </w:rPr>
        <w:t>是</w:t>
      </w:r>
      <w:r>
        <w:rPr>
          <w:rFonts w:hint="eastAsia" w:ascii="仿宋_GB2312" w:hAnsi="仿宋_GB2312" w:eastAsia="仿宋_GB2312" w:cs="仿宋_GB2312"/>
          <w:color w:val="auto"/>
          <w:sz w:val="32"/>
          <w:szCs w:val="32"/>
          <w:highlight w:val="none"/>
          <w:lang w:eastAsia="zh-CN"/>
        </w:rPr>
        <w:t>我单位各项工作实施及资金使用情况均在绩效目标设定时限</w:t>
      </w:r>
      <w:r>
        <w:rPr>
          <w:rFonts w:hint="eastAsia" w:ascii="仿宋_GB2312" w:hAnsi="仿宋_GB2312" w:eastAsia="仿宋_GB2312" w:cs="仿宋_GB2312"/>
          <w:color w:val="auto"/>
          <w:sz w:val="32"/>
          <w:szCs w:val="32"/>
          <w:highlight w:val="none"/>
          <w:lang w:val="en-US" w:eastAsia="zh-CN"/>
        </w:rPr>
        <w:t>内</w:t>
      </w:r>
      <w:r>
        <w:rPr>
          <w:rFonts w:hint="eastAsia" w:ascii="仿宋_GB2312" w:hAnsi="仿宋_GB2312" w:eastAsia="仿宋_GB2312" w:cs="仿宋_GB2312"/>
          <w:color w:val="auto"/>
          <w:sz w:val="32"/>
          <w:szCs w:val="32"/>
          <w:highlight w:val="none"/>
          <w:lang w:eastAsia="zh-CN"/>
        </w:rPr>
        <w:t>完成。预算安排的基本支出</w:t>
      </w:r>
      <w:r>
        <w:rPr>
          <w:rFonts w:hint="eastAsia" w:ascii="仿宋_GB2312" w:hAnsi="仿宋_GB2312" w:eastAsia="仿宋_GB2312" w:cs="仿宋_GB2312"/>
          <w:color w:val="auto"/>
          <w:sz w:val="32"/>
          <w:szCs w:val="32"/>
          <w:highlight w:val="none"/>
          <w:lang w:val="en-US" w:eastAsia="zh-CN"/>
        </w:rPr>
        <w:t>及项目支出</w:t>
      </w:r>
      <w:r>
        <w:rPr>
          <w:rFonts w:hint="eastAsia" w:ascii="仿宋_GB2312" w:hAnsi="仿宋_GB2312" w:eastAsia="仿宋_GB2312" w:cs="仿宋_GB2312"/>
          <w:color w:val="auto"/>
          <w:sz w:val="32"/>
          <w:szCs w:val="32"/>
          <w:highlight w:val="none"/>
          <w:lang w:eastAsia="zh-CN"/>
        </w:rPr>
        <w:t>保障了正常的工作运转，在执行上严格遵守各项财经纪律，在项目资金的使用上，严守法律底线、纪律底线；</w:t>
      </w:r>
      <w:r>
        <w:rPr>
          <w:rFonts w:hint="eastAsia" w:ascii="仿宋_GB2312" w:eastAsia="仿宋_GB2312"/>
          <w:b w:val="0"/>
          <w:bCs w:val="0"/>
          <w:sz w:val="32"/>
          <w:szCs w:val="32"/>
          <w:lang w:eastAsia="zh-CN"/>
        </w:rPr>
        <w:t>二是</w:t>
      </w:r>
      <w:r>
        <w:rPr>
          <w:rFonts w:hint="eastAsia" w:ascii="仿宋_GB2312" w:eastAsia="仿宋_GB2312"/>
          <w:b w:val="0"/>
          <w:bCs w:val="0"/>
          <w:sz w:val="32"/>
          <w:szCs w:val="32"/>
        </w:rPr>
        <w:t>按月分析财政资金执行进度，</w:t>
      </w:r>
      <w:r>
        <w:rPr>
          <w:rFonts w:hint="eastAsia" w:ascii="仿宋_GB2312" w:eastAsia="仿宋_GB2312"/>
          <w:b w:val="0"/>
          <w:bCs w:val="0"/>
          <w:sz w:val="32"/>
          <w:szCs w:val="32"/>
          <w:lang w:eastAsia="zh-CN"/>
        </w:rPr>
        <w:t>及时分析、</w:t>
      </w:r>
      <w:r>
        <w:rPr>
          <w:rFonts w:hint="eastAsia" w:ascii="仿宋_GB2312" w:eastAsia="仿宋_GB2312"/>
          <w:b w:val="0"/>
          <w:bCs w:val="0"/>
          <w:sz w:val="32"/>
          <w:szCs w:val="32"/>
        </w:rPr>
        <w:t>报告执行情况，认真开展预算绩效跟踪监控，严格按计划执行预算，</w:t>
      </w:r>
      <w:r>
        <w:rPr>
          <w:rFonts w:hint="eastAsia" w:ascii="仿宋_GB2312" w:eastAsia="仿宋_GB2312"/>
          <w:b w:val="0"/>
          <w:bCs w:val="0"/>
          <w:sz w:val="32"/>
          <w:szCs w:val="32"/>
          <w:lang w:eastAsia="zh-CN"/>
        </w:rPr>
        <w:t>通过</w:t>
      </w:r>
      <w:r>
        <w:rPr>
          <w:rFonts w:hint="eastAsia" w:ascii="仿宋_GB2312" w:eastAsia="仿宋_GB2312"/>
          <w:b w:val="0"/>
          <w:bCs w:val="0"/>
          <w:sz w:val="32"/>
          <w:szCs w:val="32"/>
        </w:rPr>
        <w:t>预算绩效管理</w:t>
      </w:r>
      <w:r>
        <w:rPr>
          <w:rFonts w:hint="eastAsia" w:ascii="仿宋_GB2312" w:eastAsia="仿宋_GB2312"/>
          <w:b w:val="0"/>
          <w:bCs w:val="0"/>
          <w:sz w:val="32"/>
          <w:szCs w:val="32"/>
          <w:lang w:eastAsia="zh-CN"/>
        </w:rPr>
        <w:t>，</w:t>
      </w:r>
      <w:r>
        <w:rPr>
          <w:rFonts w:hint="eastAsia" w:ascii="仿宋_GB2312" w:eastAsia="仿宋_GB2312"/>
          <w:b w:val="0"/>
          <w:bCs w:val="0"/>
          <w:sz w:val="32"/>
          <w:szCs w:val="32"/>
        </w:rPr>
        <w:t>加大预算执行力度、保障收支预算平衡、提高财政资金管理水平和财政资金使用效益。</w:t>
      </w:r>
      <w:r>
        <w:rPr>
          <w:rFonts w:hint="eastAsia" w:ascii="仿宋_GB2312" w:hAnsi="仿宋_GB2312" w:eastAsia="仿宋_GB2312" w:cs="仿宋_GB2312"/>
          <w:color w:val="auto"/>
          <w:sz w:val="32"/>
          <w:szCs w:val="32"/>
          <w:highlight w:val="none"/>
          <w:lang w:eastAsia="zh-CN"/>
        </w:rPr>
        <w:t>发现的问题及原因：</w:t>
      </w:r>
      <w:r>
        <w:rPr>
          <w:rFonts w:ascii="仿宋_GB2312" w:eastAsia="仿宋_GB2312"/>
          <w:sz w:val="32"/>
          <w:szCs w:val="32"/>
          <w:highlight w:val="none"/>
        </w:rPr>
        <w:t>全过程预算绩效管理制度不</w:t>
      </w:r>
      <w:r>
        <w:rPr>
          <w:rFonts w:hint="eastAsia" w:ascii="仿宋_GB2312" w:eastAsia="仿宋_GB2312"/>
          <w:sz w:val="32"/>
          <w:szCs w:val="32"/>
          <w:highlight w:val="none"/>
          <w:lang w:eastAsia="zh-CN"/>
        </w:rPr>
        <w:t>够</w:t>
      </w:r>
      <w:r>
        <w:rPr>
          <w:rFonts w:ascii="仿宋_GB2312" w:eastAsia="仿宋_GB2312"/>
          <w:sz w:val="32"/>
          <w:szCs w:val="32"/>
          <w:highlight w:val="none"/>
        </w:rPr>
        <w:t>健全，主要原因是</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一是绩效管理理念不强，传统的投入型预算管理思想占主导地位，对财政预算绩效管理中的效益性和效率性程度不够，导致预算绩效管理工作的主观能动性不足；二是预算绩效管理基础工作较薄弱，要对现有工作制度进行认真梳理和分析研究，以改革创新精神推动形成包括绩效目标、绩效评价、结果运用等内容在内的预算管理模式，确保财政资金使用规范高效。</w:t>
      </w:r>
      <w:r>
        <w:rPr>
          <w:rFonts w:hint="eastAsia" w:ascii="仿宋_GB2312" w:hAnsi="仿宋_GB2312" w:eastAsia="仿宋_GB2312" w:cs="仿宋_GB2312"/>
          <w:color w:val="auto"/>
          <w:sz w:val="32"/>
          <w:szCs w:val="32"/>
          <w:highlight w:val="none"/>
          <w:lang w:eastAsia="zh-CN"/>
        </w:rPr>
        <w:t>下一步改进措施：</w:t>
      </w:r>
      <w:r>
        <w:rPr>
          <w:rFonts w:ascii="仿宋_GB2312" w:eastAsia="仿宋_GB2312"/>
          <w:sz w:val="32"/>
          <w:szCs w:val="32"/>
          <w:highlight w:val="none"/>
        </w:rPr>
        <w:t>202</w:t>
      </w:r>
      <w:r>
        <w:rPr>
          <w:rFonts w:hint="eastAsia" w:ascii="仿宋_GB2312" w:eastAsia="仿宋_GB2312"/>
          <w:sz w:val="32"/>
          <w:szCs w:val="32"/>
          <w:highlight w:val="none"/>
          <w:lang w:val="en-US" w:eastAsia="zh-CN"/>
        </w:rPr>
        <w:t>4</w:t>
      </w:r>
      <w:r>
        <w:rPr>
          <w:rFonts w:ascii="仿宋_GB2312" w:eastAsia="仿宋_GB2312"/>
          <w:sz w:val="32"/>
          <w:szCs w:val="32"/>
          <w:highlight w:val="none"/>
        </w:rPr>
        <w:t>年，</w:t>
      </w:r>
      <w:r>
        <w:rPr>
          <w:rFonts w:hint="eastAsia" w:ascii="仿宋_GB2312" w:eastAsia="仿宋_GB2312"/>
          <w:sz w:val="32"/>
          <w:szCs w:val="32"/>
          <w:highlight w:val="none"/>
          <w:lang w:eastAsia="zh-CN"/>
        </w:rPr>
        <w:t>我单位</w:t>
      </w:r>
      <w:r>
        <w:rPr>
          <w:rFonts w:ascii="仿宋_GB2312" w:eastAsia="仿宋_GB2312"/>
          <w:sz w:val="32"/>
          <w:szCs w:val="32"/>
          <w:highlight w:val="none"/>
        </w:rPr>
        <w:t>将继续强化对预算执行的日常督促检查，对发现的问题</w:t>
      </w:r>
      <w:r>
        <w:rPr>
          <w:rFonts w:ascii="仿宋_GB2312" w:eastAsia="仿宋_GB2312"/>
          <w:sz w:val="32"/>
          <w:szCs w:val="32"/>
        </w:rPr>
        <w:t>与不足及时进行纠正和改进，继续完善绩效、内控制度，加强制度落实，不断提高财政预算执行的准确性、及时性和规范性，按要求完成绩效目标，切实发挥好财政资金的效用，进一步提高预算管理和执行水平，充分发挥好保障作用，同时不断总结预算绩效管理工作的存在问题、经验和不足，不断加强和改进预算绩效管理工作。一是加强对项目</w:t>
      </w:r>
      <w:r>
        <w:rPr>
          <w:rFonts w:hint="eastAsia" w:ascii="仿宋_GB2312" w:eastAsia="仿宋_GB2312"/>
          <w:sz w:val="32"/>
          <w:szCs w:val="32"/>
          <w:lang w:eastAsia="zh-CN"/>
        </w:rPr>
        <w:t>推进</w:t>
      </w:r>
      <w:r>
        <w:rPr>
          <w:rFonts w:ascii="仿宋_GB2312" w:eastAsia="仿宋_GB2312"/>
          <w:sz w:val="32"/>
          <w:szCs w:val="32"/>
        </w:rPr>
        <w:t>全过程、全方位管理监督。预算编制人员与业务部门共同完成项目绩效评价指标的制定。业务部门要掌握项目绩效评价指标，并融入项目施工计划中；在项目实施阶段，预算编制人员对资金的使用进行有效监督</w:t>
      </w:r>
      <w:r>
        <w:rPr>
          <w:rFonts w:hint="eastAsia" w:ascii="仿宋_GB2312" w:eastAsia="仿宋_GB2312"/>
          <w:sz w:val="32"/>
          <w:szCs w:val="32"/>
          <w:lang w:eastAsia="zh-CN"/>
        </w:rPr>
        <w:t>，</w:t>
      </w:r>
      <w:r>
        <w:rPr>
          <w:rFonts w:ascii="仿宋_GB2312" w:eastAsia="仿宋_GB2312"/>
          <w:sz w:val="32"/>
          <w:szCs w:val="32"/>
        </w:rPr>
        <w:t>对项目绩效评价指标进行动态管理。在项目完成评价阶段，财务部门与业务部门共同对项目绩效进行自评，补充完善有关数据，对项目绩效评价进行总结，及时在今后项目运行中得到有效的借鉴</w:t>
      </w:r>
      <w:r>
        <w:rPr>
          <w:rFonts w:hint="eastAsia" w:ascii="仿宋_GB2312" w:eastAsia="仿宋_GB2312"/>
          <w:sz w:val="32"/>
          <w:szCs w:val="32"/>
          <w:lang w:eastAsia="zh-CN"/>
        </w:rPr>
        <w:t>。</w:t>
      </w:r>
      <w:r>
        <w:rPr>
          <w:rFonts w:ascii="仿宋_GB2312" w:eastAsia="仿宋_GB2312"/>
          <w:sz w:val="32"/>
          <w:szCs w:val="32"/>
        </w:rPr>
        <w:t>二是</w:t>
      </w:r>
      <w:r>
        <w:rPr>
          <w:rFonts w:hint="eastAsia" w:ascii="仿宋" w:hAnsi="仿宋" w:eastAsia="仿宋" w:cs="仿宋_GB2312"/>
          <w:sz w:val="32"/>
          <w:szCs w:val="32"/>
        </w:rPr>
        <w:t>健全评价体系</w:t>
      </w:r>
      <w:r>
        <w:rPr>
          <w:rFonts w:hint="eastAsia" w:ascii="仿宋" w:hAnsi="仿宋" w:eastAsia="仿宋" w:cs="仿宋_GB2312"/>
          <w:sz w:val="32"/>
          <w:szCs w:val="32"/>
          <w:lang w:eastAsia="zh-CN"/>
        </w:rPr>
        <w:t>，</w:t>
      </w:r>
      <w:r>
        <w:rPr>
          <w:rFonts w:hint="eastAsia" w:ascii="仿宋" w:hAnsi="仿宋" w:eastAsia="仿宋" w:cs="仿宋_GB2312"/>
          <w:sz w:val="32"/>
          <w:szCs w:val="32"/>
        </w:rPr>
        <w:t>完善绩效评价指标体系。结合实际情况，注重收集整理行业、历史各类评价标准，建立符合目标内容，突出绩效特色，细化、量化的绩效指标，构建科学、系统的绩效评价指标体系。</w:t>
      </w:r>
      <w:r>
        <w:rPr>
          <w:rFonts w:hint="eastAsia" w:ascii="仿宋_GB2312" w:hAnsi="仿宋_GB2312" w:eastAsia="仿宋_GB2312" w:cs="仿宋_GB2312"/>
          <w:color w:val="auto"/>
          <w:sz w:val="32"/>
          <w:szCs w:val="32"/>
          <w:highlight w:val="none"/>
          <w:lang w:eastAsia="zh-CN"/>
        </w:rPr>
        <w:t>具体</w:t>
      </w:r>
      <w:r>
        <w:rPr>
          <w:rFonts w:hint="eastAsia" w:ascii="仿宋_GB2312" w:hAnsi="仿宋_GB2312" w:eastAsia="仿宋_GB2312" w:cs="仿宋_GB2312"/>
          <w:color w:val="auto"/>
          <w:sz w:val="32"/>
          <w:szCs w:val="32"/>
          <w:highlight w:val="none"/>
        </w:rPr>
        <w:t>项目自评情况附绩效自评表</w:t>
      </w:r>
      <w:r>
        <w:rPr>
          <w:rFonts w:hint="eastAsia" w:ascii="仿宋_GB2312" w:hAnsi="仿宋_GB2312" w:eastAsia="仿宋_GB2312" w:cs="仿宋_GB2312"/>
          <w:color w:val="auto"/>
          <w:sz w:val="32"/>
          <w:szCs w:val="32"/>
          <w:highlight w:val="none"/>
          <w:lang w:val="en-US" w:eastAsia="zh-CN"/>
        </w:rPr>
        <w:t>及自评报告</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黑体" w:hAnsi="黑体" w:eastAsia="黑体" w:cs="黑体"/>
          <w:bCs/>
          <w:color w:val="auto"/>
          <w:kern w:val="0"/>
          <w:sz w:val="32"/>
          <w:szCs w:val="32"/>
          <w:highlight w:val="none"/>
          <w:lang w:eastAsia="zh-CN"/>
        </w:rPr>
      </w:pPr>
      <w:r>
        <w:rPr>
          <w:rFonts w:hint="eastAsia" w:ascii="黑体" w:hAnsi="黑体" w:eastAsia="黑体" w:cs="黑体"/>
          <w:bCs/>
          <w:color w:val="auto"/>
          <w:kern w:val="0"/>
          <w:sz w:val="32"/>
          <w:szCs w:val="32"/>
          <w:highlight w:val="none"/>
          <w:lang w:eastAsia="zh-CN"/>
        </w:rPr>
        <w:t>十</w:t>
      </w:r>
      <w:r>
        <w:rPr>
          <w:rFonts w:hint="eastAsia" w:ascii="黑体" w:hAnsi="黑体" w:eastAsia="黑体" w:cs="黑体"/>
          <w:bCs/>
          <w:color w:val="auto"/>
          <w:kern w:val="0"/>
          <w:sz w:val="32"/>
          <w:szCs w:val="32"/>
          <w:highlight w:val="none"/>
          <w:lang w:val="en-US" w:eastAsia="zh-CN"/>
        </w:rPr>
        <w:t>二</w:t>
      </w:r>
      <w:r>
        <w:rPr>
          <w:rFonts w:hint="eastAsia" w:ascii="黑体" w:hAnsi="黑体" w:eastAsia="黑体" w:cs="黑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s="黑体"/>
          <w:color w:val="auto"/>
          <w:sz w:val="32"/>
          <w:szCs w:val="32"/>
          <w:highlight w:val="none"/>
        </w:rPr>
      </w:pPr>
      <w:bookmarkStart w:id="30" w:name="_Toc24143"/>
      <w:bookmarkStart w:id="31" w:name="_Toc3250"/>
      <w:r>
        <w:rPr>
          <w:rFonts w:hint="eastAsia" w:ascii="仿宋_GB2312" w:hAnsi="仿宋_GB2312" w:eastAsia="仿宋_GB2312" w:cs="仿宋_GB2312"/>
          <w:color w:val="auto"/>
          <w:sz w:val="32"/>
          <w:szCs w:val="32"/>
          <w:highlight w:val="none"/>
        </w:rPr>
        <w:br w:type="page"/>
      </w:r>
      <w:r>
        <w:rPr>
          <w:rFonts w:hint="eastAsia" w:ascii="黑体" w:hAnsi="黑体" w:eastAsia="黑体" w:cs="黑体"/>
          <w:color w:val="auto"/>
          <w:sz w:val="32"/>
          <w:szCs w:val="32"/>
          <w:highlight w:val="none"/>
        </w:rPr>
        <w:t>第</w:t>
      </w:r>
      <w:r>
        <w:rPr>
          <w:rFonts w:hint="eastAsia" w:ascii="黑体" w:hAnsi="黑体" w:eastAsia="黑体" w:cs="黑体"/>
          <w:color w:val="auto"/>
          <w:sz w:val="32"/>
          <w:szCs w:val="32"/>
          <w:highlight w:val="none"/>
          <w:lang w:val="en-US" w:eastAsia="zh-CN"/>
        </w:rPr>
        <w:t>三</w:t>
      </w:r>
      <w:r>
        <w:rPr>
          <w:rFonts w:hint="eastAsia" w:ascii="黑体" w:hAnsi="黑体" w:eastAsia="黑体" w:cs="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一、</w:t>
      </w:r>
      <w:r>
        <w:rPr>
          <w:rFonts w:hint="eastAsia" w:ascii="仿宋_GB2312" w:hAnsi="仿宋_GB2312" w:eastAsia="仿宋_GB2312" w:cs="仿宋_GB2312"/>
          <w:b/>
          <w:bCs/>
          <w:color w:val="auto"/>
          <w:sz w:val="32"/>
          <w:szCs w:val="32"/>
          <w:highlight w:val="none"/>
        </w:rPr>
        <w:t>财政拨款收入：</w:t>
      </w:r>
      <w:r>
        <w:rPr>
          <w:rFonts w:hint="eastAsia" w:ascii="仿宋_GB2312" w:hAnsi="仿宋_GB2312" w:eastAsia="仿宋_GB2312" w:cs="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二、</w:t>
      </w:r>
      <w:r>
        <w:rPr>
          <w:rFonts w:hint="eastAsia" w:ascii="仿宋_GB2312" w:hAnsi="仿宋_GB2312" w:eastAsia="仿宋_GB2312" w:cs="仿宋_GB2312"/>
          <w:b/>
          <w:bCs/>
          <w:color w:val="auto"/>
          <w:sz w:val="32"/>
          <w:szCs w:val="32"/>
          <w:highlight w:val="none"/>
        </w:rPr>
        <w:t>上级补助收入：</w:t>
      </w:r>
      <w:r>
        <w:rPr>
          <w:rFonts w:hint="eastAsia" w:ascii="仿宋_GB2312" w:hAnsi="仿宋_GB2312" w:eastAsia="仿宋_GB2312" w:cs="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三、</w:t>
      </w:r>
      <w:r>
        <w:rPr>
          <w:rFonts w:hint="eastAsia" w:ascii="仿宋_GB2312" w:hAnsi="仿宋_GB2312" w:eastAsia="仿宋_GB2312" w:cs="仿宋_GB2312"/>
          <w:b/>
          <w:bCs/>
          <w:color w:val="auto"/>
          <w:sz w:val="32"/>
          <w:szCs w:val="32"/>
          <w:highlight w:val="none"/>
        </w:rPr>
        <w:t>事业收入：</w:t>
      </w:r>
      <w:r>
        <w:rPr>
          <w:rFonts w:hint="eastAsia" w:ascii="仿宋_GB2312" w:hAnsi="仿宋_GB2312" w:eastAsia="仿宋_GB2312" w:cs="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四、</w:t>
      </w:r>
      <w:r>
        <w:rPr>
          <w:rFonts w:hint="eastAsia" w:ascii="仿宋_GB2312" w:hAnsi="仿宋_GB2312" w:eastAsia="仿宋_GB2312" w:cs="仿宋_GB2312"/>
          <w:b/>
          <w:bCs/>
          <w:color w:val="auto"/>
          <w:sz w:val="32"/>
          <w:szCs w:val="32"/>
          <w:highlight w:val="none"/>
        </w:rPr>
        <w:t>经营收入：</w:t>
      </w:r>
      <w:r>
        <w:rPr>
          <w:rFonts w:hint="eastAsia" w:ascii="仿宋_GB2312" w:hAnsi="仿宋_GB2312" w:eastAsia="仿宋_GB2312" w:cs="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五、</w:t>
      </w:r>
      <w:r>
        <w:rPr>
          <w:rFonts w:hint="eastAsia" w:ascii="仿宋_GB2312" w:hAnsi="仿宋_GB2312" w:eastAsia="仿宋_GB2312" w:cs="仿宋_GB2312"/>
          <w:b/>
          <w:bCs/>
          <w:color w:val="auto"/>
          <w:sz w:val="32"/>
          <w:szCs w:val="32"/>
          <w:highlight w:val="none"/>
        </w:rPr>
        <w:t>附属单位上缴收入：</w:t>
      </w:r>
      <w:r>
        <w:rPr>
          <w:rFonts w:hint="eastAsia" w:ascii="仿宋_GB2312" w:hAnsi="仿宋_GB2312" w:eastAsia="仿宋_GB2312" w:cs="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六、</w:t>
      </w:r>
      <w:r>
        <w:rPr>
          <w:rFonts w:hint="eastAsia" w:ascii="仿宋_GB2312" w:hAnsi="仿宋_GB2312" w:eastAsia="仿宋_GB2312" w:cs="仿宋_GB2312"/>
          <w:b/>
          <w:bCs/>
          <w:color w:val="auto"/>
          <w:sz w:val="32"/>
          <w:szCs w:val="32"/>
          <w:highlight w:val="none"/>
        </w:rPr>
        <w:t>其他收入：</w:t>
      </w:r>
      <w:r>
        <w:rPr>
          <w:rFonts w:hint="eastAsia" w:ascii="仿宋_GB2312" w:hAnsi="仿宋_GB2312" w:eastAsia="仿宋_GB2312" w:cs="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七、</w:t>
      </w:r>
      <w:r>
        <w:rPr>
          <w:rFonts w:hint="eastAsia" w:ascii="仿宋_GB2312" w:hAnsi="仿宋_GB2312" w:eastAsia="仿宋_GB2312" w:cs="仿宋_GB2312"/>
          <w:b/>
          <w:bCs/>
          <w:color w:val="auto"/>
          <w:sz w:val="32"/>
          <w:szCs w:val="32"/>
          <w:highlight w:val="none"/>
          <w:lang w:eastAsia="zh-CN"/>
        </w:rPr>
        <w:t>年初</w:t>
      </w:r>
      <w:r>
        <w:rPr>
          <w:rFonts w:hint="eastAsia" w:ascii="仿宋_GB2312" w:hAnsi="仿宋_GB2312" w:eastAsia="仿宋_GB2312" w:cs="仿宋_GB2312"/>
          <w:b/>
          <w:bCs/>
          <w:color w:val="auto"/>
          <w:sz w:val="32"/>
          <w:szCs w:val="32"/>
          <w:highlight w:val="none"/>
        </w:rPr>
        <w:t>结转和结余：</w:t>
      </w:r>
      <w:r>
        <w:rPr>
          <w:rFonts w:hint="eastAsia" w:ascii="仿宋_GB2312" w:hAnsi="仿宋_GB2312" w:eastAsia="仿宋_GB2312" w:cs="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八、</w:t>
      </w:r>
      <w:r>
        <w:rPr>
          <w:rFonts w:hint="eastAsia" w:ascii="仿宋_GB2312" w:hAnsi="仿宋_GB2312" w:eastAsia="仿宋_GB2312" w:cs="仿宋_GB2312"/>
          <w:b/>
          <w:bCs/>
          <w:color w:val="auto"/>
          <w:sz w:val="32"/>
          <w:szCs w:val="32"/>
          <w:highlight w:val="none"/>
        </w:rPr>
        <w:t>年末结转和结余：</w:t>
      </w:r>
      <w:r>
        <w:rPr>
          <w:rFonts w:hint="eastAsia" w:ascii="仿宋_GB2312" w:hAnsi="仿宋_GB2312" w:eastAsia="仿宋_GB2312" w:cs="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九、</w:t>
      </w:r>
      <w:r>
        <w:rPr>
          <w:rFonts w:hint="eastAsia" w:ascii="仿宋_GB2312" w:hAnsi="仿宋_GB2312" w:eastAsia="仿宋_GB2312" w:cs="仿宋_GB2312"/>
          <w:b/>
          <w:bCs/>
          <w:color w:val="auto"/>
          <w:sz w:val="32"/>
          <w:szCs w:val="32"/>
          <w:highlight w:val="none"/>
        </w:rPr>
        <w:t>基本支出：</w:t>
      </w:r>
      <w:r>
        <w:rPr>
          <w:rFonts w:hint="eastAsia" w:ascii="仿宋_GB2312" w:hAnsi="仿宋_GB2312" w:eastAsia="仿宋_GB2312" w:cs="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十、</w:t>
      </w:r>
      <w:r>
        <w:rPr>
          <w:rFonts w:hint="eastAsia" w:ascii="仿宋_GB2312" w:hAnsi="仿宋_GB2312" w:eastAsia="仿宋_GB2312" w:cs="仿宋_GB2312"/>
          <w:b/>
          <w:bCs/>
          <w:color w:val="auto"/>
          <w:sz w:val="32"/>
          <w:szCs w:val="32"/>
          <w:highlight w:val="none"/>
        </w:rPr>
        <w:t>项目支出：</w:t>
      </w:r>
      <w:r>
        <w:rPr>
          <w:rFonts w:hint="eastAsia" w:ascii="仿宋_GB2312" w:hAnsi="仿宋_GB2312" w:eastAsia="仿宋_GB2312" w:cs="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十一、</w:t>
      </w:r>
      <w:r>
        <w:rPr>
          <w:rFonts w:hint="eastAsia" w:ascii="仿宋_GB2312" w:hAnsi="仿宋_GB2312" w:eastAsia="仿宋_GB2312" w:cs="仿宋_GB2312"/>
          <w:b/>
          <w:bCs/>
          <w:color w:val="auto"/>
          <w:sz w:val="32"/>
          <w:szCs w:val="32"/>
          <w:highlight w:val="none"/>
        </w:rPr>
        <w:t>经营支出：</w:t>
      </w:r>
      <w:r>
        <w:rPr>
          <w:rFonts w:hint="eastAsia" w:ascii="仿宋_GB2312" w:hAnsi="仿宋_GB2312" w:eastAsia="仿宋_GB2312" w:cs="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十二、</w:t>
      </w:r>
      <w:r>
        <w:rPr>
          <w:rFonts w:hint="eastAsia" w:ascii="仿宋_GB2312" w:hAnsi="仿宋_GB2312" w:eastAsia="仿宋_GB2312" w:cs="仿宋_GB2312"/>
          <w:b/>
          <w:bCs/>
          <w:color w:val="auto"/>
          <w:sz w:val="32"/>
          <w:szCs w:val="32"/>
          <w:highlight w:val="none"/>
        </w:rPr>
        <w:t>对附属单位补助支出：</w:t>
      </w:r>
      <w:r>
        <w:rPr>
          <w:rFonts w:hint="eastAsia" w:ascii="仿宋_GB2312" w:hAnsi="仿宋_GB2312" w:eastAsia="仿宋_GB2312" w:cs="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color w:val="auto"/>
          <w:sz w:val="32"/>
          <w:szCs w:val="32"/>
          <w:highlight w:val="none"/>
          <w:lang w:val="en-US" w:eastAsia="zh-CN"/>
        </w:rPr>
        <w:t>十三、</w:t>
      </w:r>
      <w:r>
        <w:rPr>
          <w:rFonts w:hint="eastAsia" w:ascii="仿宋_GB2312" w:hAnsi="仿宋_GB2312" w:eastAsia="仿宋_GB2312" w:cs="仿宋_GB2312"/>
          <w:b/>
          <w:bCs/>
          <w:color w:val="auto"/>
          <w:sz w:val="32"/>
          <w:szCs w:val="32"/>
          <w:highlight w:val="none"/>
        </w:rPr>
        <w:t>“三公”经费：</w:t>
      </w:r>
      <w:r>
        <w:rPr>
          <w:rFonts w:hint="eastAsia" w:ascii="仿宋_GB2312" w:hAnsi="仿宋_GB2312" w:eastAsia="仿宋_GB2312" w:cs="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hAnsi="仿宋_GB2312" w:eastAsia="仿宋_GB2312" w:cs="仿宋_GB2312"/>
          <w:color w:val="auto"/>
          <w:sz w:val="32"/>
          <w:szCs w:val="32"/>
          <w:highlight w:val="none"/>
          <w:lang w:eastAsia="zh-CN"/>
        </w:rPr>
        <w:t>国际旅费、国外城市间交通费、</w:t>
      </w:r>
      <w:r>
        <w:rPr>
          <w:rFonts w:hint="eastAsia" w:ascii="仿宋_GB2312" w:hAnsi="仿宋_GB2312" w:eastAsia="仿宋_GB2312" w:cs="仿宋_GB2312"/>
          <w:color w:val="auto"/>
          <w:sz w:val="32"/>
          <w:szCs w:val="32"/>
          <w:highlight w:val="none"/>
        </w:rPr>
        <w:t>住宿费、伙食费、培训费、</w:t>
      </w:r>
      <w:r>
        <w:rPr>
          <w:rFonts w:hint="eastAsia" w:ascii="仿宋_GB2312" w:hAnsi="仿宋_GB2312" w:eastAsia="仿宋_GB2312" w:cs="仿宋_GB2312"/>
          <w:color w:val="auto"/>
          <w:sz w:val="32"/>
          <w:szCs w:val="32"/>
          <w:highlight w:val="none"/>
          <w:lang w:eastAsia="zh-CN"/>
        </w:rPr>
        <w:t>公</w:t>
      </w:r>
      <w:r>
        <w:rPr>
          <w:rFonts w:hint="eastAsia" w:ascii="仿宋_GB2312" w:hAnsi="仿宋_GB2312" w:eastAsia="仿宋_GB2312" w:cs="仿宋_GB2312"/>
          <w:color w:val="auto"/>
          <w:sz w:val="32"/>
          <w:szCs w:val="32"/>
          <w:highlight w:val="none"/>
        </w:rPr>
        <w:t>杂费等支出；公务用车购置费</w:t>
      </w:r>
      <w:r>
        <w:rPr>
          <w:rFonts w:hint="eastAsia" w:ascii="仿宋_GB2312" w:hAnsi="仿宋_GB2312" w:eastAsia="仿宋_GB2312" w:cs="仿宋_GB2312"/>
          <w:color w:val="auto"/>
          <w:sz w:val="32"/>
          <w:szCs w:val="32"/>
          <w:highlight w:val="none"/>
          <w:lang w:eastAsia="zh-CN"/>
        </w:rPr>
        <w:t>反映公务用车购置支出（含车辆购置税、牌照费）；</w:t>
      </w:r>
      <w:r>
        <w:rPr>
          <w:rFonts w:hint="eastAsia" w:ascii="仿宋_GB2312" w:hAnsi="仿宋_GB2312" w:eastAsia="仿宋_GB2312" w:cs="仿宋_GB2312"/>
          <w:color w:val="auto"/>
          <w:sz w:val="32"/>
          <w:szCs w:val="32"/>
          <w:highlight w:val="none"/>
        </w:rPr>
        <w:t>公务用车运行</w:t>
      </w:r>
      <w:r>
        <w:rPr>
          <w:rFonts w:hint="eastAsia" w:ascii="仿宋_GB2312" w:hAnsi="仿宋_GB2312" w:eastAsia="仿宋_GB2312" w:cs="仿宋_GB2312"/>
          <w:color w:val="auto"/>
          <w:sz w:val="32"/>
          <w:szCs w:val="32"/>
          <w:highlight w:val="none"/>
          <w:lang w:eastAsia="zh-CN"/>
        </w:rPr>
        <w:t>维护</w:t>
      </w:r>
      <w:r>
        <w:rPr>
          <w:rFonts w:hint="eastAsia" w:ascii="仿宋_GB2312" w:hAnsi="仿宋_GB2312" w:eastAsia="仿宋_GB2312" w:cs="仿宋_GB2312"/>
          <w:color w:val="auto"/>
          <w:sz w:val="32"/>
          <w:szCs w:val="32"/>
          <w:highlight w:val="none"/>
        </w:rPr>
        <w:t>费反映</w:t>
      </w:r>
      <w:r>
        <w:rPr>
          <w:rFonts w:hint="eastAsia" w:ascii="仿宋_GB2312" w:hAnsi="仿宋_GB2312" w:eastAsia="仿宋_GB2312" w:cs="仿宋_GB2312"/>
          <w:color w:val="auto"/>
          <w:sz w:val="32"/>
          <w:szCs w:val="32"/>
          <w:highlight w:val="none"/>
          <w:lang w:eastAsia="zh-CN"/>
        </w:rPr>
        <w:t>单位按规定保留的公务用车燃料费、维修费、</w:t>
      </w:r>
      <w:r>
        <w:rPr>
          <w:rFonts w:hint="eastAsia" w:ascii="仿宋_GB2312" w:hAnsi="仿宋_GB2312" w:eastAsia="仿宋_GB2312" w:cs="仿宋_GB2312"/>
          <w:color w:val="auto"/>
          <w:sz w:val="32"/>
          <w:szCs w:val="32"/>
          <w:highlight w:val="none"/>
        </w:rPr>
        <w:t>过路过桥费、保险费、安全奖励费用等支出</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公务接待费反映单位按规定开支的各类公务接待（含外宾接待）</w:t>
      </w:r>
      <w:r>
        <w:rPr>
          <w:rFonts w:hint="eastAsia" w:ascii="仿宋_GB2312" w:hAnsi="仿宋_GB2312" w:eastAsia="仿宋_GB2312" w:cs="仿宋_GB2312"/>
          <w:color w:val="auto"/>
          <w:sz w:val="32"/>
          <w:szCs w:val="32"/>
          <w:highlight w:val="none"/>
          <w:lang w:eastAsia="zh-CN"/>
        </w:rPr>
        <w:t>费用</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2"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十四、</w:t>
      </w:r>
      <w:r>
        <w:rPr>
          <w:rFonts w:hint="eastAsia" w:ascii="仿宋_GB2312" w:hAnsi="仿宋_GB2312" w:eastAsia="仿宋_GB2312" w:cs="仿宋_GB2312"/>
          <w:b/>
          <w:bCs/>
          <w:color w:val="auto"/>
          <w:sz w:val="32"/>
          <w:szCs w:val="32"/>
          <w:highlight w:val="none"/>
        </w:rPr>
        <w:t>机关运行经费：</w:t>
      </w:r>
      <w:r>
        <w:rPr>
          <w:rFonts w:hint="eastAsia" w:ascii="仿宋_GB2312" w:hAnsi="仿宋_GB2312" w:eastAsia="仿宋_GB2312" w:cs="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br w:type="page"/>
      </w:r>
      <w:r>
        <w:rPr>
          <w:rFonts w:hint="eastAsia" w:ascii="黑体" w:hAnsi="黑体" w:eastAsia="黑体" w:cs="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bookmarkStart w:id="32" w:name="_Toc6062"/>
      <w:bookmarkStart w:id="33" w:name="_Toc2183"/>
      <w:r>
        <w:rPr>
          <w:rFonts w:hint="eastAsia" w:ascii="仿宋_GB2312" w:hAnsi="仿宋_GB2312" w:eastAsia="仿宋_GB2312" w:cs="仿宋_GB2312"/>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bookmarkStart w:id="34" w:name="_Toc24532"/>
      <w:bookmarkStart w:id="35" w:name="_Toc30364"/>
      <w:r>
        <w:rPr>
          <w:rFonts w:hint="eastAsia" w:ascii="仿宋_GB2312" w:hAnsi="仿宋_GB2312" w:eastAsia="仿宋_GB2312" w:cs="仿宋_GB2312"/>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bookmarkStart w:id="36" w:name="_Toc21304"/>
      <w:bookmarkStart w:id="37" w:name="_Toc32434"/>
      <w:r>
        <w:rPr>
          <w:rFonts w:hint="eastAsia" w:ascii="仿宋_GB2312" w:hAnsi="仿宋_GB2312" w:eastAsia="仿宋_GB2312" w:cs="仿宋_GB2312"/>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bookmarkStart w:id="38" w:name="_Toc28786"/>
      <w:bookmarkStart w:id="39" w:name="_Toc14238"/>
      <w:r>
        <w:rPr>
          <w:rFonts w:hint="eastAsia" w:ascii="仿宋_GB2312" w:hAnsi="仿宋_GB2312" w:eastAsia="仿宋_GB2312" w:cs="仿宋_GB2312"/>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bookmarkStart w:id="40" w:name="_Toc10347"/>
      <w:bookmarkStart w:id="41" w:name="_Toc14869"/>
      <w:r>
        <w:rPr>
          <w:rFonts w:hint="eastAsia" w:ascii="仿宋_GB2312" w:hAnsi="仿宋_GB2312" w:eastAsia="仿宋_GB2312" w:cs="仿宋_GB2312"/>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bookmarkStart w:id="42" w:name="_Toc8884"/>
      <w:bookmarkStart w:id="43" w:name="_Toc5626"/>
      <w:r>
        <w:rPr>
          <w:rFonts w:hint="eastAsia" w:ascii="仿宋_GB2312" w:hAnsi="仿宋_GB2312" w:eastAsia="仿宋_GB2312" w:cs="仿宋_GB2312"/>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七、</w:t>
      </w:r>
      <w:bookmarkStart w:id="44" w:name="_Toc29106"/>
      <w:bookmarkStart w:id="45" w:name="_Toc32663"/>
      <w:r>
        <w:rPr>
          <w:rFonts w:hint="eastAsia" w:ascii="仿宋_GB2312" w:hAnsi="仿宋_GB2312" w:eastAsia="仿宋_GB2312" w:cs="仿宋_GB2312"/>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bookmarkStart w:id="46" w:name="_Toc7643"/>
      <w:bookmarkStart w:id="47" w:name="_Toc5453"/>
      <w:r>
        <w:rPr>
          <w:rFonts w:hint="eastAsia" w:ascii="仿宋_GB2312" w:hAnsi="仿宋_GB2312" w:eastAsia="仿宋_GB2312" w:cs="仿宋_GB2312"/>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hAnsi="仿宋_GB2312" w:eastAsia="仿宋_GB2312" w:cs="仿宋_GB2312"/>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decorative"/>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方正小标宋_GBK">
    <w:altName w:val="微软雅黑"/>
    <w:panose1 w:val="02000000000000000000"/>
    <w:charset w:val="86"/>
    <w:family w:val="script"/>
    <w:pitch w:val="default"/>
    <w:sig w:usb0="00000000" w:usb1="00000000" w:usb2="00000000" w:usb3="00000000" w:csb0="00040000" w:csb1="00000000"/>
  </w:font>
  <w:font w:name="方正小标宋简体">
    <w:altName w:val="微软雅黑"/>
    <w:panose1 w:val="02000000000000000000"/>
    <w:charset w:val="86"/>
    <w:family w:val="auto"/>
    <w:pitch w:val="default"/>
    <w:sig w:usb0="00000000" w:usb1="00000000" w:usb2="00000012" w:usb3="00000000" w:csb0="00040001" w:csb1="00000000"/>
  </w:font>
  <w:font w:name="仿宋_GB2312">
    <w:altName w:val="仿宋"/>
    <w:panose1 w:val="02010609030101010101"/>
    <w:charset w:val="86"/>
    <w:family w:val="swiss"/>
    <w:pitch w:val="default"/>
    <w:sig w:usb0="00000000" w:usb1="00000000" w:usb2="00000000" w:usb3="00000000" w:csb0="00040000" w:csb1="00000000"/>
  </w:font>
  <w:font w:name="仿宋">
    <w:panose1 w:val="02010609060101010101"/>
    <w:charset w:val="86"/>
    <w:family w:val="swiss"/>
    <w:pitch w:val="default"/>
    <w:sig w:usb0="800002BF" w:usb1="38CF7CFA" w:usb2="00000016" w:usb3="00000000" w:csb0="00040001" w:csb1="00000000"/>
  </w:font>
  <w:font w:name="方正书宋_GBK">
    <w:altName w:val="微软雅黑"/>
    <w:panose1 w:val="02000000000000000000"/>
    <w:charset w:val="86"/>
    <w:family w:val="auto"/>
    <w:pitch w:val="default"/>
    <w:sig w:usb0="00000000" w:usb1="00000000" w:usb2="00000000" w:usb3="00000000" w:csb0="00040000" w:csb1="00000000"/>
  </w:font>
  <w:font w:name="Nimbus Roman No9 L">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cript"/>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
    <w:panose1 w:val="02010609060101010101"/>
    <w:charset w:val="86"/>
    <w:family w:val="swiss"/>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00002FF" w:usb1="4000ACFF" w:usb2="00000001"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仿宋_GB2312">
    <w:panose1 w:val="02010609030101010101"/>
    <w:charset w:val="86"/>
    <w:family w:val="decorative"/>
    <w:pitch w:val="default"/>
    <w:sig w:usb0="00000000" w:usb1="00000000" w:usb2="00000000" w:usb3="00000000" w:csb0="00000000" w:csb1="00000000"/>
  </w:font>
  <w:font w:name="仿宋">
    <w:panose1 w:val="02010609060101010101"/>
    <w:charset w:val="86"/>
    <w:family w:val="decorative"/>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00002FF" w:usb1="4000ACFF" w:usb2="00000001"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仿宋_GB2312">
    <w:panose1 w:val="02010609030101010101"/>
    <w:charset w:val="86"/>
    <w:family w:val="roman"/>
    <w:pitch w:val="default"/>
    <w:sig w:usb0="00000000" w:usb1="00000000" w:usb2="00000000" w:usb3="00000000" w:csb0="00000000" w:csb1="00000000"/>
  </w:font>
  <w:font w:name="仿宋">
    <w:panose1 w:val="02010609060101010101"/>
    <w:charset w:val="86"/>
    <w:family w:val="roma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72565021">
    <w:nsid w:val="103F031D"/>
    <w:multiLevelType w:val="singleLevel"/>
    <w:tmpl w:val="103F031D"/>
    <w:lvl w:ilvl="0" w:tentative="1">
      <w:start w:val="2"/>
      <w:numFmt w:val="chineseCounting"/>
      <w:suff w:val="nothing"/>
      <w:lvlText w:val="（%1）"/>
      <w:lvlJc w:val="left"/>
      <w:rPr>
        <w:rFonts w:hint="eastAsia"/>
      </w:rPr>
    </w:lvl>
  </w:abstractNum>
  <w:num w:numId="1">
    <w:abstractNumId w:val="2725650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kNmQyNTE3OTUyYTg2MmM1YWFhNzZjODc4NTE1YjQifQ=="/>
    <w:docVar w:name="KSO_WPS_MARK_KEY" w:val="41ee2a61-2d54-4f93-83be-afdb9a40d732"/>
  </w:docVars>
  <w:rsids>
    <w:rsidRoot w:val="00000000"/>
    <w:rsid w:val="00213C59"/>
    <w:rsid w:val="003210CE"/>
    <w:rsid w:val="00B70D59"/>
    <w:rsid w:val="00F52A8D"/>
    <w:rsid w:val="013D5FBE"/>
    <w:rsid w:val="019404F8"/>
    <w:rsid w:val="02100366"/>
    <w:rsid w:val="02BD3108"/>
    <w:rsid w:val="02F73D26"/>
    <w:rsid w:val="034D4FEF"/>
    <w:rsid w:val="035D1785"/>
    <w:rsid w:val="039F47CE"/>
    <w:rsid w:val="03E05CE8"/>
    <w:rsid w:val="03F43C25"/>
    <w:rsid w:val="03F973EE"/>
    <w:rsid w:val="043E5B56"/>
    <w:rsid w:val="044945DD"/>
    <w:rsid w:val="04C04386"/>
    <w:rsid w:val="04D96608"/>
    <w:rsid w:val="04FA68C4"/>
    <w:rsid w:val="053F5AE6"/>
    <w:rsid w:val="057C0B0F"/>
    <w:rsid w:val="05EF4B48"/>
    <w:rsid w:val="05F76ECA"/>
    <w:rsid w:val="06792773"/>
    <w:rsid w:val="07093795"/>
    <w:rsid w:val="07606B2B"/>
    <w:rsid w:val="07804730"/>
    <w:rsid w:val="079052BE"/>
    <w:rsid w:val="08145C21"/>
    <w:rsid w:val="08422688"/>
    <w:rsid w:val="085854ED"/>
    <w:rsid w:val="0879188F"/>
    <w:rsid w:val="08966904"/>
    <w:rsid w:val="08A0354D"/>
    <w:rsid w:val="08CD4C49"/>
    <w:rsid w:val="09114954"/>
    <w:rsid w:val="092E5638"/>
    <w:rsid w:val="093E76C7"/>
    <w:rsid w:val="095A5B83"/>
    <w:rsid w:val="096466E3"/>
    <w:rsid w:val="0968304D"/>
    <w:rsid w:val="098F1CD1"/>
    <w:rsid w:val="09AF3D17"/>
    <w:rsid w:val="0A7809B7"/>
    <w:rsid w:val="0A7B4867"/>
    <w:rsid w:val="0A840954"/>
    <w:rsid w:val="0A8A693C"/>
    <w:rsid w:val="0A9928ED"/>
    <w:rsid w:val="0B61769D"/>
    <w:rsid w:val="0B8C3ECC"/>
    <w:rsid w:val="0B9C639D"/>
    <w:rsid w:val="0BB052B2"/>
    <w:rsid w:val="0BD33FFC"/>
    <w:rsid w:val="0BE97AC1"/>
    <w:rsid w:val="0C1C4780"/>
    <w:rsid w:val="0C3613A3"/>
    <w:rsid w:val="0C5E519C"/>
    <w:rsid w:val="0C7227A7"/>
    <w:rsid w:val="0CA52EE8"/>
    <w:rsid w:val="0CB952B6"/>
    <w:rsid w:val="0CBD6988"/>
    <w:rsid w:val="0CD208AC"/>
    <w:rsid w:val="0CDF49BA"/>
    <w:rsid w:val="0D4903E8"/>
    <w:rsid w:val="0D5F7C0C"/>
    <w:rsid w:val="0D7A4A46"/>
    <w:rsid w:val="0E640559"/>
    <w:rsid w:val="0E835DB0"/>
    <w:rsid w:val="0E882CC9"/>
    <w:rsid w:val="0EC3241C"/>
    <w:rsid w:val="0F1113DA"/>
    <w:rsid w:val="0F41131F"/>
    <w:rsid w:val="0F78534A"/>
    <w:rsid w:val="0F8751F8"/>
    <w:rsid w:val="0F89358A"/>
    <w:rsid w:val="0F8C6D51"/>
    <w:rsid w:val="0F8E2A2A"/>
    <w:rsid w:val="0FDA5C70"/>
    <w:rsid w:val="0FFC07C3"/>
    <w:rsid w:val="101C0036"/>
    <w:rsid w:val="10260EB5"/>
    <w:rsid w:val="105B0B5E"/>
    <w:rsid w:val="112E58D0"/>
    <w:rsid w:val="11731CAC"/>
    <w:rsid w:val="119500A0"/>
    <w:rsid w:val="11AB4DD4"/>
    <w:rsid w:val="11C0733B"/>
    <w:rsid w:val="11D50D17"/>
    <w:rsid w:val="11EB5F12"/>
    <w:rsid w:val="120E0809"/>
    <w:rsid w:val="1255017F"/>
    <w:rsid w:val="127F665A"/>
    <w:rsid w:val="12F333FB"/>
    <w:rsid w:val="12F7068C"/>
    <w:rsid w:val="13007405"/>
    <w:rsid w:val="133211AA"/>
    <w:rsid w:val="13346759"/>
    <w:rsid w:val="14207DC0"/>
    <w:rsid w:val="145F04F1"/>
    <w:rsid w:val="147541B9"/>
    <w:rsid w:val="14B932DA"/>
    <w:rsid w:val="150A66AF"/>
    <w:rsid w:val="15182128"/>
    <w:rsid w:val="154C1139"/>
    <w:rsid w:val="158C5B77"/>
    <w:rsid w:val="160D1149"/>
    <w:rsid w:val="163563C0"/>
    <w:rsid w:val="164315EF"/>
    <w:rsid w:val="16557DFE"/>
    <w:rsid w:val="167268FB"/>
    <w:rsid w:val="16770D0A"/>
    <w:rsid w:val="16D50C50"/>
    <w:rsid w:val="16E120E1"/>
    <w:rsid w:val="16FF01B0"/>
    <w:rsid w:val="17385A05"/>
    <w:rsid w:val="173B3901"/>
    <w:rsid w:val="17592EC6"/>
    <w:rsid w:val="176747F9"/>
    <w:rsid w:val="17797B1C"/>
    <w:rsid w:val="177F4F13"/>
    <w:rsid w:val="17954A6E"/>
    <w:rsid w:val="180059E9"/>
    <w:rsid w:val="184510FD"/>
    <w:rsid w:val="187A1D9E"/>
    <w:rsid w:val="190648B0"/>
    <w:rsid w:val="19071D6C"/>
    <w:rsid w:val="19680E93"/>
    <w:rsid w:val="19D26CD4"/>
    <w:rsid w:val="19E60D19"/>
    <w:rsid w:val="19F53DD2"/>
    <w:rsid w:val="1A3E3450"/>
    <w:rsid w:val="1AD807E5"/>
    <w:rsid w:val="1B0B4FA3"/>
    <w:rsid w:val="1B39345B"/>
    <w:rsid w:val="1B43265A"/>
    <w:rsid w:val="1BA15178"/>
    <w:rsid w:val="1BA77F4A"/>
    <w:rsid w:val="1BFB2A1F"/>
    <w:rsid w:val="1C015D4A"/>
    <w:rsid w:val="1C290ED5"/>
    <w:rsid w:val="1C317E4F"/>
    <w:rsid w:val="1C472464"/>
    <w:rsid w:val="1D22799A"/>
    <w:rsid w:val="1D3B2C1B"/>
    <w:rsid w:val="1D5C1A72"/>
    <w:rsid w:val="1DAF458D"/>
    <w:rsid w:val="1E0416D2"/>
    <w:rsid w:val="1E086ACE"/>
    <w:rsid w:val="1E62130A"/>
    <w:rsid w:val="1E97358B"/>
    <w:rsid w:val="1EA96F39"/>
    <w:rsid w:val="1EAA4A5F"/>
    <w:rsid w:val="1EE869A7"/>
    <w:rsid w:val="1F382194"/>
    <w:rsid w:val="1FA15E62"/>
    <w:rsid w:val="1FED69B6"/>
    <w:rsid w:val="2064678E"/>
    <w:rsid w:val="209D2406"/>
    <w:rsid w:val="20DC1AB9"/>
    <w:rsid w:val="20DD6197"/>
    <w:rsid w:val="212631E0"/>
    <w:rsid w:val="21A53757"/>
    <w:rsid w:val="221236C6"/>
    <w:rsid w:val="229B128E"/>
    <w:rsid w:val="229F55B7"/>
    <w:rsid w:val="22D7662C"/>
    <w:rsid w:val="2309269C"/>
    <w:rsid w:val="231F3C6E"/>
    <w:rsid w:val="23326B7F"/>
    <w:rsid w:val="237B25AE"/>
    <w:rsid w:val="2380045B"/>
    <w:rsid w:val="23BC04D2"/>
    <w:rsid w:val="23EF1892"/>
    <w:rsid w:val="24062738"/>
    <w:rsid w:val="2431606C"/>
    <w:rsid w:val="2438732F"/>
    <w:rsid w:val="2483647E"/>
    <w:rsid w:val="24A27B98"/>
    <w:rsid w:val="24A32D55"/>
    <w:rsid w:val="24BC68FF"/>
    <w:rsid w:val="24F939F5"/>
    <w:rsid w:val="24FB7DC2"/>
    <w:rsid w:val="251E1FFF"/>
    <w:rsid w:val="25292727"/>
    <w:rsid w:val="252E5CA9"/>
    <w:rsid w:val="253B2B50"/>
    <w:rsid w:val="254459CE"/>
    <w:rsid w:val="25445C0D"/>
    <w:rsid w:val="256F7692"/>
    <w:rsid w:val="25BA2154"/>
    <w:rsid w:val="25C8773F"/>
    <w:rsid w:val="26062EC3"/>
    <w:rsid w:val="260721B6"/>
    <w:rsid w:val="26083E5F"/>
    <w:rsid w:val="260A03D8"/>
    <w:rsid w:val="261D1FBA"/>
    <w:rsid w:val="264A7253"/>
    <w:rsid w:val="26F0170C"/>
    <w:rsid w:val="271A3012"/>
    <w:rsid w:val="27201D62"/>
    <w:rsid w:val="27286E73"/>
    <w:rsid w:val="27CF2642"/>
    <w:rsid w:val="27E777F5"/>
    <w:rsid w:val="27EA1D4C"/>
    <w:rsid w:val="27EA2E41"/>
    <w:rsid w:val="27FA25B3"/>
    <w:rsid w:val="282459E2"/>
    <w:rsid w:val="283A7FE5"/>
    <w:rsid w:val="28546DB9"/>
    <w:rsid w:val="285F51FF"/>
    <w:rsid w:val="287E4F92"/>
    <w:rsid w:val="28976054"/>
    <w:rsid w:val="28C03C94"/>
    <w:rsid w:val="28DF2665"/>
    <w:rsid w:val="29072599"/>
    <w:rsid w:val="291029F3"/>
    <w:rsid w:val="29476E2A"/>
    <w:rsid w:val="29910CF5"/>
    <w:rsid w:val="29CB58F0"/>
    <w:rsid w:val="2A053397"/>
    <w:rsid w:val="2A145E96"/>
    <w:rsid w:val="2A2131BB"/>
    <w:rsid w:val="2A5E0833"/>
    <w:rsid w:val="2AF5378F"/>
    <w:rsid w:val="2B844FB6"/>
    <w:rsid w:val="2BB94DBF"/>
    <w:rsid w:val="2BD559B4"/>
    <w:rsid w:val="2C6F314E"/>
    <w:rsid w:val="2C7F39CF"/>
    <w:rsid w:val="2C970DA8"/>
    <w:rsid w:val="2CBF1EF3"/>
    <w:rsid w:val="2CC206BE"/>
    <w:rsid w:val="2CCF397C"/>
    <w:rsid w:val="2D1136DF"/>
    <w:rsid w:val="2D20606D"/>
    <w:rsid w:val="2D5F02E7"/>
    <w:rsid w:val="2DB87198"/>
    <w:rsid w:val="2DB93C54"/>
    <w:rsid w:val="2E110657"/>
    <w:rsid w:val="2E3D144C"/>
    <w:rsid w:val="2E717347"/>
    <w:rsid w:val="2E891204"/>
    <w:rsid w:val="2EF70730"/>
    <w:rsid w:val="2F3F0A28"/>
    <w:rsid w:val="2F527179"/>
    <w:rsid w:val="2FBF7029"/>
    <w:rsid w:val="2FD0187F"/>
    <w:rsid w:val="2FD27414"/>
    <w:rsid w:val="2FDE5E55"/>
    <w:rsid w:val="2FF76B05"/>
    <w:rsid w:val="2FFE4BB0"/>
    <w:rsid w:val="300E7B60"/>
    <w:rsid w:val="300F6E18"/>
    <w:rsid w:val="30523E1F"/>
    <w:rsid w:val="30774ACE"/>
    <w:rsid w:val="30805B4B"/>
    <w:rsid w:val="30862F5F"/>
    <w:rsid w:val="314029C9"/>
    <w:rsid w:val="317C0D70"/>
    <w:rsid w:val="31C63837"/>
    <w:rsid w:val="31C82E39"/>
    <w:rsid w:val="322C0915"/>
    <w:rsid w:val="32601BAD"/>
    <w:rsid w:val="3281224F"/>
    <w:rsid w:val="328E6DC4"/>
    <w:rsid w:val="329F6389"/>
    <w:rsid w:val="33044C2E"/>
    <w:rsid w:val="333F63EA"/>
    <w:rsid w:val="335B3620"/>
    <w:rsid w:val="3389023A"/>
    <w:rsid w:val="33CB74FA"/>
    <w:rsid w:val="342D5ABF"/>
    <w:rsid w:val="343642F2"/>
    <w:rsid w:val="343B37A2"/>
    <w:rsid w:val="343F3010"/>
    <w:rsid w:val="345D0A00"/>
    <w:rsid w:val="34713BFD"/>
    <w:rsid w:val="34825E0A"/>
    <w:rsid w:val="34B1049E"/>
    <w:rsid w:val="34C13589"/>
    <w:rsid w:val="34C40CF7"/>
    <w:rsid w:val="35325A82"/>
    <w:rsid w:val="353369E3"/>
    <w:rsid w:val="35E00D72"/>
    <w:rsid w:val="36965B9D"/>
    <w:rsid w:val="36C549FD"/>
    <w:rsid w:val="36D3294D"/>
    <w:rsid w:val="36F84D55"/>
    <w:rsid w:val="37A755DD"/>
    <w:rsid w:val="37AB38CA"/>
    <w:rsid w:val="37F94FA0"/>
    <w:rsid w:val="380D3381"/>
    <w:rsid w:val="38115B1F"/>
    <w:rsid w:val="382226E5"/>
    <w:rsid w:val="385E3AC3"/>
    <w:rsid w:val="387D6B9E"/>
    <w:rsid w:val="38B75FF0"/>
    <w:rsid w:val="38D45016"/>
    <w:rsid w:val="38D90432"/>
    <w:rsid w:val="3914510A"/>
    <w:rsid w:val="3926770B"/>
    <w:rsid w:val="3929283B"/>
    <w:rsid w:val="394034D1"/>
    <w:rsid w:val="398D3668"/>
    <w:rsid w:val="39CE1AF2"/>
    <w:rsid w:val="39DA0497"/>
    <w:rsid w:val="39F552D0"/>
    <w:rsid w:val="3A741333"/>
    <w:rsid w:val="3A893816"/>
    <w:rsid w:val="3A893B6D"/>
    <w:rsid w:val="3AD1763A"/>
    <w:rsid w:val="3B5562D8"/>
    <w:rsid w:val="3B582D24"/>
    <w:rsid w:val="3B6716E3"/>
    <w:rsid w:val="3B6C6B2D"/>
    <w:rsid w:val="3B731C1D"/>
    <w:rsid w:val="3C032C15"/>
    <w:rsid w:val="3C242659"/>
    <w:rsid w:val="3C96719C"/>
    <w:rsid w:val="3CA72BE8"/>
    <w:rsid w:val="3CF37F8C"/>
    <w:rsid w:val="3D137554"/>
    <w:rsid w:val="3D5275AC"/>
    <w:rsid w:val="3D9B7F3D"/>
    <w:rsid w:val="3DCC2473"/>
    <w:rsid w:val="3DEB0883"/>
    <w:rsid w:val="3E2527BF"/>
    <w:rsid w:val="3E2E0C71"/>
    <w:rsid w:val="3E3E545C"/>
    <w:rsid w:val="3E731662"/>
    <w:rsid w:val="3E8168DD"/>
    <w:rsid w:val="3EA7725F"/>
    <w:rsid w:val="3EB03713"/>
    <w:rsid w:val="3EBF1A11"/>
    <w:rsid w:val="3EC52607"/>
    <w:rsid w:val="3EEB27FE"/>
    <w:rsid w:val="3EEC6CEF"/>
    <w:rsid w:val="3F183429"/>
    <w:rsid w:val="3FB77A1D"/>
    <w:rsid w:val="3FDC3674"/>
    <w:rsid w:val="3FED7F8A"/>
    <w:rsid w:val="40094AEF"/>
    <w:rsid w:val="40490124"/>
    <w:rsid w:val="405470BD"/>
    <w:rsid w:val="40794A29"/>
    <w:rsid w:val="40834692"/>
    <w:rsid w:val="41431AD5"/>
    <w:rsid w:val="414B3C0F"/>
    <w:rsid w:val="417C1CE7"/>
    <w:rsid w:val="41900018"/>
    <w:rsid w:val="41944406"/>
    <w:rsid w:val="41CE128F"/>
    <w:rsid w:val="41DA6F12"/>
    <w:rsid w:val="41E9571B"/>
    <w:rsid w:val="42171FB1"/>
    <w:rsid w:val="42DF0F29"/>
    <w:rsid w:val="434E6957"/>
    <w:rsid w:val="43541C1A"/>
    <w:rsid w:val="43BA0E31"/>
    <w:rsid w:val="43C15147"/>
    <w:rsid w:val="43D47CE5"/>
    <w:rsid w:val="43E14DD2"/>
    <w:rsid w:val="43F800E9"/>
    <w:rsid w:val="44224F14"/>
    <w:rsid w:val="443A225E"/>
    <w:rsid w:val="443A7E4B"/>
    <w:rsid w:val="44D75B8C"/>
    <w:rsid w:val="44F7014F"/>
    <w:rsid w:val="452F5B3A"/>
    <w:rsid w:val="454E7FD2"/>
    <w:rsid w:val="45895FD6"/>
    <w:rsid w:val="45E16709"/>
    <w:rsid w:val="46061BDC"/>
    <w:rsid w:val="461404F8"/>
    <w:rsid w:val="46413018"/>
    <w:rsid w:val="464B7E04"/>
    <w:rsid w:val="468041AA"/>
    <w:rsid w:val="468123C6"/>
    <w:rsid w:val="468E2155"/>
    <w:rsid w:val="46901EEE"/>
    <w:rsid w:val="469C74D2"/>
    <w:rsid w:val="47445515"/>
    <w:rsid w:val="474B4782"/>
    <w:rsid w:val="474E3CFD"/>
    <w:rsid w:val="47A17A20"/>
    <w:rsid w:val="47C7271A"/>
    <w:rsid w:val="47D90D14"/>
    <w:rsid w:val="482C010F"/>
    <w:rsid w:val="48387FB0"/>
    <w:rsid w:val="483A6114"/>
    <w:rsid w:val="488727DB"/>
    <w:rsid w:val="48B82268"/>
    <w:rsid w:val="48C354B3"/>
    <w:rsid w:val="48DE13CC"/>
    <w:rsid w:val="493D58B5"/>
    <w:rsid w:val="494A7A04"/>
    <w:rsid w:val="49BA155E"/>
    <w:rsid w:val="4A0A26D2"/>
    <w:rsid w:val="4A1B48DF"/>
    <w:rsid w:val="4A1F427F"/>
    <w:rsid w:val="4A2019A5"/>
    <w:rsid w:val="4A241A0B"/>
    <w:rsid w:val="4A660C34"/>
    <w:rsid w:val="4A7B2875"/>
    <w:rsid w:val="4A8F5463"/>
    <w:rsid w:val="4A934476"/>
    <w:rsid w:val="4AAA220A"/>
    <w:rsid w:val="4AD4683C"/>
    <w:rsid w:val="4AE12E67"/>
    <w:rsid w:val="4B4C0111"/>
    <w:rsid w:val="4B8553A9"/>
    <w:rsid w:val="4B9C1A50"/>
    <w:rsid w:val="4BDB3730"/>
    <w:rsid w:val="4BE7223F"/>
    <w:rsid w:val="4C200F7A"/>
    <w:rsid w:val="4CEE3180"/>
    <w:rsid w:val="4D0F4AF6"/>
    <w:rsid w:val="4D9D077D"/>
    <w:rsid w:val="4DF94F37"/>
    <w:rsid w:val="4E0A1DD5"/>
    <w:rsid w:val="4E3160E5"/>
    <w:rsid w:val="4E4D37AF"/>
    <w:rsid w:val="4E6310E0"/>
    <w:rsid w:val="4E8C6496"/>
    <w:rsid w:val="4ED51343"/>
    <w:rsid w:val="4EFD18DE"/>
    <w:rsid w:val="4F02266B"/>
    <w:rsid w:val="4F144236"/>
    <w:rsid w:val="4F281CC0"/>
    <w:rsid w:val="4F663C87"/>
    <w:rsid w:val="4F7E29A8"/>
    <w:rsid w:val="4F9E1FFC"/>
    <w:rsid w:val="5002340A"/>
    <w:rsid w:val="50447CC2"/>
    <w:rsid w:val="50863D59"/>
    <w:rsid w:val="50874A7C"/>
    <w:rsid w:val="50895EE7"/>
    <w:rsid w:val="50921B9D"/>
    <w:rsid w:val="50D15CF8"/>
    <w:rsid w:val="50D16158"/>
    <w:rsid w:val="50DB5F45"/>
    <w:rsid w:val="51025EB1"/>
    <w:rsid w:val="51141503"/>
    <w:rsid w:val="516C77CE"/>
    <w:rsid w:val="518D0ED5"/>
    <w:rsid w:val="52384942"/>
    <w:rsid w:val="525C687F"/>
    <w:rsid w:val="52B0193D"/>
    <w:rsid w:val="52F647F7"/>
    <w:rsid w:val="52F92565"/>
    <w:rsid w:val="535F77E1"/>
    <w:rsid w:val="536D782E"/>
    <w:rsid w:val="53D03877"/>
    <w:rsid w:val="542F73CA"/>
    <w:rsid w:val="5430786D"/>
    <w:rsid w:val="545A1D2A"/>
    <w:rsid w:val="548117E3"/>
    <w:rsid w:val="548C3CFC"/>
    <w:rsid w:val="54C811C0"/>
    <w:rsid w:val="54E83610"/>
    <w:rsid w:val="551966C1"/>
    <w:rsid w:val="556A442D"/>
    <w:rsid w:val="55DA564E"/>
    <w:rsid w:val="5604127D"/>
    <w:rsid w:val="560E70A6"/>
    <w:rsid w:val="56166703"/>
    <w:rsid w:val="561D0FCE"/>
    <w:rsid w:val="56510474"/>
    <w:rsid w:val="567E3BBC"/>
    <w:rsid w:val="56861525"/>
    <w:rsid w:val="56A93273"/>
    <w:rsid w:val="56B36F6A"/>
    <w:rsid w:val="56BD287A"/>
    <w:rsid w:val="56BD550C"/>
    <w:rsid w:val="56E07045"/>
    <w:rsid w:val="56FF28AF"/>
    <w:rsid w:val="57340ABC"/>
    <w:rsid w:val="57540E7D"/>
    <w:rsid w:val="577B4878"/>
    <w:rsid w:val="57926973"/>
    <w:rsid w:val="57BB14B0"/>
    <w:rsid w:val="57EE7EE1"/>
    <w:rsid w:val="58175352"/>
    <w:rsid w:val="581F2200"/>
    <w:rsid w:val="583059FA"/>
    <w:rsid w:val="584A0929"/>
    <w:rsid w:val="58CD2491"/>
    <w:rsid w:val="591B41B2"/>
    <w:rsid w:val="59254A26"/>
    <w:rsid w:val="59326325"/>
    <w:rsid w:val="5954396A"/>
    <w:rsid w:val="595C505B"/>
    <w:rsid w:val="595E55C3"/>
    <w:rsid w:val="596E7E20"/>
    <w:rsid w:val="5A60780B"/>
    <w:rsid w:val="5A980ED0"/>
    <w:rsid w:val="5AB34579"/>
    <w:rsid w:val="5AFC6609"/>
    <w:rsid w:val="5B095DF7"/>
    <w:rsid w:val="5B113480"/>
    <w:rsid w:val="5B514710"/>
    <w:rsid w:val="5BD456CE"/>
    <w:rsid w:val="5C0D1F49"/>
    <w:rsid w:val="5C186ED1"/>
    <w:rsid w:val="5C3A6E47"/>
    <w:rsid w:val="5CBB0CE2"/>
    <w:rsid w:val="5CC17177"/>
    <w:rsid w:val="5CE713B5"/>
    <w:rsid w:val="5CF306BC"/>
    <w:rsid w:val="5D3F3D64"/>
    <w:rsid w:val="5D833043"/>
    <w:rsid w:val="5D861C18"/>
    <w:rsid w:val="5DD92690"/>
    <w:rsid w:val="5DDB1CFD"/>
    <w:rsid w:val="5E0038E7"/>
    <w:rsid w:val="5E7DD119"/>
    <w:rsid w:val="5E7E6D93"/>
    <w:rsid w:val="5EB32871"/>
    <w:rsid w:val="5ED44800"/>
    <w:rsid w:val="5F2C7B57"/>
    <w:rsid w:val="5F350BDE"/>
    <w:rsid w:val="5F61632C"/>
    <w:rsid w:val="5F775E85"/>
    <w:rsid w:val="5FA17648"/>
    <w:rsid w:val="5FD72D43"/>
    <w:rsid w:val="5FE705CB"/>
    <w:rsid w:val="603D5080"/>
    <w:rsid w:val="60996106"/>
    <w:rsid w:val="60A43FB4"/>
    <w:rsid w:val="60D0261B"/>
    <w:rsid w:val="618E3791"/>
    <w:rsid w:val="61947DCA"/>
    <w:rsid w:val="61A46A97"/>
    <w:rsid w:val="61D1382F"/>
    <w:rsid w:val="61F114A2"/>
    <w:rsid w:val="62512BB4"/>
    <w:rsid w:val="625D7D1A"/>
    <w:rsid w:val="62DD22DA"/>
    <w:rsid w:val="62DD7D21"/>
    <w:rsid w:val="637D586B"/>
    <w:rsid w:val="63A5560B"/>
    <w:rsid w:val="63CB2A7A"/>
    <w:rsid w:val="63E9091F"/>
    <w:rsid w:val="64322AF9"/>
    <w:rsid w:val="644648BF"/>
    <w:rsid w:val="64992B79"/>
    <w:rsid w:val="64D6010D"/>
    <w:rsid w:val="64D82665"/>
    <w:rsid w:val="64E47C96"/>
    <w:rsid w:val="650E247D"/>
    <w:rsid w:val="651E5741"/>
    <w:rsid w:val="653D1756"/>
    <w:rsid w:val="658A4877"/>
    <w:rsid w:val="65A00902"/>
    <w:rsid w:val="65AC6EDD"/>
    <w:rsid w:val="65AE4402"/>
    <w:rsid w:val="65D97752"/>
    <w:rsid w:val="66085536"/>
    <w:rsid w:val="66105BF7"/>
    <w:rsid w:val="66150023"/>
    <w:rsid w:val="6628010D"/>
    <w:rsid w:val="669B4528"/>
    <w:rsid w:val="66CC12D7"/>
    <w:rsid w:val="66CC7692"/>
    <w:rsid w:val="67134CEF"/>
    <w:rsid w:val="671F1ABD"/>
    <w:rsid w:val="67521A59"/>
    <w:rsid w:val="675A41CC"/>
    <w:rsid w:val="67A55390"/>
    <w:rsid w:val="67C304AB"/>
    <w:rsid w:val="67DD627D"/>
    <w:rsid w:val="683F0658"/>
    <w:rsid w:val="689C6793"/>
    <w:rsid w:val="68DB0208"/>
    <w:rsid w:val="68FB170C"/>
    <w:rsid w:val="691150BC"/>
    <w:rsid w:val="691B3D98"/>
    <w:rsid w:val="693748F0"/>
    <w:rsid w:val="69846A0E"/>
    <w:rsid w:val="69A91168"/>
    <w:rsid w:val="69AD798C"/>
    <w:rsid w:val="69D005C0"/>
    <w:rsid w:val="69D80B96"/>
    <w:rsid w:val="6A1246DC"/>
    <w:rsid w:val="6AD14E1A"/>
    <w:rsid w:val="6B68175F"/>
    <w:rsid w:val="6BFD799F"/>
    <w:rsid w:val="6C4A2E5A"/>
    <w:rsid w:val="6C8138D0"/>
    <w:rsid w:val="6CEF0725"/>
    <w:rsid w:val="6D4B2604"/>
    <w:rsid w:val="6D8030E4"/>
    <w:rsid w:val="6DC42A14"/>
    <w:rsid w:val="6E0E35C4"/>
    <w:rsid w:val="6E0F7A08"/>
    <w:rsid w:val="6E1119D2"/>
    <w:rsid w:val="6E2F5FB6"/>
    <w:rsid w:val="6E3947F5"/>
    <w:rsid w:val="6E9C74ED"/>
    <w:rsid w:val="6EBB46A6"/>
    <w:rsid w:val="6EF72976"/>
    <w:rsid w:val="6F0A08FB"/>
    <w:rsid w:val="6F567B23"/>
    <w:rsid w:val="6F795A80"/>
    <w:rsid w:val="6F7C1D2E"/>
    <w:rsid w:val="6F8E0407"/>
    <w:rsid w:val="6FCD87DE"/>
    <w:rsid w:val="6FDD069F"/>
    <w:rsid w:val="6FEC6252"/>
    <w:rsid w:val="702656F8"/>
    <w:rsid w:val="702B4D16"/>
    <w:rsid w:val="703025E3"/>
    <w:rsid w:val="70AA6621"/>
    <w:rsid w:val="7111480F"/>
    <w:rsid w:val="71261F49"/>
    <w:rsid w:val="712E6956"/>
    <w:rsid w:val="71473612"/>
    <w:rsid w:val="71504F32"/>
    <w:rsid w:val="7152309F"/>
    <w:rsid w:val="718F7F65"/>
    <w:rsid w:val="720B0711"/>
    <w:rsid w:val="721B4BCD"/>
    <w:rsid w:val="724F3CAA"/>
    <w:rsid w:val="727B234E"/>
    <w:rsid w:val="72D068C7"/>
    <w:rsid w:val="72DD00D4"/>
    <w:rsid w:val="72E42ED8"/>
    <w:rsid w:val="735F4CB9"/>
    <w:rsid w:val="73674C62"/>
    <w:rsid w:val="73845865"/>
    <w:rsid w:val="739B6D9E"/>
    <w:rsid w:val="73BC1D76"/>
    <w:rsid w:val="73C179F6"/>
    <w:rsid w:val="73FB6630"/>
    <w:rsid w:val="748D790E"/>
    <w:rsid w:val="749820CC"/>
    <w:rsid w:val="74CE04EC"/>
    <w:rsid w:val="74E76DCD"/>
    <w:rsid w:val="751A73BE"/>
    <w:rsid w:val="751D7C0A"/>
    <w:rsid w:val="75722D56"/>
    <w:rsid w:val="758049EE"/>
    <w:rsid w:val="75915D31"/>
    <w:rsid w:val="75DB5477"/>
    <w:rsid w:val="75FC6AC3"/>
    <w:rsid w:val="7616619B"/>
    <w:rsid w:val="763428B8"/>
    <w:rsid w:val="76660D7C"/>
    <w:rsid w:val="766C5968"/>
    <w:rsid w:val="76BE0C8F"/>
    <w:rsid w:val="76CD53B2"/>
    <w:rsid w:val="770719AC"/>
    <w:rsid w:val="776526CC"/>
    <w:rsid w:val="776E6C5C"/>
    <w:rsid w:val="77A262E1"/>
    <w:rsid w:val="77B13C33"/>
    <w:rsid w:val="77BE4CDB"/>
    <w:rsid w:val="77ED6F44"/>
    <w:rsid w:val="77F45548"/>
    <w:rsid w:val="784E7CA6"/>
    <w:rsid w:val="78574801"/>
    <w:rsid w:val="7873527F"/>
    <w:rsid w:val="787768D5"/>
    <w:rsid w:val="790A6425"/>
    <w:rsid w:val="790E2D96"/>
    <w:rsid w:val="791B54B2"/>
    <w:rsid w:val="795A0A34"/>
    <w:rsid w:val="797339C3"/>
    <w:rsid w:val="79D02741"/>
    <w:rsid w:val="79D57D57"/>
    <w:rsid w:val="79F00650"/>
    <w:rsid w:val="7A0115E2"/>
    <w:rsid w:val="7A6242BF"/>
    <w:rsid w:val="7A794513"/>
    <w:rsid w:val="7AE952D2"/>
    <w:rsid w:val="7AF81F4F"/>
    <w:rsid w:val="7B42141C"/>
    <w:rsid w:val="7C4B60AF"/>
    <w:rsid w:val="7C7248A0"/>
    <w:rsid w:val="7C8D2B6B"/>
    <w:rsid w:val="7C976D69"/>
    <w:rsid w:val="7CD752DA"/>
    <w:rsid w:val="7CDE40AB"/>
    <w:rsid w:val="7CE71767"/>
    <w:rsid w:val="7CF057E2"/>
    <w:rsid w:val="7D1548B5"/>
    <w:rsid w:val="7D1666BD"/>
    <w:rsid w:val="7D951CD7"/>
    <w:rsid w:val="7D957F29"/>
    <w:rsid w:val="7DDF421D"/>
    <w:rsid w:val="7DF84014"/>
    <w:rsid w:val="7E207949"/>
    <w:rsid w:val="7E530F17"/>
    <w:rsid w:val="7E5C0A47"/>
    <w:rsid w:val="7E670C75"/>
    <w:rsid w:val="7EE24272"/>
    <w:rsid w:val="7EEA6053"/>
    <w:rsid w:val="7EF39725"/>
    <w:rsid w:val="7F231565"/>
    <w:rsid w:val="7F487C04"/>
    <w:rsid w:val="7FB45F21"/>
    <w:rsid w:val="7FE57088"/>
    <w:rsid w:val="7FF37FA3"/>
    <w:rsid w:val="FEFED8EF"/>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6158</Words>
  <Characters>6796</Characters>
  <Lines>0</Lines>
  <Paragraphs>0</Paragraphs>
  <TotalTime>0</TotalTime>
  <ScaleCrop>false</ScaleCrop>
  <LinksUpToDate>false</LinksUpToDate>
  <CharactersWithSpaces>6809</CharactersWithSpaces>
  <Application>WPS Office_10.8.0.5648_F1E327BC-269C-435d-A152-05C5408002CA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GXR</dc:creator>
  <cp:lastModifiedBy>Administrator</cp:lastModifiedBy>
  <cp:lastPrinted>2024-08-28T12:11:00Z</cp:lastPrinted>
  <dcterms:modified xsi:type="dcterms:W3CDTF">2024-10-29T03:11:26Z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y fmtid="{D5CDD505-2E9C-101B-9397-08002B2CF9AE}" pid="3" name="ICV">
    <vt:lpwstr>D624B15633CD43C8BF9435464A96BF70</vt:lpwstr>
  </property>
</Properties>
</file>