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中国人民政治协商会议新疆维吾尔自治区委员会办公厅</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自治区政协办公厅是中国人民政治协商会议新疆维吾尔自治区委员会的工作机构,承担为履行政协职能服务的各项工作,其主要职责是:</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(1)负责自治区政协全体会议、常委会议、专题协商会、主席会议、秘书长会议以及月度协商座谈会等重要会议、活动的组织和服务工作。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(2)负责自治区政协全体会议、常委会议、主席会议决议和决定的具体组织实施工作。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(3)研究统一战线和人民政协的理论、政策</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提出人民政协履行职能的工作建议</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起草自治区政协的重要文稿</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协调和组织人民政协的对内对外宣传工作。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(4)负责专门委员会实施专题调研计划和开展相关活动的保障服务工作。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(5)负责自治区政协委员提案办理的协调和服务工作。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(6)整理、报送政协组织和委员履行职能形成的调研报告、视察报告、大会发言、建议案</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收集反映社情民意</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处理政协委员和人民群众的来信来访。</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(7)负责自治区政协委员视察、学习等活动的组织服务工作。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(8)参与自治区政协委员的协商推荐、届中增补等有关人事工作。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(9)负责与自治区党委、自治区人大常委会、自治区人民政府有关部门及地州市县政协的工作联系;负责联系自治区各民主党派、工商联及政协的其他参加单位。</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(10)负责自治区政协机关的外事工作</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机构编制和干部人事管理工作</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负责自治区各级政协干部和委员的培训工作。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(11)负责自治区政协及机关的后勤保障工作。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(12)承担自治区政协领导同志交办的其它事项。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中国人民政治协商会议新疆维吾尔自治区委员会办公厅</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431</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218</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213</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从部门决算单位构成看,中国人民政治协商会议新疆维吾尔自治区委员会办公厅部门决算包括:中国人民政治协商会议新疆维吾尔自治区委员会办公厅部门本级决算及所属单位决算。</w:t>
      </w:r>
    </w:p>
    <w:p>
      <w:pPr>
        <w:pStyle w:val="15"/>
        <w:spacing w:line="560" w:lineRule="exact"/>
        <w:ind w:firstLine="560"/>
        <w:rPr>
          <w:rFonts w:hint="eastAsia" w:ascii="仿宋_GB2312" w:hAnsi="FangSong" w:eastAsia="仿宋_GB2312"/>
          <w:color w:val="000000"/>
          <w:sz w:val="32"/>
          <w:szCs w:val="32"/>
        </w:rPr>
      </w:pPr>
      <w:r>
        <w:rPr>
          <w:rFonts w:hint="eastAsia" w:ascii="仿宋_GB2312" w:eastAsia="仿宋_GB2312"/>
          <w:color w:val="auto"/>
          <w:sz w:val="32"/>
          <w:szCs w:val="32"/>
          <w:highlight w:val="none"/>
        </w:rPr>
        <w:t>中国人民政治协商会议新疆维吾尔自治区委员会办公厅本级下设 25 个处室</w:t>
      </w:r>
      <w:r>
        <w:rPr>
          <w:rFonts w:hint="eastAsia" w:ascii="仿宋_GB2312" w:hAnsi="FangSong" w:eastAsia="仿宋_GB2312"/>
          <w:color w:val="000000"/>
          <w:sz w:val="32"/>
          <w:szCs w:val="32"/>
        </w:rPr>
        <w:t>，分别是：办公厅研究室、研究室理论研究处、研究室信息处、研究室翻译处、</w:t>
      </w:r>
      <w:r>
        <w:rPr>
          <w:rFonts w:hint="eastAsia" w:ascii="仿宋_GB2312" w:hAnsi="FangSong" w:eastAsia="仿宋_GB2312"/>
          <w:color w:val="000000"/>
          <w:sz w:val="32"/>
          <w:szCs w:val="32"/>
          <w:lang w:eastAsia="zh-CN"/>
        </w:rPr>
        <w:t>会议活动处（对外联络处）</w:t>
      </w:r>
      <w:r>
        <w:rPr>
          <w:rFonts w:hint="eastAsia" w:ascii="仿宋_GB2312" w:hAnsi="FangSong" w:eastAsia="仿宋_GB2312"/>
          <w:color w:val="000000"/>
          <w:sz w:val="32"/>
          <w:szCs w:val="32"/>
        </w:rPr>
        <w:t>、秘书处、机关党委（机关纪委、机关工会）、人事处、财务处、保卫处、行政处、老干处、信访处、委员联络和基层政协工作处、提案委员会办公室、经济委员会办公室、农业和农村委员会办公室、民族和宗教委员会办公室、教科卫体委员会办公室、人口资源环境委员会办公室、</w:t>
      </w:r>
      <w:r>
        <w:rPr>
          <w:rFonts w:hint="eastAsia" w:ascii="仿宋_GB2312" w:hAnsi="FangSong" w:eastAsia="仿宋_GB2312"/>
          <w:color w:val="auto"/>
          <w:sz w:val="32"/>
          <w:szCs w:val="32"/>
        </w:rPr>
        <w:t>社会</w:t>
      </w:r>
      <w:r>
        <w:rPr>
          <w:rFonts w:hint="eastAsia" w:ascii="仿宋_GB2312" w:hAnsi="FangSong" w:eastAsia="仿宋_GB2312"/>
          <w:color w:val="auto"/>
          <w:sz w:val="32"/>
          <w:szCs w:val="32"/>
          <w:lang w:eastAsia="zh-CN"/>
        </w:rPr>
        <w:t>和</w:t>
      </w:r>
      <w:r>
        <w:rPr>
          <w:rFonts w:hint="eastAsia" w:ascii="仿宋_GB2312" w:hAnsi="FangSong" w:eastAsia="仿宋_GB2312"/>
          <w:color w:val="auto"/>
          <w:sz w:val="32"/>
          <w:szCs w:val="32"/>
        </w:rPr>
        <w:t>法制委员会办公室、港澳台侨</w:t>
      </w:r>
      <w:r>
        <w:rPr>
          <w:rFonts w:hint="eastAsia" w:ascii="仿宋_GB2312" w:hAnsi="FangSong" w:eastAsia="仿宋_GB2312"/>
          <w:color w:val="auto"/>
          <w:sz w:val="32"/>
          <w:szCs w:val="32"/>
          <w:lang w:eastAsia="zh-CN"/>
        </w:rPr>
        <w:t>和</w:t>
      </w:r>
      <w:r>
        <w:rPr>
          <w:rFonts w:hint="eastAsia" w:ascii="仿宋_GB2312" w:hAnsi="FangSong" w:eastAsia="仿宋_GB2312"/>
          <w:color w:val="auto"/>
          <w:sz w:val="32"/>
          <w:szCs w:val="32"/>
        </w:rPr>
        <w:t>外事委员会办公室</w:t>
      </w:r>
      <w:r>
        <w:rPr>
          <w:rFonts w:hint="eastAsia" w:ascii="仿宋_GB2312" w:hAnsi="FangSong" w:eastAsia="仿宋_GB2312"/>
          <w:color w:val="auto"/>
          <w:sz w:val="32"/>
          <w:szCs w:val="32"/>
          <w:lang w:eastAsia="zh-CN"/>
        </w:rPr>
        <w:t>、</w:t>
      </w:r>
      <w:r>
        <w:rPr>
          <w:rFonts w:hint="eastAsia" w:ascii="仿宋_GB2312" w:hAnsi="FangSong" w:eastAsia="仿宋_GB2312"/>
          <w:color w:val="auto"/>
          <w:sz w:val="32"/>
          <w:szCs w:val="32"/>
        </w:rPr>
        <w:t>文化文史和学习委员会办公室、宣传信息中心</w:t>
      </w:r>
      <w:r>
        <w:rPr>
          <w:rFonts w:hint="eastAsia" w:ascii="仿宋_GB2312" w:hAnsi="FangSong" w:eastAsia="仿宋_GB2312"/>
          <w:color w:val="000000"/>
          <w:sz w:val="32"/>
          <w:szCs w:val="32"/>
        </w:rPr>
        <w:t>、文史馆。</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rPr>
        <w:t>纳入中国人民政治协商会议新疆维吾尔自治区委员会办公厅 202</w:t>
      </w:r>
      <w:r>
        <w:rPr>
          <w:rFonts w:hint="eastAsia" w:ascii="仿宋_GB2312" w:eastAsia="仿宋_GB2312"/>
          <w:color w:val="auto"/>
          <w:spacing w:val="0"/>
          <w:sz w:val="32"/>
          <w:szCs w:val="32"/>
          <w:highlight w:val="none"/>
          <w:lang w:val="en-US" w:eastAsia="zh-CN"/>
        </w:rPr>
        <w:t>3</w:t>
      </w:r>
      <w:r>
        <w:rPr>
          <w:rFonts w:hint="eastAsia" w:ascii="仿宋_GB2312" w:eastAsia="仿宋_GB2312"/>
          <w:color w:val="auto"/>
          <w:spacing w:val="0"/>
          <w:sz w:val="32"/>
          <w:szCs w:val="32"/>
          <w:highlight w:val="none"/>
        </w:rPr>
        <w:t>年度部门决算编制范围的</w:t>
      </w:r>
      <w:r>
        <w:rPr>
          <w:rFonts w:hint="eastAsia" w:ascii="仿宋_GB2312" w:eastAsia="仿宋_GB2312"/>
          <w:color w:val="auto"/>
          <w:spacing w:val="0"/>
          <w:sz w:val="32"/>
          <w:szCs w:val="32"/>
          <w:highlight w:val="none"/>
          <w:lang w:val="en-US" w:eastAsia="zh-CN"/>
        </w:rPr>
        <w:t>下属预算</w:t>
      </w:r>
      <w:r>
        <w:rPr>
          <w:rFonts w:hint="eastAsia" w:ascii="仿宋_GB2312" w:eastAsia="仿宋_GB2312"/>
          <w:color w:val="auto"/>
          <w:spacing w:val="0"/>
          <w:sz w:val="32"/>
          <w:szCs w:val="32"/>
          <w:highlight w:val="none"/>
        </w:rPr>
        <w:t>单位</w:t>
      </w:r>
      <w:r>
        <w:rPr>
          <w:rFonts w:hint="eastAsia" w:ascii="仿宋_GB2312" w:eastAsia="仿宋_GB2312"/>
          <w:color w:val="auto"/>
          <w:spacing w:val="0"/>
          <w:sz w:val="32"/>
          <w:szCs w:val="32"/>
          <w:highlight w:val="none"/>
          <w:lang w:val="en-US" w:eastAsia="zh-CN"/>
        </w:rPr>
        <w:t>包括</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pacing w:val="0"/>
          <w:sz w:val="32"/>
          <w:szCs w:val="32"/>
          <w:highlight w:val="none"/>
          <w:lang w:val="en-US" w:eastAsia="zh-CN"/>
        </w:rPr>
      </w:pPr>
      <w:r>
        <w:rPr>
          <w:rFonts w:hint="default" w:ascii="仿宋_GB2312" w:eastAsia="仿宋_GB2312"/>
          <w:color w:val="auto"/>
          <w:spacing w:val="0"/>
          <w:sz w:val="32"/>
          <w:szCs w:val="32"/>
          <w:highlight w:val="none"/>
          <w:lang w:val="en-US" w:eastAsia="zh-CN"/>
        </w:rPr>
        <w:t>1.中国人民政治协商会议新疆维吾尔自治区委员会办公厅本级</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pacing w:val="0"/>
          <w:sz w:val="32"/>
          <w:szCs w:val="32"/>
          <w:highlight w:val="none"/>
          <w:lang w:val="en-US" w:eastAsia="zh-CN"/>
        </w:rPr>
      </w:pPr>
      <w:r>
        <w:rPr>
          <w:rFonts w:hint="default" w:ascii="仿宋_GB2312" w:eastAsia="仿宋_GB2312"/>
          <w:color w:val="auto"/>
          <w:spacing w:val="0"/>
          <w:sz w:val="32"/>
          <w:szCs w:val="32"/>
          <w:highlight w:val="none"/>
          <w:lang w:val="en-US" w:eastAsia="zh-CN"/>
        </w:rPr>
        <w:t>2.中国人民政治协商会议新疆维吾尔自治区委员会办公厅机关服务中心</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3.新疆亚洲中心时报社（《新疆政协》杂志社）</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12,914.89万元，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12,908.05万元，使用非财政拨款结余0.00万元，年初结转和结余6.84万元。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12,914.89万元，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12,890.54万元，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22.89万元，年末结转和结余1.46万元。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减少568.69万元</w:t>
      </w:r>
      <w:r>
        <w:rPr>
          <w:rFonts w:hint="eastAsia" w:ascii="仿宋_GB2312" w:eastAsia="仿宋_GB2312"/>
          <w:color w:val="auto"/>
          <w:spacing w:val="0"/>
          <w:sz w:val="32"/>
          <w:szCs w:val="32"/>
          <w:highlight w:val="none"/>
          <w:lang w:eastAsia="zh-CN"/>
        </w:rPr>
        <w:t>，下降4.22%，主要原因是：</w:t>
      </w:r>
      <w:r>
        <w:rPr>
          <w:rFonts w:hint="eastAsia" w:ascii="仿宋_GB2312" w:eastAsia="仿宋_GB2312"/>
          <w:color w:val="auto"/>
          <w:spacing w:val="0"/>
          <w:sz w:val="32"/>
          <w:szCs w:val="32"/>
          <w:highlight w:val="none"/>
          <w:lang w:val="en-US" w:eastAsia="zh-CN"/>
        </w:rPr>
        <w:t>一次性</w:t>
      </w:r>
      <w:r>
        <w:rPr>
          <w:rFonts w:hint="eastAsia" w:ascii="仿宋_GB2312" w:eastAsia="仿宋_GB2312"/>
          <w:color w:val="auto"/>
          <w:spacing w:val="0"/>
          <w:sz w:val="32"/>
          <w:szCs w:val="32"/>
          <w:highlight w:val="none"/>
          <w:lang w:eastAsia="zh-CN"/>
        </w:rPr>
        <w:t>项目预算收入减少。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12,908.05</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12,593.21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97.56</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209.90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1.63</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104.94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0.81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本年支出12,890.54万元，其中：基本支出7,270.17万元，占56.40%；项目支出5,433.36万元，占42.15%；上缴上级支出0.00万元，占0.00%；经营支出187.01万元，占1.45%；对附属单位补助支出0.00万元，占0.00%。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12,593.21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12,593.21</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12,593.21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12,593.21</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减少580.18万元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下降4.40%,</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一次性</w:t>
      </w:r>
      <w:r>
        <w:rPr>
          <w:rFonts w:hint="eastAsia" w:ascii="仿宋_GB2312" w:eastAsia="仿宋_GB2312"/>
          <w:color w:val="auto"/>
          <w:spacing w:val="0"/>
          <w:sz w:val="32"/>
          <w:szCs w:val="32"/>
          <w:highlight w:val="none"/>
          <w:lang w:eastAsia="zh-CN"/>
        </w:rPr>
        <w:t>项目预算资金减少。与年初预算相比，年初预算数</w:t>
      </w:r>
      <w:r>
        <w:rPr>
          <w:rFonts w:hint="eastAsia" w:ascii="仿宋_GB2312" w:eastAsia="仿宋_GB2312"/>
          <w:color w:val="auto"/>
          <w:spacing w:val="0"/>
          <w:sz w:val="32"/>
          <w:szCs w:val="32"/>
          <w:highlight w:val="none"/>
          <w:lang w:val="zh-CN" w:eastAsia="zh-CN"/>
        </w:rPr>
        <w:t>11,251.69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12,593.21</w:t>
      </w:r>
      <w:r>
        <w:rPr>
          <w:rFonts w:hint="eastAsia" w:ascii="仿宋_GB2312" w:eastAsia="仿宋_GB2312"/>
          <w:color w:val="auto"/>
          <w:spacing w:val="0"/>
          <w:sz w:val="32"/>
          <w:szCs w:val="32"/>
          <w:highlight w:val="none"/>
          <w:lang w:eastAsia="zh-CN"/>
        </w:rPr>
        <w:t>万元，预决算差异率11.92%，主要原因是：1、年中追加丧葬费抚恤金、职业年金、民族团结一家亲交通费、访惠聚工作经费等基本经费,2、年中追加公务用车购置、水电暖安全隐患维修费等项目经费。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2023年度一般公共预算财政拨款支出12,593.21万元，占本年支出合计的</w:t>
      </w:r>
      <w:r>
        <w:rPr>
          <w:rFonts w:hint="eastAsia" w:ascii="仿宋_GB2312" w:eastAsia="仿宋_GB2312"/>
          <w:color w:val="auto"/>
          <w:spacing w:val="0"/>
          <w:sz w:val="32"/>
          <w:szCs w:val="32"/>
          <w:highlight w:val="none"/>
          <w:lang w:val="zh-CN" w:eastAsia="zh-CN"/>
        </w:rPr>
        <w:t>97.69%</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减少580.18万元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下降4.40%,</w:t>
      </w:r>
      <w:r>
        <w:rPr>
          <w:rFonts w:hint="eastAsia" w:ascii="仿宋_GB2312" w:eastAsia="仿宋_GB2312"/>
          <w:color w:val="auto"/>
          <w:spacing w:val="0"/>
          <w:sz w:val="32"/>
          <w:szCs w:val="32"/>
          <w:highlight w:val="none"/>
          <w:lang w:eastAsia="zh-CN"/>
        </w:rPr>
        <w:t>主要原因是：一次性项目预算支出减少。与年初预算相比，年初预算数</w:t>
      </w:r>
      <w:r>
        <w:rPr>
          <w:rFonts w:hint="eastAsia" w:ascii="仿宋_GB2312" w:eastAsia="仿宋_GB2312"/>
          <w:color w:val="auto"/>
          <w:spacing w:val="0"/>
          <w:sz w:val="32"/>
          <w:szCs w:val="32"/>
          <w:highlight w:val="none"/>
          <w:lang w:val="zh-CN" w:eastAsia="zh-CN"/>
        </w:rPr>
        <w:t>11,251.69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12,593.21</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11.92%</w:t>
      </w:r>
      <w:r>
        <w:rPr>
          <w:rFonts w:hint="eastAsia" w:ascii="仿宋_GB2312" w:eastAsia="仿宋_GB2312"/>
          <w:color w:val="auto"/>
          <w:spacing w:val="0"/>
          <w:sz w:val="32"/>
          <w:szCs w:val="32"/>
          <w:highlight w:val="none"/>
          <w:lang w:eastAsia="zh-CN"/>
        </w:rPr>
        <w:t>，主要原因是：1</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年中追加丧葬费抚恤金、职业年金、民族团结一家亲交通费、访惠聚工作经费等基本支出,2</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年中追加公务用车购置、水电暖安全隐患维修费等项目经费。</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10,222.76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81.18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文化旅游体育与传媒支出（类）</w:t>
      </w:r>
      <w:r>
        <w:rPr>
          <w:rFonts w:hint="eastAsia" w:ascii="仿宋_GB2312" w:hAnsi="Times New Roman" w:eastAsia="仿宋_GB2312" w:cs="Times New Roman"/>
          <w:color w:val="auto"/>
          <w:spacing w:val="0"/>
          <w:kern w:val="2"/>
          <w:sz w:val="32"/>
          <w:szCs w:val="32"/>
          <w:highlight w:val="none"/>
          <w:lang w:val="zh-CN" w:eastAsia="zh-CN" w:bidi="ar-SA"/>
        </w:rPr>
        <w:t>770.09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6.12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1,209.33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9.60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25.67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0.20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5</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365.36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2.90</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1.卫生健康支出（类）行政事业单位医疗（款）事业单位医疗（项）:支出决算数为13.25万元，比上年决算减少50.87万元，下降79.33%，主要原因是：支出功能科目变化，机关服务中心2022年职工基本医疗保险缴费预算决算在卫生健康支出（类）行政事业单位医疗（款）事业单位医疗（项）下达和列支，2023年职工基本医疗保险缴费预算决算在一般公共服务支出（类）政协事务（款）机关服务（项）下达和列支，因此决算数据减少</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2.卫生健康支出（类）行政事业单位医疗（款）公务员医疗补助（项）:支出决算数为12.42万元，比上年决算减少134.93万元，下降91.57%，主要原因是：支出功能科目变化，办公厅本级和机关服务中心2022年公务员医疗补助预算决算在卫生健康支出（类）行政事业单位医疗（款）公务员医疗补助（项）下达和列支，2023年公务员医疗补助预算决算一般公共服务支出（类）政协事务</w:t>
      </w:r>
      <w:bookmarkStart w:id="48" w:name="_GoBack"/>
      <w:bookmarkEnd w:id="48"/>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（款）行政运行（项）和一般公共服务支出（类）政协事务（款）机关服务（项）下达和列支，因此决算数据减少</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3.住房保障支出（类）住房改革支出（款）住房公积金（项）:支出决算数为365.36万元，比上年决算增加46.00万元，增长14.40%，主要原因是：</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人员调资后住房公积金缴费基数调增，住房公积金经费相应增加。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4.社会保障和就业支出（类）行政事业单位养老支出（款）事业单位离退休（项）:支出决算数为114.74万元，比上年决算增加28.88万元，增长33.64%，主要原因是：</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追加退休人员年终绩效奖。</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5.社会保障和就业支出（类）行政事业单位养老支出（款）行政单位离退休（项）:支出决算数为394.64万元，比上年决算减少203.11万元，下降33.98%，主要原因是：抚恤金、医疗费补助功能科目调整调剂</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6.社会保障和就业支出（类）行政事业单位养老支出（款）机关事业单位职业年金缴费支出（项）:支出决算数为215.39万元，比上年决算增加204.33万元，增长1848.83%，主要原因是：年中追加退休人员</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职业年金。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7.社会保障和就业支出（类）行政事业单位养老支出（款）机关事业单位基本养老保险缴费支出（项）:支出决算数为484.57万元，比上年决算增加86.31万元，增长21.67%，主要原因是：</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人员增资后人员基本养老保险缴费基数相应增加。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8.一般公共服务支出（类）政协事务（款）政协会议（项）:支出决算数为504.23万元，比上年决算增加130.46万元，增长34.91%，主要原因是：2023年召开十三届自治区政协换届全体委员会议，会议规模、天数和参会人数增加。因此，会议费增加</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9.一般公共服务支出（类）政协事务（款）机关服务（项）:支出决算数为1,541.85万元，比上年决算增加46.72万元，增长3.12%，主要原因是：</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编制内在职人员增资，社保、养老人员经费增加。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10.一般公共服务支出（类）政协事务（款）参政议政（项）:支出决算数为527.58万元，比上年决算增加106.93万元，增长25.42%，主要原因是：</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委员调研考察差旅费和新任职委员培训费增加。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11.一般公共服务支出（类）政协事务（款）事业运行（项）:支出决算数为157.21万元，比上年决算增加22.70万元，增长16.88%，主要原因是：</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编制内在职人员增资、追加抚恤金和部分功能科目调整。</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12.文化旅游体育与传媒支出（类）新闻出版电影（款）出版发行（项）:支出决算数为770.09万元，比上年决算增加122.58万元，增长18.93%，主要原因是：1.调资后人员经费增加，2.支出功能科目调整，增加基层政协补助经费</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13.一般公共服务支出（类）政协事务（款）其他政协事务支出（项）:支出决算数为1,327.82万元，比上年决算减少1,416.51万元，下降51.62%，主要原因是：</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一次性项目经费减少。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14.一般公共服务支出（类）政协事务（款）一般行政管理事务（项）:支出决算数为1,816.74万元，比上年决算减少35.40万元，下降1.91%，主要原因是：</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厉行节约压减经费支出。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15.一般公共服务支出（类）政协事务（款）行政运行（项）:支出决算数为4,347.34万元，比上年决算增加631.77万元，增长17.00%，主要原因是：</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人员增资及人员经费增加。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16.卫生健康支出（类）行政事业单位医疗（款）行政单位医疗（项）:支出决算数为0.00万元，比上年决算减少151.05万元，下降100%，主要原因是：支出功能科目变化，办公厅本级2022年公务员医疗补助预算决算在卫生健康支出（类）行政事业单位医疗（款）行政单位医疗（项）下达和列支，2023年行政单位医疗预算决算一般公共服务支出（类）政协事务（款）行政运行（项）下达和列支，因此决算数据减少</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17.节能环保支出（类）能源节约利用（款）能源节约利用（项）:支出决算数为0.00万元，比上年决算减少15.00万元，下降100%，主要原因是：</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本年无节能环保能源节约奖金收入。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7,159.85</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5,940.73</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退休费、抚恤金、生活补助、医疗费补助、奖励金、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1,219.12</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办公费、水费、电费、邮电费、取暖费、物业管理费、差旅费、维修（护）费、培训费、公务接待费、工会经费、福利费、公务用车运行维护费、其他交通费用、其他商品和服务支出。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“三公”经费支出570.04万元，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增加132.35万元，</w:t>
      </w:r>
      <w:r>
        <w:rPr>
          <w:rFonts w:hint="eastAsia" w:ascii="仿宋_GB2312" w:eastAsia="仿宋_GB2312"/>
          <w:color w:val="auto"/>
          <w:spacing w:val="0"/>
          <w:sz w:val="32"/>
          <w:szCs w:val="32"/>
          <w:highlight w:val="none"/>
          <w:lang w:val="en-US" w:eastAsia="zh-CN"/>
        </w:rPr>
        <w:t>增长30.24%,</w:t>
      </w:r>
      <w:r>
        <w:rPr>
          <w:rFonts w:hint="eastAsia" w:ascii="仿宋_GB2312" w:eastAsia="仿宋_GB2312"/>
          <w:color w:val="auto"/>
          <w:sz w:val="32"/>
          <w:szCs w:val="32"/>
          <w:highlight w:val="none"/>
          <w:lang w:val="zh-CN" w:eastAsia="zh-CN"/>
        </w:rPr>
        <w:t>主要原因是：因公出国（境）费和公务用车购置费增加。其中：因公出国（境）费支出53.17万元，占9.33%，比上年增加53.17万元，</w:t>
      </w:r>
      <w:r>
        <w:rPr>
          <w:rFonts w:hint="eastAsia" w:ascii="仿宋_GB2312" w:eastAsia="仿宋_GB2312"/>
          <w:color w:val="auto"/>
          <w:spacing w:val="0"/>
          <w:sz w:val="32"/>
          <w:szCs w:val="32"/>
          <w:highlight w:val="none"/>
          <w:lang w:val="en-US" w:eastAsia="zh-CN"/>
        </w:rPr>
        <w:t>增长100.00%,</w:t>
      </w:r>
      <w:r>
        <w:rPr>
          <w:rFonts w:hint="eastAsia" w:ascii="仿宋_GB2312" w:eastAsia="仿宋_GB2312"/>
          <w:color w:val="auto"/>
          <w:sz w:val="32"/>
          <w:szCs w:val="32"/>
          <w:highlight w:val="none"/>
          <w:lang w:val="zh-CN" w:eastAsia="zh-CN"/>
        </w:rPr>
        <w:t>主要原因是：增加新疆友好合作交流团因公出国（境）费；公务用车购置及运行维护费支出511.01万元，占89.64%，比上年增加74.03万元，</w:t>
      </w:r>
      <w:r>
        <w:rPr>
          <w:rFonts w:hint="eastAsia" w:ascii="仿宋_GB2312" w:eastAsia="仿宋_GB2312"/>
          <w:color w:val="auto"/>
          <w:spacing w:val="0"/>
          <w:sz w:val="32"/>
          <w:szCs w:val="32"/>
          <w:highlight w:val="none"/>
          <w:lang w:val="en-US" w:eastAsia="zh-CN"/>
        </w:rPr>
        <w:t>增长16.94%,</w:t>
      </w:r>
      <w:r>
        <w:rPr>
          <w:rFonts w:hint="eastAsia" w:ascii="仿宋_GB2312" w:eastAsia="仿宋_GB2312"/>
          <w:color w:val="auto"/>
          <w:sz w:val="32"/>
          <w:szCs w:val="32"/>
          <w:highlight w:val="none"/>
          <w:lang w:val="zh-CN" w:eastAsia="zh-CN"/>
        </w:rPr>
        <w:t>主要原因是：公务用车购置费增加；公务接待费支出5.86万元，占1.03%，比上年增加5.14万元，</w:t>
      </w:r>
      <w:r>
        <w:rPr>
          <w:rFonts w:hint="eastAsia" w:ascii="仿宋_GB2312" w:eastAsia="仿宋_GB2312"/>
          <w:color w:val="auto"/>
          <w:spacing w:val="0"/>
          <w:sz w:val="32"/>
          <w:szCs w:val="32"/>
          <w:highlight w:val="none"/>
          <w:lang w:val="en-US" w:eastAsia="zh-CN"/>
        </w:rPr>
        <w:t>增长713.89%,</w:t>
      </w:r>
      <w:r>
        <w:rPr>
          <w:rFonts w:hint="eastAsia" w:ascii="仿宋_GB2312" w:eastAsia="仿宋_GB2312"/>
          <w:color w:val="auto"/>
          <w:sz w:val="32"/>
          <w:szCs w:val="32"/>
          <w:highlight w:val="none"/>
          <w:lang w:val="zh-CN" w:eastAsia="zh-CN"/>
        </w:rPr>
        <w:t>主要原因是：因公按规定全年安排的国内公务接待量增加。</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因公出国（境）费支出53.17万元，开支内容包括机票、公杂费、伙食费、住宿费。单位全年安排的因公出国（境）团组2个，因公出国（境）19人次。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511.01万元，其中：公务用车购置费129.90万元，公务用车运行维护费381.11万元。公务用车运行维护费开支内容包括车辆保险费、燃油费、过路费、停车费、维修费。公务用车购置数5辆，公务用车保有量114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114辆，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原因是：公务用车保有量与国有资产</w:t>
      </w:r>
      <w:r>
        <w:rPr>
          <w:rFonts w:hint="eastAsia" w:ascii="仿宋_GB2312" w:eastAsia="仿宋_GB2312"/>
          <w:color w:val="auto"/>
          <w:sz w:val="32"/>
          <w:szCs w:val="32"/>
          <w:highlight w:val="none"/>
          <w:lang w:val="en-US" w:eastAsia="zh-CN"/>
        </w:rPr>
        <w:t>固定资产车辆</w:t>
      </w:r>
      <w:r>
        <w:rPr>
          <w:rFonts w:hint="eastAsia" w:ascii="仿宋_GB2312" w:eastAsia="仿宋_GB2312"/>
          <w:color w:val="auto"/>
          <w:sz w:val="32"/>
          <w:szCs w:val="32"/>
          <w:highlight w:val="none"/>
          <w:lang w:val="zh-CN" w:eastAsia="zh-CN"/>
        </w:rPr>
        <w:t>数量无差异。</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公务接待费5.86万元，开支内容包括餐费、住宿费。单位全年安排的国内公务接待14批次，238人次。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预算数570.04万元，决算数570.04万元，预决算差异率0.00%，主要原因是：全年预算数和决算数无差异，其中：因公出国（境）费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53.17万元，决算数53.17万元，预决算差异率0.00%，主要原因是：全年预算数和决算数无差异；公务用车购置费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预算数129.90万元，决算数129.90万元，预决算差异率0.00%，主要原因是：全年预算数和决算数无差异；公务用车运行费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预算数381.11万元，决算数381.11万元，预决算差异率0.00%，主要原因是：全年预算数和决算数无差异；公务接待费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预算数5.86万元，决算数5.86万元，预决算差异率0.00%，主要原因是：全年预算数和决算数无差异。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中国人民政治协商会议新疆维吾尔自治区委员会办公厅机关运行经费支出1,157.24万元，</w:t>
      </w:r>
      <w:r>
        <w:rPr>
          <w:rFonts w:hint="eastAsia" w:ascii="仿宋_GB2312" w:hAnsi="仿宋_GB2312" w:eastAsia="仿宋_GB2312" w:cs="仿宋_GB2312"/>
          <w:color w:val="auto"/>
          <w:sz w:val="32"/>
          <w:szCs w:val="32"/>
          <w:highlight w:val="none"/>
          <w:lang w:val="zh-CN" w:eastAsia="zh-CN"/>
        </w:rPr>
        <w:t>比上年增加122.30万元，增长11.82%，主要原因是：人员增加，机关日常运行成本增加</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sz w:val="32"/>
          <w:szCs w:val="32"/>
          <w:highlight w:val="none"/>
          <w:lang w:val="en-US" w:eastAsia="zh-CN"/>
        </w:rPr>
        <w:t>中国人民政治协商会议新疆维吾尔自治区委员会办公厅机关公用经费61.88万元，比上年减少25.42万元，下降29.12%，主要原因：</w:t>
      </w:r>
      <w:r>
        <w:rPr>
          <w:rFonts w:hint="eastAsia" w:ascii="仿宋_GB2312" w:hAnsi="仿宋_GB2312" w:eastAsia="仿宋_GB2312" w:cs="仿宋_GB2312"/>
          <w:color w:val="auto"/>
          <w:kern w:val="2"/>
          <w:sz w:val="32"/>
          <w:szCs w:val="32"/>
          <w:highlight w:val="none"/>
          <w:lang w:val="zh-CN" w:eastAsia="zh-CN" w:bidi="ar-SA"/>
        </w:rPr>
        <w:t>厉行节约压减经费支出。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3,583.67万元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其中：政府采购货物支出778.07万元、政府采购工程支出1,161.89万元、政府采购服务支出1,643.70万元。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授予中小企业合同金额567.91万元，占政府采购支出总额的15.85%，其中：授予小微企业合同金额503.39万元，占政府采购支出总额的14.05%</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22,265.11</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屋58,994.13平方米，价值13,637.24万元。车辆114辆，价值4,169.76万元，其中：副部（省）级及以上领导用车47辆、主要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用车0辆、其他用车67辆，其他用车主要是：一般公务用车；单价100万元（含）以上设备（不含车辆）0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spacing w:line="600" w:lineRule="exact"/>
        <w:ind w:firstLine="640" w:firstLineChars="200"/>
        <w:jc w:val="left"/>
        <w:rPr>
          <w:rFonts w:ascii="仿宋_GB2312" w:hAnsi="宋体" w:eastAsia="仿宋_GB2312"/>
          <w:bCs/>
          <w:color w:val="000000" w:themeColor="text1"/>
          <w:sz w:val="32"/>
          <w:szCs w:val="32"/>
          <w14:textFill>
            <w14:solidFill>
              <w14:schemeClr w14:val="tx1"/>
            </w14:solidFill>
          </w14:textFill>
        </w:rPr>
      </w:pPr>
      <w:r>
        <w:rPr>
          <w:rFonts w:hint="eastAsia" w:ascii="仿宋_GB2312" w:eastAsia="仿宋_GB2312"/>
          <w:color w:val="000000" w:themeColor="text1"/>
          <w:sz w:val="32"/>
          <w:szCs w:val="32"/>
          <w:highlight w:val="none"/>
          <w:lang w:eastAsia="zh-CN"/>
          <w14:textFill>
            <w14:solidFill>
              <w14:schemeClr w14:val="tx1"/>
            </w14:solidFill>
          </w14:textFill>
        </w:rPr>
        <w:t>根据预算绩效管理要求，我</w:t>
      </w:r>
      <w:r>
        <w:rPr>
          <w:rFonts w:hint="eastAsia" w:ascii="仿宋_GB2312" w:eastAsia="仿宋_GB2312"/>
          <w:color w:val="000000" w:themeColor="text1"/>
          <w:sz w:val="32"/>
          <w:szCs w:val="32"/>
          <w:highlight w:val="none"/>
          <w:lang w:val="en-US" w:eastAsia="zh-CN"/>
          <w14:textFill>
            <w14:solidFill>
              <w14:schemeClr w14:val="tx1"/>
            </w14:solidFill>
          </w14:textFill>
        </w:rPr>
        <w:t>部门</w:t>
      </w:r>
      <w:r>
        <w:rPr>
          <w:rFonts w:hint="eastAsia" w:ascii="仿宋_GB2312" w:eastAsia="仿宋_GB2312"/>
          <w:color w:val="000000" w:themeColor="text1"/>
          <w:sz w:val="32"/>
          <w:szCs w:val="32"/>
          <w:highlight w:val="none"/>
          <w:lang w:eastAsia="zh-CN"/>
          <w14:textFill>
            <w14:solidFill>
              <w14:schemeClr w14:val="tx1"/>
            </w14:solidFill>
          </w14:textFill>
        </w:rPr>
        <w:t>2023年度</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预算绩效管理整体</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支出</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绩效自评表</w:t>
      </w:r>
      <w:r>
        <w:rPr>
          <w:rFonts w:hint="eastAsia" w:ascii="仿宋_GB2312" w:eastAsia="仿宋_GB2312"/>
          <w:color w:val="000000" w:themeColor="text1"/>
          <w:sz w:val="32"/>
          <w:szCs w:val="32"/>
          <w:highlight w:val="none"/>
          <w:lang w:val="en-US" w:eastAsia="zh-CN"/>
          <w14:textFill>
            <w14:solidFill>
              <w14:schemeClr w14:val="tx1"/>
            </w14:solidFill>
          </w14:textFill>
        </w:rPr>
        <w:t>1</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个，全年</w:t>
      </w:r>
      <w:r>
        <w:rPr>
          <w:rFonts w:hint="eastAsia" w:ascii="仿宋_GB2312" w:eastAsia="仿宋_GB2312"/>
          <w:color w:val="000000" w:themeColor="text1"/>
          <w:sz w:val="32"/>
          <w:szCs w:val="32"/>
          <w:highlight w:val="none"/>
          <w:lang w:val="en-US" w:eastAsia="zh-CN"/>
          <w14:textFill>
            <w14:solidFill>
              <w14:schemeClr w14:val="tx1"/>
            </w14:solidFill>
          </w14:textFill>
        </w:rPr>
        <w:t>预算总额13649.17</w:t>
      </w:r>
      <w:r>
        <w:rPr>
          <w:rFonts w:hint="eastAsia" w:ascii="仿宋_GB2312" w:eastAsia="仿宋_GB2312"/>
          <w:color w:val="000000" w:themeColor="text1"/>
          <w:sz w:val="32"/>
          <w:szCs w:val="32"/>
          <w:highlight w:val="none"/>
          <w14:textFill>
            <w14:solidFill>
              <w14:schemeClr w14:val="tx1"/>
            </w14:solidFill>
          </w14:textFill>
        </w:rPr>
        <w:t>万元</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lang w:val="en-US" w:eastAsia="zh-CN"/>
          <w14:textFill>
            <w14:solidFill>
              <w14:schemeClr w14:val="tx1"/>
            </w14:solidFill>
          </w14:textFill>
        </w:rPr>
        <w:t>实际执行总额13475.22</w:t>
      </w:r>
      <w:r>
        <w:rPr>
          <w:rFonts w:hint="eastAsia" w:ascii="仿宋_GB2312" w:eastAsia="仿宋_GB2312"/>
          <w:color w:val="000000" w:themeColor="text1"/>
          <w:sz w:val="32"/>
          <w:szCs w:val="32"/>
          <w:highlight w:val="none"/>
          <w14:textFill>
            <w14:solidFill>
              <w14:schemeClr w14:val="tx1"/>
            </w14:solidFill>
          </w14:textFill>
        </w:rPr>
        <w:t>万元</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w:t>
      </w:r>
      <w:r>
        <w:rPr>
          <w:rFonts w:hint="eastAsia" w:ascii="仿宋_GB2312" w:eastAsia="仿宋_GB2312"/>
          <w:color w:val="000000" w:themeColor="text1"/>
          <w:sz w:val="32"/>
          <w:szCs w:val="32"/>
          <w:highlight w:val="none"/>
          <w:lang w:eastAsia="zh-CN"/>
          <w14:textFill>
            <w14:solidFill>
              <w14:schemeClr w14:val="tx1"/>
            </w14:solidFill>
          </w14:textFill>
        </w:rPr>
        <w:t>预算绩效评价项目</w:t>
      </w:r>
      <w:r>
        <w:rPr>
          <w:rFonts w:hint="eastAsia" w:ascii="仿宋_GB2312" w:eastAsia="仿宋_GB2312"/>
          <w:color w:val="000000" w:themeColor="text1"/>
          <w:sz w:val="32"/>
          <w:szCs w:val="32"/>
          <w:highlight w:val="none"/>
          <w:lang w:val="en-US" w:eastAsia="zh-CN"/>
          <w14:textFill>
            <w14:solidFill>
              <w14:schemeClr w14:val="tx1"/>
            </w14:solidFill>
          </w14:textFill>
        </w:rPr>
        <w:t>19</w:t>
      </w:r>
      <w:r>
        <w:rPr>
          <w:rFonts w:hint="eastAsia" w:ascii="仿宋_GB2312" w:eastAsia="仿宋_GB2312"/>
          <w:color w:val="000000" w:themeColor="text1"/>
          <w:sz w:val="32"/>
          <w:szCs w:val="32"/>
          <w:highlight w:val="none"/>
          <w:lang w:eastAsia="zh-CN"/>
          <w14:textFill>
            <w14:solidFill>
              <w14:schemeClr w14:val="tx1"/>
            </w14:solidFill>
          </w14:textFill>
        </w:rPr>
        <w:t>个（本年度安排</w:t>
      </w:r>
      <w:r>
        <w:rPr>
          <w:rFonts w:hint="eastAsia" w:ascii="仿宋_GB2312" w:eastAsia="仿宋_GB2312"/>
          <w:color w:val="000000" w:themeColor="text1"/>
          <w:sz w:val="32"/>
          <w:szCs w:val="32"/>
          <w:highlight w:val="none"/>
          <w:lang w:val="en-US" w:eastAsia="zh-CN"/>
          <w14:textFill>
            <w14:solidFill>
              <w14:schemeClr w14:val="tx1"/>
            </w14:solidFill>
          </w14:textFill>
        </w:rPr>
        <w:t>SM项目2个，涉及预算金额53.6万元，执行金额53.17万元</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lang w:val="en-US" w:eastAsia="zh-CN"/>
          <w14:textFill>
            <w14:solidFill>
              <w14:schemeClr w14:val="tx1"/>
            </w14:solidFill>
          </w14:textFill>
        </w:rPr>
        <w:t>全年预算数4899.34</w:t>
      </w:r>
      <w:r>
        <w:rPr>
          <w:rFonts w:hint="eastAsia" w:ascii="仿宋_GB2312" w:eastAsia="仿宋_GB2312"/>
          <w:color w:val="000000" w:themeColor="text1"/>
          <w:sz w:val="32"/>
          <w:szCs w:val="32"/>
          <w:highlight w:val="none"/>
          <w14:textFill>
            <w14:solidFill>
              <w14:schemeClr w14:val="tx1"/>
            </w14:solidFill>
          </w14:textFill>
        </w:rPr>
        <w:t>万元</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lang w:val="en-US" w:eastAsia="zh-CN"/>
          <w14:textFill>
            <w14:solidFill>
              <w14:schemeClr w14:val="tx1"/>
            </w14:solidFill>
          </w14:textFill>
        </w:rPr>
        <w:t>全年执行数4825.29</w:t>
      </w:r>
      <w:r>
        <w:rPr>
          <w:rFonts w:hint="eastAsia" w:ascii="仿宋_GB2312" w:eastAsia="仿宋_GB2312"/>
          <w:color w:val="000000" w:themeColor="text1"/>
          <w:sz w:val="32"/>
          <w:szCs w:val="32"/>
          <w:highlight w:val="none"/>
          <w14:textFill>
            <w14:solidFill>
              <w14:schemeClr w14:val="tx1"/>
            </w14:solidFill>
          </w14:textFill>
        </w:rPr>
        <w:t>万元</w:t>
      </w:r>
      <w:r>
        <w:rPr>
          <w:rFonts w:hint="eastAsia" w:ascii="仿宋_GB2312" w:eastAsia="仿宋_GB2312"/>
          <w:color w:val="000000" w:themeColor="text1"/>
          <w:sz w:val="32"/>
          <w:szCs w:val="32"/>
          <w:highlight w:val="none"/>
          <w:lang w:eastAsia="zh-CN"/>
          <w14:textFill>
            <w14:solidFill>
              <w14:schemeClr w14:val="tx1"/>
            </w14:solidFill>
          </w14:textFill>
        </w:rPr>
        <w:t>。预算绩效管理取得的成效：一是</w:t>
      </w:r>
      <w:r>
        <w:rPr>
          <w:rFonts w:hint="eastAsia" w:ascii="仿宋_GB2312" w:hAnsi="宋体" w:eastAsia="仿宋_GB2312"/>
          <w:bCs/>
          <w:color w:val="000000" w:themeColor="text1"/>
          <w:sz w:val="32"/>
          <w:szCs w:val="32"/>
          <w14:textFill>
            <w14:solidFill>
              <w14:schemeClr w14:val="tx1"/>
            </w14:solidFill>
          </w14:textFill>
        </w:rPr>
        <w:t>坚持问题导向和目标导双向驱动，深入查改上年自治区绩效考评中“部门预算绩效管理”指标失分的原因及问题，认真研学落实《自治区项目支出绩效目标设置指引》（新财预〔2022〕42号）、《关于加强和规范自治区本级项目支出“全过程”预算绩效管理结果应用的通知》（新财预〔2022〕57号）等制度规范</w:t>
      </w:r>
      <w:r>
        <w:rPr>
          <w:rFonts w:hint="eastAsia" w:ascii="仿宋_GB2312" w:eastAsia="仿宋_GB2312"/>
          <w:color w:val="000000" w:themeColor="text1"/>
          <w:sz w:val="32"/>
          <w:szCs w:val="32"/>
          <w:highlight w:val="none"/>
          <w:lang w:eastAsia="zh-CN"/>
          <w14:textFill>
            <w14:solidFill>
              <w14:schemeClr w14:val="tx1"/>
            </w14:solidFill>
          </w14:textFill>
        </w:rPr>
        <w:t>；二是</w:t>
      </w:r>
      <w:r>
        <w:rPr>
          <w:rFonts w:hint="eastAsia" w:ascii="仿宋_GB2312" w:hAnsi="宋体" w:eastAsia="仿宋_GB2312"/>
          <w:bCs/>
          <w:color w:val="000000" w:themeColor="text1"/>
          <w:sz w:val="32"/>
          <w:szCs w:val="32"/>
          <w14:textFill>
            <w14:solidFill>
              <w14:schemeClr w14:val="tx1"/>
            </w14:solidFill>
          </w14:textFill>
        </w:rPr>
        <w:t>严格执行《自治区政协办公厅部门预算绩效目标管理办法》，紧紧围绕“压实绩效管理责任、开展事前绩效评估、科学编制绩效目标、严格开展绩效监控、完整进行绩效评价和依规运用绩效结果”六个关键环节推进部门预算绩效管理工作落地生根、开花结果。</w:t>
      </w:r>
      <w:r>
        <w:rPr>
          <w:rFonts w:hint="eastAsia" w:ascii="仿宋_GB2312" w:eastAsia="仿宋_GB2312"/>
          <w:color w:val="000000" w:themeColor="text1"/>
          <w:sz w:val="32"/>
          <w:szCs w:val="32"/>
          <w:highlight w:val="none"/>
          <w:lang w:eastAsia="zh-CN"/>
          <w14:textFill>
            <w14:solidFill>
              <w14:schemeClr w14:val="tx1"/>
            </w14:solidFill>
          </w14:textFill>
        </w:rPr>
        <w:t>发现的问题及原因：一是</w:t>
      </w:r>
      <w:r>
        <w:rPr>
          <w:rFonts w:hint="eastAsia" w:ascii="仿宋_GB2312" w:hAnsi="宋体" w:eastAsia="仿宋_GB2312"/>
          <w:bCs/>
          <w:color w:val="000000" w:themeColor="text1"/>
          <w:sz w:val="32"/>
          <w:szCs w:val="32"/>
          <w14:textFill>
            <w14:solidFill>
              <w14:schemeClr w14:val="tx1"/>
            </w14:solidFill>
          </w14:textFill>
        </w:rPr>
        <w:t>项目细化管理工作不足。</w:t>
      </w:r>
      <w:r>
        <w:rPr>
          <w:rFonts w:hint="eastAsia" w:ascii="仿宋_GB2312" w:hAnsi="宋体" w:eastAsia="仿宋_GB2312"/>
          <w:bCs/>
          <w:color w:val="000000" w:themeColor="text1"/>
          <w:sz w:val="32"/>
          <w:szCs w:val="32"/>
          <w:lang w:eastAsia="zh-CN"/>
          <w14:textFill>
            <w14:solidFill>
              <w14:schemeClr w14:val="tx1"/>
            </w14:solidFill>
          </w14:textFill>
        </w:rPr>
        <w:t>部分项目</w:t>
      </w:r>
      <w:r>
        <w:rPr>
          <w:rFonts w:hint="eastAsia" w:ascii="仿宋_GB2312" w:hAnsi="宋体" w:eastAsia="仿宋_GB2312"/>
          <w:bCs/>
          <w:color w:val="000000" w:themeColor="text1"/>
          <w:sz w:val="32"/>
          <w:szCs w:val="32"/>
          <w14:textFill>
            <w14:solidFill>
              <w14:schemeClr w14:val="tx1"/>
            </w14:solidFill>
          </w14:textFill>
        </w:rPr>
        <w:t>包含小类项目较多，</w:t>
      </w:r>
      <w:r>
        <w:rPr>
          <w:rFonts w:hint="eastAsia" w:ascii="仿宋_GB2312" w:hAnsi="宋体" w:eastAsia="仿宋_GB2312"/>
          <w:bCs/>
          <w:color w:val="000000" w:themeColor="text1"/>
          <w:sz w:val="32"/>
          <w:szCs w:val="32"/>
          <w:lang w:eastAsia="zh-CN"/>
          <w14:textFill>
            <w14:solidFill>
              <w14:schemeClr w14:val="tx1"/>
            </w14:solidFill>
          </w14:textFill>
        </w:rPr>
        <w:t>包括</w:t>
      </w:r>
      <w:r>
        <w:rPr>
          <w:rFonts w:hint="eastAsia" w:ascii="仿宋_GB2312" w:hAnsi="宋体" w:eastAsia="仿宋_GB2312"/>
          <w:bCs/>
          <w:color w:val="000000" w:themeColor="text1"/>
          <w:sz w:val="32"/>
          <w:szCs w:val="32"/>
          <w14:textFill>
            <w14:solidFill>
              <w14:schemeClr w14:val="tx1"/>
            </w14:solidFill>
          </w14:textFill>
        </w:rPr>
        <w:t>办公费、劳务费、办公设备购置费等，在执行过程中，个别经费使用范围把握不到位，造成项目执行不确定因素多，无法发挥资金最大使用效益</w:t>
      </w:r>
      <w:r>
        <w:rPr>
          <w:rFonts w:hint="eastAsia" w:ascii="仿宋_GB2312" w:eastAsia="仿宋_GB2312"/>
          <w:color w:val="000000" w:themeColor="text1"/>
          <w:sz w:val="32"/>
          <w:szCs w:val="32"/>
          <w:highlight w:val="none"/>
          <w:lang w:eastAsia="zh-CN"/>
          <w14:textFill>
            <w14:solidFill>
              <w14:schemeClr w14:val="tx1"/>
            </w14:solidFill>
          </w14:textFill>
        </w:rPr>
        <w:t>；二是</w:t>
      </w:r>
      <w:r>
        <w:rPr>
          <w:rFonts w:hint="eastAsia" w:ascii="仿宋_GB2312" w:hAnsi="宋体" w:eastAsia="仿宋_GB2312"/>
          <w:bCs/>
          <w:color w:val="000000" w:themeColor="text1"/>
          <w:sz w:val="32"/>
          <w:szCs w:val="32"/>
          <w14:textFill>
            <w14:solidFill>
              <w14:schemeClr w14:val="tx1"/>
            </w14:solidFill>
          </w14:textFill>
        </w:rPr>
        <w:t>预算绩效管理水平仍有欠缺。在绩效管理工作中，存在“重投入轻管理、重支出轻绩效”的情况，对全面实施预算绩效管理的要求认识还不到位，项目申报、实施等环节与预算绩效管理各个环节联系不够紧密，特别是项目预算存在执行进度偏缓情形</w:t>
      </w:r>
      <w:r>
        <w:rPr>
          <w:rFonts w:hint="eastAsia" w:ascii="仿宋_GB2312" w:hAnsi="宋体" w:eastAsia="仿宋_GB2312"/>
          <w:bCs/>
          <w:color w:val="000000" w:themeColor="text1"/>
          <w:sz w:val="32"/>
          <w:szCs w:val="32"/>
          <w:lang w:eastAsia="zh-CN"/>
          <w14:textFill>
            <w14:solidFill>
              <w14:schemeClr w14:val="tx1"/>
            </w14:solidFill>
          </w14:textFill>
        </w:rPr>
        <w:t>，</w:t>
      </w:r>
      <w:r>
        <w:rPr>
          <w:rFonts w:hint="eastAsia" w:ascii="仿宋_GB2312" w:hAnsi="宋体" w:eastAsia="仿宋_GB2312"/>
          <w:bCs/>
          <w:color w:val="000000" w:themeColor="text1"/>
          <w:sz w:val="32"/>
          <w:szCs w:val="32"/>
          <w14:textFill>
            <w14:solidFill>
              <w14:schemeClr w14:val="tx1"/>
            </w14:solidFill>
          </w14:textFill>
        </w:rPr>
        <w:t>主要是绩效评价结果运用和绩效追责的方法手段还不健全。</w:t>
      </w:r>
      <w:r>
        <w:rPr>
          <w:rFonts w:hint="eastAsia" w:ascii="仿宋_GB2312" w:eastAsia="仿宋_GB2312"/>
          <w:color w:val="000000" w:themeColor="text1"/>
          <w:sz w:val="32"/>
          <w:szCs w:val="32"/>
          <w:highlight w:val="none"/>
          <w:lang w:eastAsia="zh-CN"/>
          <w14:textFill>
            <w14:solidFill>
              <w14:schemeClr w14:val="tx1"/>
            </w14:solidFill>
          </w14:textFill>
        </w:rPr>
        <w:t>下一步改进措施：一是</w:t>
      </w:r>
      <w:r>
        <w:rPr>
          <w:rFonts w:hint="eastAsia" w:ascii="仿宋_GB2312" w:hAnsi="宋体" w:eastAsia="仿宋_GB2312"/>
          <w:bCs/>
          <w:color w:val="000000" w:themeColor="text1"/>
          <w:sz w:val="32"/>
          <w:szCs w:val="32"/>
          <w14:textFill>
            <w14:solidFill>
              <w14:schemeClr w14:val="tx1"/>
            </w14:solidFill>
          </w14:textFill>
        </w:rPr>
        <w:t>提高部门预算和预算绩效指标编制水平。突出“全方位、全覆盖”要求，将优化预算结构作为设定所有项目绩效目标的前置条件，挤干各处室担心资金不足而人为加大预算资金的水分，确保部门预算的真实准确、绩效目标切实可行</w:t>
      </w:r>
      <w:r>
        <w:rPr>
          <w:rFonts w:hint="eastAsia" w:ascii="仿宋_GB2312" w:eastAsia="仿宋_GB2312"/>
          <w:color w:val="000000" w:themeColor="text1"/>
          <w:sz w:val="32"/>
          <w:szCs w:val="32"/>
          <w:highlight w:val="none"/>
          <w:lang w:eastAsia="zh-CN"/>
          <w14:textFill>
            <w14:solidFill>
              <w14:schemeClr w14:val="tx1"/>
            </w14:solidFill>
          </w14:textFill>
        </w:rPr>
        <w:t>；二是</w:t>
      </w:r>
      <w:r>
        <w:rPr>
          <w:rFonts w:hint="eastAsia" w:ascii="仿宋_GB2312" w:hAnsi="宋体" w:eastAsia="仿宋_GB2312"/>
          <w:bCs/>
          <w:color w:val="000000" w:themeColor="text1"/>
          <w:sz w:val="32"/>
          <w:szCs w:val="32"/>
          <w14:textFill>
            <w14:solidFill>
              <w14:schemeClr w14:val="tx1"/>
            </w14:solidFill>
          </w14:textFill>
        </w:rPr>
        <w:t>强化绩效监控动态纠偏。制订年度绩效管理目标实施方案，明确职责分工、时序进度和目标要求，重点改进绩效监控和绩效自评工作，适时开展监控预警和动态纠偏整改，用“容错纠错”的空间，换取促进机关整体绩效提升的余地</w:t>
      </w:r>
      <w:r>
        <w:rPr>
          <w:rFonts w:hint="eastAsia" w:ascii="仿宋_GB2312" w:hAnsi="宋体" w:eastAsia="仿宋_GB2312"/>
          <w:bCs/>
          <w:color w:val="000000" w:themeColor="text1"/>
          <w:sz w:val="32"/>
          <w:szCs w:val="32"/>
          <w:lang w:eastAsia="zh-CN"/>
          <w14:textFill>
            <w14:solidFill>
              <w14:schemeClr w14:val="tx1"/>
            </w14:solidFill>
          </w14:textFill>
        </w:rPr>
        <w:t>；三是</w:t>
      </w:r>
      <w:r>
        <w:rPr>
          <w:rFonts w:hint="eastAsia" w:ascii="仿宋_GB2312" w:hAnsi="宋体" w:eastAsia="仿宋_GB2312"/>
          <w:bCs/>
          <w:color w:val="000000" w:themeColor="text1"/>
          <w:sz w:val="32"/>
          <w:szCs w:val="32"/>
          <w14:textFill>
            <w14:solidFill>
              <w14:schemeClr w14:val="tx1"/>
            </w14:solidFill>
          </w14:textFill>
        </w:rPr>
        <w:t>强化绩效考核结果应用。学习借鉴绩效先进单位做法，建立纪检、人事、绩效管理等工作联动机制，将提报预算执行情况和绩效考核结果，与部门和个人年度考核、晋职晋级相挂钩，强化绩效管理张力，增进执行预算和追求预算绩效的约束与自觉。</w:t>
      </w:r>
      <w:r>
        <w:rPr>
          <w:rFonts w:hint="eastAsia" w:ascii="仿宋_GB2312" w:eastAsia="仿宋_GB2312"/>
          <w:color w:val="000000" w:themeColor="text1"/>
          <w:sz w:val="32"/>
          <w:szCs w:val="32"/>
          <w:highlight w:val="none"/>
          <w:lang w:eastAsia="zh-CN"/>
          <w14:textFill>
            <w14:solidFill>
              <w14:schemeClr w14:val="tx1"/>
            </w14:solidFill>
          </w14:textFill>
        </w:rPr>
        <w:t>具体</w:t>
      </w:r>
      <w:r>
        <w:rPr>
          <w:rFonts w:hint="eastAsia" w:ascii="仿宋_GB2312" w:eastAsia="仿宋_GB2312"/>
          <w:color w:val="000000" w:themeColor="text1"/>
          <w:sz w:val="32"/>
          <w:szCs w:val="32"/>
          <w:highlight w:val="none"/>
          <w14:textFill>
            <w14:solidFill>
              <w14:schemeClr w14:val="tx1"/>
            </w14:solidFill>
          </w14:textFill>
        </w:rPr>
        <w:t>项目自评情况附绩效自评表</w:t>
      </w:r>
      <w:r>
        <w:rPr>
          <w:rFonts w:hint="eastAsia" w:ascii="仿宋_GB2312" w:eastAsia="仿宋_GB2312"/>
          <w:color w:val="000000" w:themeColor="text1"/>
          <w:sz w:val="32"/>
          <w:szCs w:val="32"/>
          <w:highlight w:val="none"/>
          <w:lang w:val="en-US" w:eastAsia="zh-CN"/>
          <w14:textFill>
            <w14:solidFill>
              <w14:schemeClr w14:val="tx1"/>
            </w14:solidFill>
          </w14:textFill>
        </w:rPr>
        <w:t>及自评报告</w:t>
      </w:r>
      <w:r>
        <w:rPr>
          <w:rFonts w:hint="eastAsia" w:ascii="仿宋_GB2312" w:eastAsia="仿宋_GB2312"/>
          <w:color w:val="000000" w:themeColor="text1"/>
          <w:sz w:val="32"/>
          <w:szCs w:val="32"/>
          <w:highlight w:val="none"/>
          <w14:textFill>
            <w14:solidFill>
              <w14:schemeClr w14:val="tx1"/>
            </w14:solidFill>
          </w14:textFill>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仿宋_GB2312" w:eastAsia="仿宋_GB2312"/>
          <w:color w:val="auto"/>
          <w:sz w:val="32"/>
          <w:szCs w:val="32"/>
          <w:highlight w:val="none"/>
          <w:lang w:eastAsia="zh-CN"/>
        </w:rPr>
        <w:t>本年度安排</w:t>
      </w:r>
      <w:r>
        <w:rPr>
          <w:rFonts w:hint="eastAsia" w:ascii="仿宋_GB2312" w:eastAsia="仿宋_GB2312"/>
          <w:color w:val="auto"/>
          <w:sz w:val="32"/>
          <w:szCs w:val="32"/>
          <w:highlight w:val="none"/>
          <w:lang w:val="en-US" w:eastAsia="zh-CN"/>
        </w:rPr>
        <w:t>SM项目2个，涉及预算金额53.6万元，执行金额53.17万元。</w:t>
      </w:r>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2"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modern"/>
    <w:pitch w:val="default"/>
    <w:sig w:usb0="00000000" w:usb1="00000000" w:usb2="00000009" w:usb3="00000000" w:csb0="400001FF" w:csb1="FFFF0000"/>
  </w:font>
  <w:font w:name="宋体">
    <w:altName w:val="方正书宋_GBK"/>
    <w:panose1 w:val="02010600030101010101"/>
    <w:charset w:val="50"/>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swiss"/>
    <w:pitch w:val="default"/>
    <w:sig w:usb0="00000001" w:usb1="080E0000" w:usb2="00000000" w:usb3="00000000" w:csb0="00040000" w:csb1="00000000"/>
  </w:font>
  <w:font w:name="FangSong">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false" upright="fals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FgAAAGRycy9QSwECFAAUAAAACACHTuJAzql5uc8AAAAFAQAADwAAAAAAAAABACAA&#10;AAA4AAAAZHJzL2Rvd25yZXYueG1sUEsBAhQAFAAAAAgAh07iQBCr8CPHAQAAewMAAA4AAAAAAAAA&#10;AQAgAAAANA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6"/>
  <w:bordersDoNotSurroundHeader w:val="false"/>
  <w:bordersDoNotSurroundFooter w:val="false"/>
  <w:documentProtection w:enforcement="0"/>
  <w:defaultTabStop w:val="420"/>
  <w:hyphenationZone w:val="36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4F6B70"/>
    <w:rsid w:val="2BB94DBF"/>
    <w:rsid w:val="2C6F314E"/>
    <w:rsid w:val="2CC206BE"/>
    <w:rsid w:val="2D1136DF"/>
    <w:rsid w:val="2D20606D"/>
    <w:rsid w:val="2DB87198"/>
    <w:rsid w:val="2DB93C54"/>
    <w:rsid w:val="2E3D144C"/>
    <w:rsid w:val="2E891204"/>
    <w:rsid w:val="2F259D29"/>
    <w:rsid w:val="2F3F0A28"/>
    <w:rsid w:val="2FBF7029"/>
    <w:rsid w:val="2FD0187F"/>
    <w:rsid w:val="2FD27414"/>
    <w:rsid w:val="2FFE4BB0"/>
    <w:rsid w:val="300E7B60"/>
    <w:rsid w:val="300F6E18"/>
    <w:rsid w:val="30862F5F"/>
    <w:rsid w:val="314029C9"/>
    <w:rsid w:val="31C63837"/>
    <w:rsid w:val="31C82E39"/>
    <w:rsid w:val="31FE44C8"/>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79040"/>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7B1A20"/>
    <w:rsid w:val="53D03877"/>
    <w:rsid w:val="53F76C3F"/>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396403"/>
    <w:rsid w:val="595C505B"/>
    <w:rsid w:val="595E55C3"/>
    <w:rsid w:val="596E7E20"/>
    <w:rsid w:val="5A60780B"/>
    <w:rsid w:val="5AB34579"/>
    <w:rsid w:val="5AFC6609"/>
    <w:rsid w:val="5B113480"/>
    <w:rsid w:val="5BD456CE"/>
    <w:rsid w:val="5BEFFD72"/>
    <w:rsid w:val="5C0D1F49"/>
    <w:rsid w:val="5CBB0CE2"/>
    <w:rsid w:val="5CC17177"/>
    <w:rsid w:val="5CF306BC"/>
    <w:rsid w:val="5D3F3D64"/>
    <w:rsid w:val="5D76F798"/>
    <w:rsid w:val="5D833043"/>
    <w:rsid w:val="5DD92690"/>
    <w:rsid w:val="5DDB1CFD"/>
    <w:rsid w:val="5E7E6D93"/>
    <w:rsid w:val="5ED44800"/>
    <w:rsid w:val="5EFBF218"/>
    <w:rsid w:val="5F350BDE"/>
    <w:rsid w:val="5F61632C"/>
    <w:rsid w:val="5F6B925C"/>
    <w:rsid w:val="5FA17648"/>
    <w:rsid w:val="5FE705CB"/>
    <w:rsid w:val="603D5080"/>
    <w:rsid w:val="60D0261B"/>
    <w:rsid w:val="618E3791"/>
    <w:rsid w:val="61947DCA"/>
    <w:rsid w:val="61A46A97"/>
    <w:rsid w:val="61D1382F"/>
    <w:rsid w:val="61F114A2"/>
    <w:rsid w:val="622B0ABA"/>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DB72EB"/>
    <w:rsid w:val="6BFD799F"/>
    <w:rsid w:val="6C4A2E5A"/>
    <w:rsid w:val="6C8138D0"/>
    <w:rsid w:val="6CEF0725"/>
    <w:rsid w:val="6CF8715C"/>
    <w:rsid w:val="6D4B2604"/>
    <w:rsid w:val="6D8030E4"/>
    <w:rsid w:val="6E0E35C4"/>
    <w:rsid w:val="6E0F7A08"/>
    <w:rsid w:val="6E3947F5"/>
    <w:rsid w:val="6E9C74ED"/>
    <w:rsid w:val="6EF72976"/>
    <w:rsid w:val="6F795A80"/>
    <w:rsid w:val="6F7C1D2E"/>
    <w:rsid w:val="6F8E0407"/>
    <w:rsid w:val="6F9D9A76"/>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21A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3F2F5B"/>
    <w:rsid w:val="795A0A34"/>
    <w:rsid w:val="797339C3"/>
    <w:rsid w:val="79D57D57"/>
    <w:rsid w:val="79F00650"/>
    <w:rsid w:val="7A6242BF"/>
    <w:rsid w:val="7A794513"/>
    <w:rsid w:val="7AE952D2"/>
    <w:rsid w:val="7AFF9B0C"/>
    <w:rsid w:val="7C7248A0"/>
    <w:rsid w:val="7C976D69"/>
    <w:rsid w:val="7CD752DA"/>
    <w:rsid w:val="7CDE40AB"/>
    <w:rsid w:val="7CF057E2"/>
    <w:rsid w:val="7D1548B5"/>
    <w:rsid w:val="7DF84014"/>
    <w:rsid w:val="7E207949"/>
    <w:rsid w:val="7E5C0A47"/>
    <w:rsid w:val="7E670C75"/>
    <w:rsid w:val="7EE24272"/>
    <w:rsid w:val="7EEA6053"/>
    <w:rsid w:val="7EFFC61D"/>
    <w:rsid w:val="7F487C04"/>
    <w:rsid w:val="7F7FDA14"/>
    <w:rsid w:val="7F9EA369"/>
    <w:rsid w:val="7FB45F21"/>
    <w:rsid w:val="7FE57088"/>
    <w:rsid w:val="7FEF1929"/>
    <w:rsid w:val="7FF37FA3"/>
    <w:rsid w:val="7FFF3634"/>
    <w:rsid w:val="AFFDA8D5"/>
    <w:rsid w:val="AFFDC68D"/>
    <w:rsid w:val="B3FDFB70"/>
    <w:rsid w:val="B7DD310C"/>
    <w:rsid w:val="D39F430D"/>
    <w:rsid w:val="DBFF6472"/>
    <w:rsid w:val="DECA72C5"/>
    <w:rsid w:val="E6FF862B"/>
    <w:rsid w:val="EDD5BB22"/>
    <w:rsid w:val="EEFC76CB"/>
    <w:rsid w:val="F4DA6FE2"/>
    <w:rsid w:val="F66E297B"/>
    <w:rsid w:val="FBBF8336"/>
    <w:rsid w:val="FBDADC7D"/>
    <w:rsid w:val="FCE3CA3D"/>
    <w:rsid w:val="FE9DD5A1"/>
    <w:rsid w:val="FF0CA9C6"/>
    <w:rsid w:val="FF67C999"/>
    <w:rsid w:val="FFA52223"/>
    <w:rsid w:val="FFFAD97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6480</Words>
  <Characters>20825</Characters>
  <Lines>0</Lines>
  <Paragraphs>0</Paragraphs>
  <TotalTime>1</TotalTime>
  <ScaleCrop>false</ScaleCrop>
  <LinksUpToDate>false</LinksUpToDate>
  <CharactersWithSpaces>20937</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2014-11-03T12:08:00Z</dcterms:created>
  <dc:creator>GXR</dc:creator>
  <cp:lastModifiedBy>user</cp:lastModifiedBy>
  <cp:lastPrinted>2024-08-29T18:46:00Z</cp:lastPrinted>
  <dcterms:modified xsi:type="dcterms:W3CDTF">2024-10-17T21:21:28Z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D624B15633CD43C8BF9435464A96BF70</vt:lpwstr>
  </property>
</Properties>
</file>