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AE54F">
      <w:pPr>
        <w:rPr>
          <w:rFonts w:hint="default" w:ascii="Times New Roman" w:hAnsi="Times New Roman" w:eastAsia="黑体" w:cs="Times New Roman"/>
          <w:sz w:val="32"/>
          <w:szCs w:val="32"/>
        </w:rPr>
      </w:pPr>
    </w:p>
    <w:p w14:paraId="4B0FC37D">
      <w:pPr>
        <w:jc w:val="center"/>
        <w:rPr>
          <w:rFonts w:hint="default" w:ascii="Times New Roman" w:hAnsi="Times New Roman" w:eastAsia="方正小标宋_GBK" w:cs="Times New Roman"/>
          <w:sz w:val="44"/>
          <w:szCs w:val="44"/>
        </w:rPr>
      </w:pPr>
    </w:p>
    <w:p w14:paraId="7F055E0B">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新疆维吾尔自治区专业建设工程</w:t>
      </w:r>
    </w:p>
    <w:p w14:paraId="058648A7">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质量安全监督站2023年度决算</w:t>
      </w:r>
    </w:p>
    <w:p w14:paraId="675B4E57">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公开说明</w:t>
      </w:r>
    </w:p>
    <w:p w14:paraId="48DBBA7A">
      <w:pP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br w:type="page"/>
      </w:r>
    </w:p>
    <w:p w14:paraId="0724A2E4">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6"/>
          <w:szCs w:val="36"/>
        </w:rPr>
        <w:t>目  录</w:t>
      </w:r>
    </w:p>
    <w:p w14:paraId="6D06E63C">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"_Toc32314"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09E46CB2">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"_Toc30567"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70DC0ED1">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3A357D00">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"_Toc29374"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27B874F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"_Toc25314"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301E95C6">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"_Toc12142"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25989848">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"_Toc13201"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5B8F1C6C">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"_Toc26564"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57E4D5E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"_Toc20360"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4E15757A">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"_Toc30870"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2201F4D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"_Toc21518"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4C988DD4">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0FAABF02">
      <w:pP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"_Toc5810"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4CE69B4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"_Toc1235"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56A89166">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"_Toc14519"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7EF4D92F">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6B093566">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"_Toc8391"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2778311E">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"_Toc11283"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4FC8C108">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5A4B0D37">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"_Toc3250"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39B92BF6">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"_Toc22784" </w:instrText>
      </w:r>
      <w:r>
        <w:rPr>
          <w:rFonts w:hint="default" w:ascii="Times New Roman" w:hAnsi="Times New Roman" w:cs="Times New Roman"/>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501D87B4">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"_Toc2183"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7AFA7C15">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"_Toc24532"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05F9DF6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"_Toc32434"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4D0E0951">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"_Toc28786"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6670A82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"_Toc14869"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47703C49">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"_Toc8884"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1B2BBCA0">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"_Toc29106"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05B6D880">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"_Toc7643" </w:instrText>
      </w:r>
      <w:r>
        <w:rPr>
          <w:rFonts w:hint="default" w:ascii="Times New Roman" w:hAnsi="Times New Roman" w:cs="Times New Roman"/>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1018D507">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13B653D3">
      <w:pPr>
        <w:rPr>
          <w:rFonts w:hint="default" w:ascii="Times New Roman" w:hAnsi="Times New Roman" w:cs="Times New Roman"/>
        </w:rPr>
      </w:pPr>
      <w:r>
        <w:rPr>
          <w:rFonts w:hint="default" w:ascii="Times New Roman" w:hAnsi="Times New Roman" w:eastAsia="仿宋_GB2312" w:cs="Times New Roman"/>
          <w:sz w:val="32"/>
          <w:szCs w:val="32"/>
        </w:rPr>
        <w:fldChar w:fldCharType="end"/>
      </w:r>
    </w:p>
    <w:p w14:paraId="7261C572">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3286001A">
      <w:pPr>
        <w:jc w:val="center"/>
        <w:outlineLvl w:val="0"/>
        <w:rPr>
          <w:rFonts w:hint="default" w:ascii="Times New Roman" w:hAnsi="Times New Roman" w:eastAsia="黑体" w:cs="Times New Roman"/>
          <w:sz w:val="32"/>
          <w:szCs w:val="32"/>
        </w:rPr>
      </w:pPr>
      <w:bookmarkStart w:id="0" w:name="_Toc24028"/>
      <w:bookmarkStart w:id="1" w:name="_Toc32314"/>
      <w:r>
        <w:rPr>
          <w:rFonts w:hint="default" w:ascii="Times New Roman" w:hAnsi="Times New Roman" w:eastAsia="黑体" w:cs="Times New Roman"/>
          <w:sz w:val="32"/>
          <w:szCs w:val="32"/>
        </w:rPr>
        <w:t>第一部分 单位概况</w:t>
      </w:r>
      <w:bookmarkEnd w:id="0"/>
      <w:bookmarkEnd w:id="1"/>
    </w:p>
    <w:p w14:paraId="2A82D9A0">
      <w:pPr>
        <w:ind w:firstLine="640" w:firstLineChars="200"/>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14:paraId="3FD1EFFC">
      <w:pPr>
        <w:ind w:firstLine="640" w:firstLineChars="200"/>
        <w:outlineLvl w:val="1"/>
        <w:rPr>
          <w:rFonts w:hint="default" w:ascii="Times New Roman" w:hAnsi="Times New Roman" w:eastAsia="仿宋_GB2312" w:cs="Times New Roman"/>
          <w:sz w:val="32"/>
          <w:szCs w:val="32"/>
        </w:rPr>
      </w:pPr>
      <w:bookmarkStart w:id="4" w:name="_Toc31238"/>
      <w:bookmarkStart w:id="5" w:name="_Toc2151"/>
      <w:r>
        <w:rPr>
          <w:rFonts w:hint="default" w:ascii="Times New Roman" w:hAnsi="Times New Roman" w:eastAsia="仿宋_GB2312" w:cs="Times New Roman"/>
          <w:sz w:val="32"/>
          <w:szCs w:val="32"/>
        </w:rPr>
        <w:t>根据《关于印发&lt;新疆维吾尔自治区经济和信息化委员会（新疆维吾尔自治区国防科学技术工业办公室）所属事业单位分类改革方案&gt;的通知》（新事改办〔2014〕11号），核定新疆维吾尔自治区专业建设工程质量安全监督站为公益一类事业单位。主要职责是根据国家、自治区有关规定，承担自治区有色、化工等专业建设工程质量安全监督等工作。</w:t>
      </w:r>
    </w:p>
    <w:p w14:paraId="3A207141">
      <w:pPr>
        <w:ind w:firstLine="640" w:firstLineChars="200"/>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14:paraId="551FE491">
      <w:pPr>
        <w:ind w:firstLine="640" w:firstLineChars="200"/>
        <w:jc w:val="left"/>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新疆维吾尔自治区专业建设工程质量安全监督站2023年度，实有人数</w:t>
      </w:r>
      <w:r>
        <w:rPr>
          <w:rFonts w:hint="default" w:ascii="Times New Roman" w:hAnsi="Times New Roman" w:eastAsia="仿宋_GB2312" w:cs="Times New Roman"/>
          <w:sz w:val="32"/>
          <w:szCs w:val="32"/>
          <w:lang w:val="zh-CN"/>
        </w:rPr>
        <w:t>16</w:t>
      </w:r>
      <w:r>
        <w:rPr>
          <w:rFonts w:hint="default" w:ascii="Times New Roman" w:hAnsi="Times New Roman" w:eastAsia="仿宋_GB2312" w:cs="Times New Roman"/>
          <w:sz w:val="32"/>
          <w:szCs w:val="32"/>
        </w:rPr>
        <w:t>人，其中：在职人员</w:t>
      </w:r>
      <w:r>
        <w:rPr>
          <w:rFonts w:hint="default" w:ascii="Times New Roman" w:hAnsi="Times New Roman" w:eastAsia="仿宋_GB2312" w:cs="Times New Roman"/>
          <w:sz w:val="32"/>
          <w:szCs w:val="32"/>
          <w:lang w:val="zh-CN"/>
        </w:rPr>
        <w:t>12</w:t>
      </w:r>
      <w:r>
        <w:rPr>
          <w:rFonts w:hint="default" w:ascii="Times New Roman" w:hAnsi="Times New Roman" w:eastAsia="仿宋_GB2312" w:cs="Times New Roman"/>
          <w:sz w:val="32"/>
          <w:szCs w:val="32"/>
        </w:rPr>
        <w:t>人，离休人员</w:t>
      </w:r>
      <w:r>
        <w:rPr>
          <w:rFonts w:hint="default" w:ascii="Times New Roman" w:hAnsi="Times New Roman" w:eastAsia="仿宋_GB2312" w:cs="Times New Roman"/>
          <w:sz w:val="32"/>
          <w:szCs w:val="32"/>
          <w:lang w:val="zh-CN"/>
        </w:rPr>
        <w:t>0</w:t>
      </w:r>
      <w:r>
        <w:rPr>
          <w:rFonts w:hint="default" w:ascii="Times New Roman" w:hAnsi="Times New Roman" w:eastAsia="仿宋_GB2312" w:cs="Times New Roman"/>
          <w:sz w:val="32"/>
          <w:szCs w:val="32"/>
        </w:rPr>
        <w:t>人，退休人员</w:t>
      </w:r>
      <w:r>
        <w:rPr>
          <w:rFonts w:hint="default" w:ascii="Times New Roman" w:hAnsi="Times New Roman" w:eastAsia="仿宋_GB2312" w:cs="Times New Roman"/>
          <w:sz w:val="32"/>
          <w:szCs w:val="32"/>
          <w:lang w:val="zh-CN"/>
        </w:rPr>
        <w:t>4</w:t>
      </w:r>
      <w:r>
        <w:rPr>
          <w:rFonts w:hint="default" w:ascii="Times New Roman" w:hAnsi="Times New Roman" w:eastAsia="仿宋_GB2312" w:cs="Times New Roman"/>
          <w:sz w:val="32"/>
          <w:szCs w:val="32"/>
        </w:rPr>
        <w:t>人。</w:t>
      </w:r>
    </w:p>
    <w:p w14:paraId="1255D910">
      <w:pPr>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bCs/>
          <w:kern w:val="0"/>
          <w:sz w:val="32"/>
          <w:szCs w:val="32"/>
        </w:rPr>
        <w:t>单位无下属预算单位，</w:t>
      </w:r>
      <w:bookmarkStart w:id="6" w:name="_Toc29374"/>
      <w:bookmarkStart w:id="7" w:name="_Toc3092"/>
      <w:r>
        <w:rPr>
          <w:rFonts w:hint="default" w:ascii="Times New Roman" w:hAnsi="Times New Roman" w:eastAsia="仿宋_GB2312" w:cs="Times New Roman"/>
          <w:bCs/>
          <w:kern w:val="0"/>
          <w:sz w:val="32"/>
          <w:szCs w:val="32"/>
        </w:rPr>
        <w:t>下设</w:t>
      </w:r>
      <w:r>
        <w:rPr>
          <w:rFonts w:hint="default" w:ascii="Times New Roman" w:hAnsi="Times New Roman" w:eastAsia="仿宋_GB2312" w:cs="Times New Roman"/>
          <w:sz w:val="32"/>
          <w:szCs w:val="32"/>
        </w:rPr>
        <w:t>3</w:t>
      </w:r>
      <w:r>
        <w:rPr>
          <w:rFonts w:hint="default" w:ascii="Times New Roman" w:hAnsi="Times New Roman" w:eastAsia="仿宋_GB2312" w:cs="Times New Roman"/>
          <w:bCs/>
          <w:kern w:val="0"/>
          <w:sz w:val="32"/>
          <w:szCs w:val="32"/>
        </w:rPr>
        <w:t>个科室，分别是：综合管理办公室、化工监督科、有色监督科</w:t>
      </w:r>
      <w:r>
        <w:rPr>
          <w:rFonts w:hint="default" w:ascii="Times New Roman" w:hAnsi="Times New Roman" w:eastAsia="仿宋_GB2312" w:cs="Times New Roman"/>
          <w:kern w:val="0"/>
          <w:sz w:val="32"/>
          <w:szCs w:val="32"/>
        </w:rPr>
        <w:t>。</w:t>
      </w:r>
    </w:p>
    <w:p w14:paraId="389DD3A2">
      <w:pPr>
        <w:ind w:firstLine="640" w:firstLineChars="200"/>
        <w:rPr>
          <w:rFonts w:hint="default" w:ascii="Times New Roman" w:hAnsi="Times New Roman" w:eastAsia="仿宋_GB2312" w:cs="Times New Roman"/>
          <w:kern w:val="0"/>
          <w:sz w:val="32"/>
          <w:szCs w:val="32"/>
        </w:rPr>
      </w:pPr>
    </w:p>
    <w:p w14:paraId="4AC3F539">
      <w:pPr>
        <w:pStyle w:val="10"/>
        <w:rPr>
          <w:rFonts w:hint="default" w:ascii="Times New Roman" w:hAnsi="Times New Roman" w:eastAsia="仿宋_GB2312" w:cs="Times New Roman"/>
          <w:kern w:val="0"/>
          <w:sz w:val="32"/>
          <w:szCs w:val="32"/>
        </w:rPr>
      </w:pPr>
    </w:p>
    <w:p w14:paraId="46A31896">
      <w:pPr>
        <w:pStyle w:val="10"/>
        <w:rPr>
          <w:rFonts w:hint="default" w:ascii="Times New Roman" w:hAnsi="Times New Roman" w:eastAsia="仿宋_GB2312" w:cs="Times New Roman"/>
          <w:kern w:val="0"/>
          <w:sz w:val="32"/>
          <w:szCs w:val="32"/>
        </w:rPr>
      </w:pPr>
    </w:p>
    <w:p w14:paraId="7D156623">
      <w:pPr>
        <w:pStyle w:val="10"/>
        <w:rPr>
          <w:rFonts w:hint="default" w:ascii="Times New Roman" w:hAnsi="Times New Roman" w:eastAsia="仿宋_GB2312" w:cs="Times New Roman"/>
          <w:kern w:val="0"/>
          <w:sz w:val="32"/>
          <w:szCs w:val="32"/>
        </w:rPr>
      </w:pPr>
    </w:p>
    <w:p w14:paraId="699A6D4C">
      <w:pPr>
        <w:pStyle w:val="10"/>
        <w:rPr>
          <w:rFonts w:hint="default" w:ascii="Times New Roman" w:hAnsi="Times New Roman" w:eastAsia="仿宋_GB2312" w:cs="Times New Roman"/>
          <w:kern w:val="0"/>
          <w:sz w:val="32"/>
          <w:szCs w:val="32"/>
        </w:rPr>
      </w:pPr>
    </w:p>
    <w:p w14:paraId="63389AF9">
      <w:pPr>
        <w:pStyle w:val="10"/>
        <w:rPr>
          <w:rFonts w:hint="default" w:ascii="Times New Roman" w:hAnsi="Times New Roman" w:eastAsia="仿宋_GB2312" w:cs="Times New Roman"/>
          <w:kern w:val="0"/>
          <w:sz w:val="32"/>
          <w:szCs w:val="32"/>
        </w:rPr>
      </w:pPr>
    </w:p>
    <w:p w14:paraId="26CC65CD">
      <w:pPr>
        <w:ind w:firstLine="640" w:firstLineChars="200"/>
        <w:rPr>
          <w:rFonts w:hint="default" w:ascii="Times New Roman" w:hAnsi="Times New Roman" w:eastAsia="仿宋_GB2312" w:cs="Times New Roman"/>
          <w:sz w:val="32"/>
          <w:szCs w:val="32"/>
        </w:rPr>
      </w:pPr>
    </w:p>
    <w:p w14:paraId="2AD53F34">
      <w:pPr>
        <w:ind w:firstLine="2080" w:firstLineChars="65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 部门决算情况说明</w:t>
      </w:r>
      <w:bookmarkEnd w:id="6"/>
      <w:bookmarkEnd w:id="7"/>
    </w:p>
    <w:p w14:paraId="65AFBBC6">
      <w:pPr>
        <w:ind w:firstLine="640" w:firstLineChars="200"/>
        <w:outlineLvl w:val="1"/>
        <w:rPr>
          <w:rFonts w:hint="default" w:ascii="Times New Roman" w:hAnsi="Times New Roman" w:eastAsia="黑体" w:cs="Times New Roman"/>
          <w:bCs/>
          <w:kern w:val="0"/>
          <w:sz w:val="32"/>
          <w:szCs w:val="32"/>
        </w:rPr>
      </w:pPr>
      <w:bookmarkStart w:id="8" w:name="_Toc12566"/>
      <w:bookmarkStart w:id="9" w:name="_Toc25314"/>
      <w:r>
        <w:rPr>
          <w:rFonts w:hint="default" w:ascii="Times New Roman" w:hAnsi="Times New Roman" w:eastAsia="黑体" w:cs="Times New Roman"/>
          <w:bCs/>
          <w:kern w:val="0"/>
          <w:sz w:val="32"/>
          <w:szCs w:val="32"/>
        </w:rPr>
        <w:t>一、收入支出决算总体情况说明</w:t>
      </w:r>
      <w:bookmarkEnd w:id="8"/>
      <w:bookmarkEnd w:id="9"/>
    </w:p>
    <w:p w14:paraId="27AD01E7">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2023年度收入总计296.29万元，</w:t>
      </w:r>
      <w:r>
        <w:rPr>
          <w:rFonts w:hint="default" w:ascii="Times New Roman" w:hAnsi="Times New Roman" w:eastAsia="仿宋_GB2312" w:cs="Times New Roman"/>
          <w:sz w:val="32"/>
          <w:szCs w:val="32"/>
        </w:rPr>
        <w:t>其中：本年收入合计291.21万元，使用非财政拨款结余5.08万元，年初结转和结余0.00万元。</w:t>
      </w:r>
    </w:p>
    <w:p w14:paraId="39B40D16">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2023年度支出总计296.29万元，</w:t>
      </w:r>
      <w:r>
        <w:rPr>
          <w:rFonts w:hint="default" w:ascii="Times New Roman" w:hAnsi="Times New Roman" w:eastAsia="仿宋_GB2312" w:cs="Times New Roman"/>
          <w:sz w:val="32"/>
          <w:szCs w:val="32"/>
        </w:rPr>
        <w:t>其中：本年支出合计296.29万元，结余分配0.00万元，年末结转和结余0.00万元。</w:t>
      </w:r>
    </w:p>
    <w:p w14:paraId="108A931D">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收入支出总体与上年相比，</w:t>
      </w:r>
      <w:r>
        <w:rPr>
          <w:rFonts w:hint="default" w:ascii="Times New Roman" w:hAnsi="Times New Roman" w:eastAsia="仿宋_GB2312" w:cs="Times New Roman"/>
          <w:sz w:val="32"/>
          <w:szCs w:val="32"/>
          <w:lang w:val="zh-CN"/>
        </w:rPr>
        <w:t>减少7.19万元</w:t>
      </w:r>
      <w:r>
        <w:rPr>
          <w:rFonts w:hint="default" w:ascii="Times New Roman" w:hAnsi="Times New Roman" w:eastAsia="仿宋_GB2312" w:cs="Times New Roman"/>
          <w:sz w:val="32"/>
          <w:szCs w:val="32"/>
        </w:rPr>
        <w:t>，下降2.37%，主要原因是：2023年7月一人离职，2023年9月一人在职转退休，导致收入支出总体减少。</w:t>
      </w:r>
    </w:p>
    <w:p w14:paraId="5AD472E4">
      <w:pPr>
        <w:ind w:firstLine="640" w:firstLineChars="200"/>
        <w:jc w:val="left"/>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14:paraId="0D005D9A">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本年收入291.21万元，</w:t>
      </w:r>
      <w:r>
        <w:rPr>
          <w:rFonts w:hint="default" w:ascii="Times New Roman" w:hAnsi="Times New Roman" w:eastAsia="仿宋_GB2312" w:cs="Times New Roman"/>
          <w:sz w:val="32"/>
          <w:szCs w:val="32"/>
        </w:rPr>
        <w:t>其中：财政拨款收入</w:t>
      </w:r>
      <w:r>
        <w:rPr>
          <w:rFonts w:hint="default" w:ascii="Times New Roman" w:hAnsi="Times New Roman" w:eastAsia="仿宋_GB2312" w:cs="Times New Roman"/>
          <w:sz w:val="32"/>
          <w:szCs w:val="32"/>
          <w:lang w:val="zh-CN"/>
        </w:rPr>
        <w:t>291.19</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99.99</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0.02</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0.01</w:t>
      </w:r>
      <w:r>
        <w:rPr>
          <w:rFonts w:hint="default" w:ascii="Times New Roman" w:hAnsi="Times New Roman" w:eastAsia="仿宋_GB2312" w:cs="Times New Roman"/>
          <w:sz w:val="32"/>
          <w:szCs w:val="32"/>
        </w:rPr>
        <w:t>%。</w:t>
      </w:r>
    </w:p>
    <w:p w14:paraId="4278E1D0">
      <w:pPr>
        <w:ind w:firstLine="640" w:firstLineChars="200"/>
        <w:jc w:val="left"/>
        <w:outlineLvl w:val="1"/>
        <w:rPr>
          <w:rFonts w:hint="default" w:ascii="Times New Roman" w:hAnsi="Times New Roman" w:eastAsia="黑体" w:cs="Times New Roman"/>
          <w:bCs/>
          <w:kern w:val="0"/>
          <w:sz w:val="32"/>
          <w:szCs w:val="32"/>
        </w:rPr>
      </w:pPr>
      <w:bookmarkStart w:id="12" w:name="_Toc27961"/>
      <w:bookmarkStart w:id="13" w:name="_Toc13201"/>
      <w:r>
        <w:rPr>
          <w:rFonts w:hint="default" w:ascii="Times New Roman" w:hAnsi="Times New Roman" w:eastAsia="黑体" w:cs="Times New Roman"/>
          <w:bCs/>
          <w:kern w:val="0"/>
          <w:sz w:val="32"/>
          <w:szCs w:val="32"/>
        </w:rPr>
        <w:t>三、支出决算情况说明</w:t>
      </w:r>
      <w:bookmarkEnd w:id="12"/>
      <w:bookmarkEnd w:id="13"/>
    </w:p>
    <w:p w14:paraId="53CBC3C1">
      <w:pPr>
        <w:ind w:firstLine="643" w:firstLineChars="200"/>
        <w:jc w:val="left"/>
        <w:rPr>
          <w:rFonts w:hint="default" w:ascii="Times New Roman" w:hAnsi="Times New Roman" w:eastAsia="仿宋_GB2312" w:cs="Times New Roman"/>
          <w:sz w:val="30"/>
          <w:szCs w:val="30"/>
          <w:lang w:val="zh-CN"/>
        </w:rPr>
      </w:pPr>
      <w:r>
        <w:rPr>
          <w:rFonts w:hint="default" w:ascii="Times New Roman" w:hAnsi="Times New Roman" w:eastAsia="仿宋_GB2312" w:cs="Times New Roman"/>
          <w:b/>
          <w:bCs/>
          <w:sz w:val="32"/>
          <w:szCs w:val="32"/>
          <w:lang w:val="zh-CN"/>
        </w:rPr>
        <w:t>本年支出296.29万元，</w:t>
      </w:r>
      <w:r>
        <w:rPr>
          <w:rFonts w:hint="default" w:ascii="Times New Roman" w:hAnsi="Times New Roman" w:eastAsia="仿宋_GB2312" w:cs="Times New Roman"/>
          <w:sz w:val="32"/>
          <w:szCs w:val="32"/>
          <w:lang w:val="zh-CN"/>
        </w:rPr>
        <w:t>其中：基本支出271.31万元，占91.57%；项目支出24.98万元，占8.43%；上缴上级支出0.00万元，占0.00%；经营支出0.00万元，占0.00%；对附属单位补助支出0.00万元，占0.00%。</w:t>
      </w:r>
    </w:p>
    <w:p w14:paraId="2D14CEA3">
      <w:pPr>
        <w:ind w:firstLine="640" w:firstLineChars="200"/>
        <w:jc w:val="left"/>
        <w:outlineLvl w:val="1"/>
        <w:rPr>
          <w:rFonts w:hint="default" w:ascii="Times New Roman" w:hAnsi="Times New Roman" w:eastAsia="黑体" w:cs="Times New Roman"/>
          <w:bCs/>
          <w:kern w:val="0"/>
          <w:sz w:val="32"/>
          <w:szCs w:val="32"/>
        </w:rPr>
      </w:pPr>
      <w:bookmarkStart w:id="14" w:name="_Toc26564"/>
      <w:bookmarkStart w:id="15" w:name="_Toc4393"/>
      <w:r>
        <w:rPr>
          <w:rFonts w:hint="default" w:ascii="Times New Roman" w:hAnsi="Times New Roman" w:eastAsia="黑体" w:cs="Times New Roman"/>
          <w:bCs/>
          <w:kern w:val="0"/>
          <w:sz w:val="32"/>
          <w:szCs w:val="32"/>
        </w:rPr>
        <w:t>四、财政拨款收入支出决算总体情况说明</w:t>
      </w:r>
      <w:bookmarkEnd w:id="14"/>
      <w:bookmarkEnd w:id="15"/>
    </w:p>
    <w:p w14:paraId="1D025BA2">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2023年度财政拨款收入总计</w:t>
      </w:r>
      <w:r>
        <w:rPr>
          <w:rFonts w:hint="default" w:ascii="Times New Roman" w:hAnsi="Times New Roman" w:eastAsia="仿宋_GB2312" w:cs="Times New Roman"/>
          <w:b/>
          <w:bCs/>
          <w:sz w:val="32"/>
          <w:szCs w:val="32"/>
          <w:lang w:val="zh-CN"/>
        </w:rPr>
        <w:t>291.19</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其中：年初财政拨款结转和结余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291.19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bCs/>
          <w:sz w:val="32"/>
          <w:szCs w:val="32"/>
        </w:rPr>
        <w:t>财政拨款支出总计</w:t>
      </w:r>
      <w:r>
        <w:rPr>
          <w:rFonts w:hint="default" w:ascii="Times New Roman" w:hAnsi="Times New Roman" w:eastAsia="仿宋_GB2312" w:cs="Times New Roman"/>
          <w:b/>
          <w:bCs/>
          <w:sz w:val="32"/>
          <w:szCs w:val="32"/>
          <w:lang w:val="zh-CN"/>
        </w:rPr>
        <w:t>291.19</w:t>
      </w:r>
      <w:r>
        <w:rPr>
          <w:rFonts w:hint="default" w:ascii="Times New Roman" w:hAnsi="Times New Roman" w:eastAsia="仿宋_GB2312" w:cs="Times New Roman"/>
          <w:b/>
          <w:bCs/>
          <w:sz w:val="32"/>
          <w:szCs w:val="32"/>
        </w:rPr>
        <w:t>万元，</w:t>
      </w:r>
      <w:r>
        <w:rPr>
          <w:rFonts w:hint="default" w:ascii="Times New Roman" w:hAnsi="Times New Roman" w:eastAsia="仿宋_GB2312" w:cs="Times New Roman"/>
          <w:sz w:val="32"/>
          <w:szCs w:val="32"/>
        </w:rPr>
        <w:t>其中：年末财政拨款结转和结余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291.19</w:t>
      </w:r>
      <w:r>
        <w:rPr>
          <w:rFonts w:hint="default" w:ascii="Times New Roman" w:hAnsi="Times New Roman" w:eastAsia="仿宋_GB2312" w:cs="Times New Roman"/>
          <w:sz w:val="32"/>
          <w:szCs w:val="32"/>
        </w:rPr>
        <w:t>万元。</w:t>
      </w:r>
    </w:p>
    <w:p w14:paraId="01FB9633">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财政拨款收入支出总体与上年相比,</w:t>
      </w:r>
      <w:r>
        <w:rPr>
          <w:rFonts w:hint="default" w:ascii="Times New Roman" w:hAnsi="Times New Roman" w:eastAsia="仿宋_GB2312" w:cs="Times New Roman"/>
          <w:sz w:val="32"/>
          <w:szCs w:val="32"/>
          <w:lang w:val="zh-CN"/>
        </w:rPr>
        <w:t>减少9.03万元</w:t>
      </w:r>
      <w:r>
        <w:rPr>
          <w:rFonts w:hint="default" w:ascii="Times New Roman" w:hAnsi="Times New Roman" w:eastAsia="仿宋_GB2312" w:cs="Times New Roman"/>
          <w:sz w:val="32"/>
          <w:szCs w:val="32"/>
        </w:rPr>
        <w:t>，下降3.01%,主要原因是：2023年7月一人离职，2023年9月一人在职转退休，导致</w:t>
      </w:r>
      <w:r>
        <w:rPr>
          <w:rFonts w:hint="default" w:ascii="Times New Roman" w:hAnsi="Times New Roman" w:eastAsia="仿宋_GB2312" w:cs="Times New Roman"/>
          <w:sz w:val="32"/>
          <w:szCs w:val="32"/>
          <w:lang w:val="en-US" w:eastAsia="zh-CN"/>
        </w:rPr>
        <w:t>财政拨款</w:t>
      </w:r>
      <w:r>
        <w:rPr>
          <w:rFonts w:hint="default" w:ascii="Times New Roman" w:hAnsi="Times New Roman" w:eastAsia="仿宋_GB2312" w:cs="Times New Roman"/>
          <w:sz w:val="32"/>
          <w:szCs w:val="32"/>
        </w:rPr>
        <w:t>收入支出</w:t>
      </w:r>
      <w:r>
        <w:rPr>
          <w:rFonts w:hint="default" w:ascii="Times New Roman" w:hAnsi="Times New Roman" w:eastAsia="仿宋_GB2312" w:cs="Times New Roman"/>
          <w:sz w:val="32"/>
          <w:szCs w:val="32"/>
          <w:lang w:val="en-US" w:eastAsia="zh-CN"/>
        </w:rPr>
        <w:t>较上年</w:t>
      </w:r>
      <w:r>
        <w:rPr>
          <w:rFonts w:hint="default" w:ascii="Times New Roman" w:hAnsi="Times New Roman" w:eastAsia="仿宋_GB2312" w:cs="Times New Roman"/>
          <w:sz w:val="32"/>
          <w:szCs w:val="32"/>
        </w:rPr>
        <w:t>减少。</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270.29</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291.19</w:t>
      </w:r>
      <w:r>
        <w:rPr>
          <w:rFonts w:hint="default" w:ascii="Times New Roman" w:hAnsi="Times New Roman" w:eastAsia="仿宋_GB2312" w:cs="Times New Roman"/>
          <w:sz w:val="32"/>
          <w:szCs w:val="32"/>
        </w:rPr>
        <w:t>万元，预决算差异率7.73%，主要原因是：在年度执行中，根据自治区财政厅下达文件追加及调减预算，一是追加一般公共预算财政拨款基本支出人员类预算42.47万元；二是调减年初一般公共预算财政拨款基本支出人员类预算21.57万元。</w:t>
      </w:r>
    </w:p>
    <w:p w14:paraId="47F6ED36">
      <w:pPr>
        <w:ind w:firstLine="640" w:firstLineChars="200"/>
        <w:jc w:val="left"/>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612BAC01">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44002C8E">
      <w:pPr>
        <w:spacing w:line="600" w:lineRule="exact"/>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2023年度一般公共预算财政拨款支出291.19万元，</w:t>
      </w:r>
      <w:r>
        <w:rPr>
          <w:rFonts w:hint="default" w:ascii="Times New Roman" w:hAnsi="Times New Roman" w:eastAsia="仿宋_GB2312" w:cs="Times New Roman"/>
          <w:sz w:val="32"/>
          <w:szCs w:val="32"/>
        </w:rPr>
        <w:t>占本年支出合计的</w:t>
      </w:r>
      <w:r>
        <w:rPr>
          <w:rFonts w:hint="default" w:ascii="Times New Roman" w:hAnsi="Times New Roman" w:eastAsia="仿宋_GB2312" w:cs="Times New Roman"/>
          <w:sz w:val="32"/>
          <w:szCs w:val="32"/>
          <w:lang w:val="zh-CN"/>
        </w:rPr>
        <w:t>98.28%</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与上年相比，</w:t>
      </w:r>
      <w:r>
        <w:rPr>
          <w:rFonts w:hint="default" w:ascii="Times New Roman" w:hAnsi="Times New Roman" w:eastAsia="仿宋_GB2312" w:cs="Times New Roman"/>
          <w:sz w:val="32"/>
          <w:szCs w:val="32"/>
          <w:lang w:val="zh-CN"/>
        </w:rPr>
        <w:t>减少9.03万元</w:t>
      </w:r>
      <w:r>
        <w:rPr>
          <w:rFonts w:hint="default" w:ascii="Times New Roman" w:hAnsi="Times New Roman" w:eastAsia="仿宋_GB2312" w:cs="Times New Roman"/>
          <w:sz w:val="32"/>
          <w:szCs w:val="32"/>
        </w:rPr>
        <w:t>，下降3.01%,主要原因是：2023年7月一人离职，2023年9月一人在职转退休，导致一般公共预算财政拨款支出减少。</w:t>
      </w:r>
      <w:r>
        <w:rPr>
          <w:rFonts w:hint="default" w:ascii="Times New Roman" w:hAnsi="Times New Roman" w:eastAsia="仿宋_GB2312" w:cs="Times New Roman"/>
          <w:b/>
          <w:bCs/>
          <w:sz w:val="32"/>
          <w:szCs w:val="32"/>
        </w:rPr>
        <w:t>与年初预算相比，</w:t>
      </w:r>
      <w:r>
        <w:rPr>
          <w:rFonts w:hint="default" w:ascii="Times New Roman" w:hAnsi="Times New Roman" w:eastAsia="仿宋_GB2312" w:cs="Times New Roman"/>
          <w:sz w:val="32"/>
          <w:szCs w:val="32"/>
        </w:rPr>
        <w:t>年初预算数</w:t>
      </w:r>
      <w:r>
        <w:rPr>
          <w:rFonts w:hint="default" w:ascii="Times New Roman" w:hAnsi="Times New Roman" w:eastAsia="仿宋_GB2312" w:cs="Times New Roman"/>
          <w:sz w:val="32"/>
          <w:szCs w:val="32"/>
          <w:lang w:val="zh-CN"/>
        </w:rPr>
        <w:t>270.29</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291.19</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7.73%</w:t>
      </w:r>
      <w:r>
        <w:rPr>
          <w:rFonts w:hint="default" w:ascii="Times New Roman" w:hAnsi="Times New Roman" w:eastAsia="仿宋_GB2312" w:cs="Times New Roman"/>
          <w:sz w:val="32"/>
          <w:szCs w:val="32"/>
        </w:rPr>
        <w:t>，主要原因是：在年度执行中，根据自治区财政厅下达文件追加及调减预算，一是追加一般公共预算财政拨款基本支出人员类预算42.47万元；二是调减年初一般公共预算财政拨款基本支出人员类预算21.57万元。</w:t>
      </w:r>
    </w:p>
    <w:p w14:paraId="11168969">
      <w:pPr>
        <w:numPr>
          <w:ilvl w:val="0"/>
          <w:numId w:val="1"/>
        </w:num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1845EAB6">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1.社会保障和就业支出（类）43.40万元，占14.9</w:t>
      </w:r>
      <w:r>
        <w:rPr>
          <w:rFonts w:hint="default" w:ascii="Times New Roman" w:hAnsi="Times New Roman" w:eastAsia="仿宋_GB2312" w:cs="Times New Roman"/>
          <w:kern w:val="2"/>
          <w:sz w:val="32"/>
          <w:szCs w:val="32"/>
          <w:lang w:val="en-US" w:eastAsia="zh-CN"/>
        </w:rPr>
        <w:t>0</w:t>
      </w:r>
      <w:r>
        <w:rPr>
          <w:rFonts w:hint="default" w:ascii="Times New Roman" w:hAnsi="Times New Roman" w:eastAsia="仿宋_GB2312" w:cs="Times New Roman"/>
          <w:kern w:val="2"/>
          <w:sz w:val="32"/>
          <w:szCs w:val="32"/>
          <w:lang w:val="zh-CN"/>
        </w:rPr>
        <w:t>%；</w:t>
      </w:r>
    </w:p>
    <w:p w14:paraId="0598C99B">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2.卫生健康支出（类）20.86万元，占7.16%；</w:t>
      </w:r>
    </w:p>
    <w:p w14:paraId="50F2CE7E">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3.资源勘探信息等支出（类）208.62万元，占71.65%；</w:t>
      </w:r>
    </w:p>
    <w:p w14:paraId="0D5CCB74">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4.住房保障支出（类）18.31万元，占6.29%；</w:t>
      </w:r>
    </w:p>
    <w:p w14:paraId="26930C42">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15A03E15">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1.卫生健康支出（类）行政事业单位医疗（款）事业单位医疗（项）:支出决算数为11.36万元，比上年决算减少1.45万元，下降11.</w:t>
      </w:r>
      <w:r>
        <w:rPr>
          <w:rFonts w:hint="default" w:ascii="Times New Roman" w:hAnsi="Times New Roman" w:eastAsia="仿宋_GB2312" w:cs="Times New Roman"/>
          <w:sz w:val="32"/>
          <w:szCs w:val="32"/>
          <w:lang w:val="en-US" w:eastAsia="zh-CN"/>
        </w:rPr>
        <w:t>32</w:t>
      </w:r>
      <w:r>
        <w:rPr>
          <w:rFonts w:hint="default" w:ascii="Times New Roman" w:hAnsi="Times New Roman" w:eastAsia="仿宋_GB2312" w:cs="Times New Roman"/>
          <w:sz w:val="32"/>
          <w:szCs w:val="32"/>
        </w:rPr>
        <w:t>%，主要原因是：2023年7月一人离职，2023年9月一人在职转退休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导致</w:t>
      </w:r>
      <w:r>
        <w:rPr>
          <w:rFonts w:hint="default" w:ascii="Times New Roman" w:hAnsi="Times New Roman" w:eastAsia="仿宋_GB2312" w:cs="Times New Roman"/>
          <w:sz w:val="32"/>
          <w:szCs w:val="32"/>
        </w:rPr>
        <w:t>事业单位医疗支出</w:t>
      </w:r>
      <w:r>
        <w:rPr>
          <w:rFonts w:hint="default"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lang w:val="zh-CN"/>
        </w:rPr>
        <w:t>。</w:t>
      </w:r>
    </w:p>
    <w:p w14:paraId="62393446">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2.卫生健康支出（类）行政事业单位医疗（款）公务员医疗补助（项）:支出决算数为9.49万元，比上年决算减少0.47万元，下降4.7</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%，主要原因是：2023年7月一人离职，2023年9月一人在职转退休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导致公务员</w:t>
      </w:r>
      <w:r>
        <w:rPr>
          <w:rFonts w:hint="default" w:ascii="Times New Roman" w:hAnsi="Times New Roman" w:eastAsia="仿宋_GB2312" w:cs="Times New Roman"/>
          <w:sz w:val="32"/>
          <w:szCs w:val="32"/>
        </w:rPr>
        <w:t>医疗</w:t>
      </w:r>
      <w:r>
        <w:rPr>
          <w:rFonts w:hint="default" w:ascii="Times New Roman" w:hAnsi="Times New Roman" w:eastAsia="仿宋_GB2312" w:cs="Times New Roman"/>
          <w:sz w:val="32"/>
          <w:szCs w:val="32"/>
          <w:lang w:val="en-US" w:eastAsia="zh-CN"/>
        </w:rPr>
        <w:t>补助</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lang w:val="zh-CN"/>
        </w:rPr>
        <w:t>。</w:t>
      </w:r>
    </w:p>
    <w:p w14:paraId="283C7B09">
      <w:pPr>
        <w:ind w:firstLine="640" w:firstLineChars="200"/>
        <w:outlineLvl w:val="1"/>
        <w:rPr>
          <w:rFonts w:hint="default" w:ascii="Times New Roman" w:hAnsi="Times New Roman" w:eastAsia="黑体" w:cs="Times New Roman"/>
          <w:bCs/>
          <w:kern w:val="0"/>
          <w:sz w:val="32"/>
          <w:szCs w:val="32"/>
        </w:rPr>
      </w:pPr>
      <w:r>
        <w:rPr>
          <w:rFonts w:hint="default" w:ascii="Times New Roman" w:hAnsi="Times New Roman" w:eastAsia="仿宋_GB2312" w:cs="Times New Roman"/>
          <w:sz w:val="32"/>
          <w:szCs w:val="32"/>
        </w:rPr>
        <w:t>3.住房保障支出（类）住房改革支出（款）住房公积金（项）:支出决算数为18.31万元，比上年决算增加0.50万元，增长2.</w:t>
      </w:r>
      <w:r>
        <w:rPr>
          <w:rFonts w:hint="default" w:ascii="Times New Roman" w:hAnsi="Times New Roman" w:eastAsia="仿宋_GB2312" w:cs="Times New Roman"/>
          <w:sz w:val="32"/>
          <w:szCs w:val="32"/>
          <w:lang w:val="en-US" w:eastAsia="zh-CN"/>
        </w:rPr>
        <w:t>81</w:t>
      </w:r>
      <w:r>
        <w:rPr>
          <w:rFonts w:hint="default" w:ascii="Times New Roman" w:hAnsi="Times New Roman" w:eastAsia="仿宋_GB2312" w:cs="Times New Roman"/>
          <w:sz w:val="32"/>
          <w:szCs w:val="32"/>
        </w:rPr>
        <w:t>%，主要原因是：2023年在编人员工资调增，相应住房公积金基数调整，导致在职人员住房公积金缴费支出增加。</w:t>
      </w:r>
    </w:p>
    <w:p w14:paraId="62E9F345">
      <w:pPr>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4.资源勘探工业信息等支出（类）资源勘探开发（款）有色金属矿勘探和采选（项）:支出决算数为208.62万元，比上年决算减少13.8</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万元，下降6.2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%，主要原因是：2023年7月一人离职，2023年9月一人在职转退休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基本支出人员经费支出减少。</w:t>
      </w:r>
    </w:p>
    <w:p w14:paraId="74A015EB">
      <w:pPr>
        <w:ind w:firstLine="640" w:firstLineChars="200"/>
        <w:rPr>
          <w:rFonts w:hint="default" w:ascii="Times New Roman" w:hAnsi="Times New Roman" w:eastAsia="黑体" w:cs="Times New Roman"/>
          <w:bCs/>
          <w:kern w:val="0"/>
          <w:sz w:val="32"/>
          <w:szCs w:val="32"/>
        </w:rPr>
      </w:pPr>
      <w:r>
        <w:rPr>
          <w:rFonts w:hint="default" w:ascii="Times New Roman" w:hAnsi="Times New Roman" w:eastAsia="仿宋_GB2312" w:cs="Times New Roman"/>
          <w:sz w:val="32"/>
          <w:szCs w:val="32"/>
        </w:rPr>
        <w:t>5.社会保障和就业支出（类）行政事业单位养老支出（款）事业单位离退休（项）:支出决算数为5.98万元，比上年决算增加0.2</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万元，增长</w:t>
      </w:r>
      <w:r>
        <w:rPr>
          <w:rFonts w:hint="default" w:ascii="Times New Roman" w:hAnsi="Times New Roman" w:eastAsia="仿宋_GB2312" w:cs="Times New Roman"/>
          <w:sz w:val="32"/>
          <w:szCs w:val="32"/>
          <w:lang w:val="en-US" w:eastAsia="zh-CN"/>
        </w:rPr>
        <w:t>4.91</w:t>
      </w:r>
      <w:r>
        <w:rPr>
          <w:rFonts w:hint="default" w:ascii="Times New Roman" w:hAnsi="Times New Roman" w:eastAsia="仿宋_GB2312" w:cs="Times New Roman"/>
          <w:sz w:val="32"/>
          <w:szCs w:val="32"/>
        </w:rPr>
        <w:t>%，主要原因是：2023年</w:t>
      </w:r>
      <w:r>
        <w:rPr>
          <w:rFonts w:hint="default" w:ascii="Times New Roman" w:hAnsi="Times New Roman" w:eastAsia="仿宋_GB2312" w:cs="Times New Roman"/>
          <w:sz w:val="32"/>
          <w:szCs w:val="32"/>
          <w:lang w:val="en-US" w:eastAsia="zh-CN"/>
        </w:rPr>
        <w:t>退休人员待遇调整</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导致</w:t>
      </w:r>
      <w:r>
        <w:rPr>
          <w:rFonts w:hint="default" w:ascii="Times New Roman" w:hAnsi="Times New Roman" w:eastAsia="仿宋_GB2312" w:cs="Times New Roman"/>
          <w:sz w:val="32"/>
          <w:szCs w:val="32"/>
        </w:rPr>
        <w:t>相应支出增加。</w:t>
      </w:r>
    </w:p>
    <w:p w14:paraId="0FEC6CEB">
      <w:pPr>
        <w:ind w:firstLine="640" w:firstLineChars="200"/>
        <w:rPr>
          <w:rFonts w:hint="default" w:ascii="Times New Roman" w:hAnsi="Times New Roman" w:eastAsia="仿宋_GB2312" w:cs="Times New Roman"/>
          <w:color w:val="FF0000"/>
          <w:sz w:val="32"/>
          <w:szCs w:val="32"/>
          <w:lang w:val="en-US" w:eastAsia="zh-CN"/>
        </w:rPr>
      </w:pPr>
      <w:r>
        <w:rPr>
          <w:rFonts w:hint="default" w:ascii="Times New Roman" w:hAnsi="Times New Roman" w:eastAsia="仿宋_GB2312" w:cs="Times New Roman"/>
          <w:color w:val="auto"/>
          <w:sz w:val="32"/>
          <w:szCs w:val="32"/>
        </w:rPr>
        <w:t>6.社会保障和就业支出（类）行政事业单位养老支出（款）机关事业单位职业年金缴费支出（项）:支出决算数为14.45万元，比上年决算增加6.39万元，增长79.</w:t>
      </w:r>
      <w:r>
        <w:rPr>
          <w:rFonts w:hint="default"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rPr>
        <w:t>%，主要原因是：2023年中追加</w:t>
      </w:r>
      <w:r>
        <w:rPr>
          <w:rFonts w:hint="default" w:ascii="Times New Roman" w:hAnsi="Times New Roman" w:eastAsia="仿宋_GB2312" w:cs="Times New Roman"/>
          <w:color w:val="auto"/>
          <w:sz w:val="32"/>
          <w:szCs w:val="32"/>
          <w:lang w:val="en-US" w:eastAsia="zh-CN"/>
        </w:rPr>
        <w:t>的</w:t>
      </w:r>
      <w:r>
        <w:rPr>
          <w:rFonts w:hint="default" w:ascii="Times New Roman" w:hAnsi="Times New Roman" w:eastAsia="仿宋_GB2312" w:cs="Times New Roman"/>
          <w:color w:val="auto"/>
          <w:sz w:val="32"/>
          <w:szCs w:val="32"/>
        </w:rPr>
        <w:t>职业年金预算</w:t>
      </w:r>
      <w:r>
        <w:rPr>
          <w:rFonts w:hint="default" w:ascii="Times New Roman" w:hAnsi="Times New Roman" w:eastAsia="仿宋_GB2312" w:cs="Times New Roman"/>
          <w:color w:val="auto"/>
          <w:sz w:val="32"/>
          <w:szCs w:val="32"/>
          <w:lang w:val="en-US" w:eastAsia="zh-CN"/>
        </w:rPr>
        <w:t>人数为两人，较上年增加一人，导致</w:t>
      </w:r>
      <w:r>
        <w:rPr>
          <w:rFonts w:hint="default" w:ascii="Times New Roman" w:hAnsi="Times New Roman" w:eastAsia="仿宋_GB2312" w:cs="Times New Roman"/>
          <w:color w:val="auto"/>
          <w:sz w:val="32"/>
          <w:szCs w:val="32"/>
        </w:rPr>
        <w:t>机关事业单位职业年金缴费支出</w:t>
      </w:r>
      <w:r>
        <w:rPr>
          <w:rFonts w:hint="default" w:ascii="Times New Roman" w:hAnsi="Times New Roman" w:eastAsia="仿宋_GB2312" w:cs="Times New Roman"/>
          <w:color w:val="auto"/>
          <w:sz w:val="32"/>
          <w:szCs w:val="32"/>
          <w:lang w:val="en-US" w:eastAsia="zh-CN"/>
        </w:rPr>
        <w:t>较</w:t>
      </w:r>
      <w:r>
        <w:rPr>
          <w:rFonts w:hint="default" w:ascii="Times New Roman" w:hAnsi="Times New Roman" w:eastAsia="仿宋_GB2312" w:cs="Times New Roman"/>
          <w:color w:val="auto"/>
          <w:sz w:val="32"/>
          <w:szCs w:val="32"/>
        </w:rPr>
        <w:t>上年</w:t>
      </w:r>
      <w:r>
        <w:rPr>
          <w:rFonts w:hint="default" w:ascii="Times New Roman" w:hAnsi="Times New Roman" w:eastAsia="仿宋_GB2312" w:cs="Times New Roman"/>
          <w:color w:val="auto"/>
          <w:sz w:val="32"/>
          <w:szCs w:val="32"/>
          <w:lang w:val="en-US" w:eastAsia="zh-CN"/>
        </w:rPr>
        <w:t>增加。</w:t>
      </w:r>
    </w:p>
    <w:p w14:paraId="24CEFC27">
      <w:pPr>
        <w:ind w:firstLine="640" w:firstLineChars="200"/>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color w:val="auto"/>
          <w:sz w:val="32"/>
          <w:szCs w:val="32"/>
        </w:rPr>
        <w:t>7.社会保障和就业支出（类）行政事业单位养老支出（款）机关事业单位基本养老保险缴费支出（项）:支出决算数为22.97万元，比上年决算减少</w:t>
      </w:r>
      <w:r>
        <w:rPr>
          <w:rFonts w:hint="eastAsia" w:eastAsia="仿宋_GB2312" w:cs="Times New Roman"/>
          <w:color w:val="auto"/>
          <w:sz w:val="32"/>
          <w:szCs w:val="32"/>
          <w:lang w:val="en-US" w:eastAsia="zh-CN"/>
        </w:rPr>
        <w:t>0.45</w:t>
      </w:r>
      <w:r>
        <w:rPr>
          <w:rFonts w:hint="default" w:ascii="Times New Roman" w:hAnsi="Times New Roman" w:eastAsia="仿宋_GB2312" w:cs="Times New Roman"/>
          <w:color w:val="auto"/>
          <w:sz w:val="32"/>
          <w:szCs w:val="32"/>
        </w:rPr>
        <w:t>万元，下降</w:t>
      </w:r>
      <w:r>
        <w:rPr>
          <w:rFonts w:hint="eastAsia" w:eastAsia="仿宋_GB2312" w:cs="Times New Roman"/>
          <w:color w:val="auto"/>
          <w:sz w:val="32"/>
          <w:szCs w:val="32"/>
          <w:lang w:val="en-US" w:eastAsia="zh-CN"/>
        </w:rPr>
        <w:t>1.92</w:t>
      </w:r>
      <w:r>
        <w:rPr>
          <w:rFonts w:hint="default" w:ascii="Times New Roman" w:hAnsi="Times New Roman" w:eastAsia="仿宋_GB2312" w:cs="Times New Roman"/>
          <w:color w:val="auto"/>
          <w:sz w:val="32"/>
          <w:szCs w:val="32"/>
        </w:rPr>
        <w:t>%，主要原因是：2023年7月</w:t>
      </w: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color w:val="auto"/>
          <w:sz w:val="32"/>
          <w:szCs w:val="32"/>
        </w:rPr>
        <w:t>人离职，2023年9月一人在职转退休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导致</w:t>
      </w:r>
      <w:r>
        <w:rPr>
          <w:rFonts w:hint="default" w:ascii="Times New Roman" w:hAnsi="Times New Roman" w:eastAsia="仿宋_GB2312" w:cs="Times New Roman"/>
          <w:color w:val="auto"/>
          <w:sz w:val="32"/>
          <w:szCs w:val="32"/>
        </w:rPr>
        <w:t>机关事业单位基本养老保险缴费支出</w:t>
      </w:r>
      <w:r>
        <w:rPr>
          <w:rFonts w:hint="default" w:ascii="Times New Roman" w:hAnsi="Times New Roman" w:eastAsia="仿宋_GB2312" w:cs="Times New Roman"/>
          <w:color w:val="auto"/>
          <w:sz w:val="32"/>
          <w:szCs w:val="32"/>
          <w:lang w:val="en-US" w:eastAsia="zh-CN"/>
        </w:rPr>
        <w:t>较上年减少。</w:t>
      </w:r>
    </w:p>
    <w:p w14:paraId="723251F6">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3F51CC0E">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2023年度一般公共预算财政拨款基本支出271.31万元，其中：</w:t>
      </w:r>
      <w:r>
        <w:rPr>
          <w:rFonts w:hint="default" w:ascii="Times New Roman" w:hAnsi="Times New Roman" w:eastAsia="仿宋_GB2312" w:cs="Times New Roman"/>
          <w:b/>
          <w:bCs/>
          <w:sz w:val="32"/>
          <w:szCs w:val="32"/>
        </w:rPr>
        <w:t>人员经费257.61万元，</w:t>
      </w:r>
      <w:r>
        <w:rPr>
          <w:rFonts w:hint="default" w:ascii="Times New Roman" w:hAnsi="Times New Roman" w:eastAsia="仿宋_GB2312" w:cs="Times New Roman"/>
          <w:sz w:val="32"/>
          <w:szCs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5A47B62B">
      <w:pPr>
        <w:ind w:firstLine="643" w:firstLineChars="200"/>
        <w:jc w:val="left"/>
        <w:rPr>
          <w:rFonts w:hint="default" w:ascii="Times New Roman" w:hAnsi="Times New Roman" w:eastAsia="仿宋_GB2312" w:cs="Times New Roman"/>
          <w:color w:val="FF0000"/>
          <w:sz w:val="32"/>
          <w:szCs w:val="32"/>
          <w:highlight w:val="red"/>
        </w:rPr>
      </w:pPr>
      <w:r>
        <w:rPr>
          <w:rFonts w:hint="default" w:ascii="Times New Roman" w:hAnsi="Times New Roman" w:eastAsia="仿宋_GB2312" w:cs="Times New Roman"/>
          <w:b/>
          <w:bCs/>
          <w:sz w:val="32"/>
          <w:szCs w:val="32"/>
        </w:rPr>
        <w:t>公用经费13.70万元，</w:t>
      </w:r>
      <w:r>
        <w:rPr>
          <w:rFonts w:hint="default" w:ascii="Times New Roman" w:hAnsi="Times New Roman" w:eastAsia="仿宋_GB2312" w:cs="Times New Roman"/>
          <w:sz w:val="32"/>
          <w:szCs w:val="32"/>
        </w:rPr>
        <w:t>包括：办公费、电费、邮电费、差旅费、工会经费、福利费、公务用车运行维护费、其他商品和服务支出。</w:t>
      </w:r>
    </w:p>
    <w:p w14:paraId="33817C83">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03C82627">
      <w:pPr>
        <w:ind w:firstLine="643"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b/>
          <w:bCs/>
          <w:sz w:val="32"/>
          <w:szCs w:val="32"/>
          <w:lang w:val="zh-CN"/>
        </w:rPr>
        <w:t>2023年度</w:t>
      </w:r>
      <w:r>
        <w:rPr>
          <w:rFonts w:hint="default" w:ascii="Times New Roman" w:hAnsi="Times New Roman" w:eastAsia="仿宋_GB2312" w:cs="Times New Roman"/>
          <w:b/>
          <w:bCs/>
          <w:sz w:val="32"/>
          <w:szCs w:val="32"/>
        </w:rPr>
        <w:t>财政拨款</w:t>
      </w:r>
      <w:r>
        <w:rPr>
          <w:rFonts w:hint="default" w:ascii="Times New Roman" w:hAnsi="Times New Roman" w:eastAsia="仿宋_GB2312" w:cs="Times New Roman"/>
          <w:b/>
          <w:bCs/>
          <w:sz w:val="32"/>
          <w:szCs w:val="32"/>
          <w:lang w:val="zh-CN"/>
        </w:rPr>
        <w:t>“三公”经费支出0.34万元，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减少0.00万元，</w:t>
      </w:r>
      <w:r>
        <w:rPr>
          <w:rFonts w:hint="default" w:ascii="Times New Roman" w:hAnsi="Times New Roman" w:eastAsia="仿宋_GB2312" w:cs="Times New Roman"/>
          <w:sz w:val="32"/>
          <w:szCs w:val="32"/>
        </w:rPr>
        <w:t>下降0.0</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严格执行中央八项规定及实施细则，做到三公经费只减不增，无预算不支出</w:t>
      </w:r>
      <w:r>
        <w:rPr>
          <w:rFonts w:hint="default" w:ascii="Times New Roman" w:hAnsi="Times New Roman" w:eastAsia="仿宋_GB2312" w:cs="Times New Roman"/>
          <w:sz w:val="32"/>
          <w:szCs w:val="32"/>
          <w:lang w:val="zh-CN"/>
        </w:rPr>
        <w:t>。其中：因公出国（境）费支出0.00万元，占0.00%，比上年增加0.00万元，</w:t>
      </w:r>
      <w:r>
        <w:rPr>
          <w:rFonts w:hint="default" w:ascii="Times New Roman" w:hAnsi="Times New Roman" w:eastAsia="仿宋_GB2312" w:cs="Times New Roman"/>
          <w:sz w:val="32"/>
          <w:szCs w:val="32"/>
        </w:rPr>
        <w:t>增长0.00%,</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sz w:val="32"/>
          <w:szCs w:val="32"/>
          <w:lang w:val="zh-CN"/>
        </w:rPr>
        <w:t>；公务用车购置及运行维护费支出0.34万元，占100.00%，比上年减少0.00万元，</w:t>
      </w:r>
      <w:r>
        <w:rPr>
          <w:rFonts w:hint="default" w:ascii="Times New Roman" w:hAnsi="Times New Roman" w:eastAsia="仿宋_GB2312" w:cs="Times New Roman"/>
          <w:sz w:val="32"/>
          <w:szCs w:val="32"/>
        </w:rPr>
        <w:t>下降0.00%,</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严格执行中央八项规定及实施细则，做到三公经费只减不增，无预算不支出</w:t>
      </w:r>
      <w:r>
        <w:rPr>
          <w:rFonts w:hint="default" w:ascii="Times New Roman" w:hAnsi="Times New Roman" w:eastAsia="仿宋_GB2312" w:cs="Times New Roman"/>
          <w:sz w:val="32"/>
          <w:szCs w:val="32"/>
          <w:lang w:val="zh-CN"/>
        </w:rPr>
        <w:t>；公务接待费支出0.00万元，占0.00%，比上年增加0.00万元，</w:t>
      </w:r>
      <w:r>
        <w:rPr>
          <w:rFonts w:hint="default" w:ascii="Times New Roman" w:hAnsi="Times New Roman" w:eastAsia="仿宋_GB2312" w:cs="Times New Roman"/>
          <w:sz w:val="32"/>
          <w:szCs w:val="32"/>
        </w:rPr>
        <w:t>增长0.00%,</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sz w:val="32"/>
          <w:szCs w:val="32"/>
          <w:lang w:val="zh-CN"/>
        </w:rPr>
        <w:t>。</w:t>
      </w:r>
    </w:p>
    <w:p w14:paraId="0E618313">
      <w:pPr>
        <w:ind w:firstLine="643" w:firstLineChars="200"/>
        <w:jc w:val="left"/>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具体情况如下：</w:t>
      </w:r>
    </w:p>
    <w:p w14:paraId="0B64A768">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sz w:val="32"/>
          <w:szCs w:val="32"/>
          <w:lang w:val="zh-CN"/>
        </w:rPr>
        <w:t>单位全年安排的因公出国（境）团组0个，因公出国（境）0人次。</w:t>
      </w:r>
    </w:p>
    <w:p w14:paraId="20F98DA2">
      <w:pPr>
        <w:ind w:firstLine="640" w:firstLineChars="200"/>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zh-CN"/>
        </w:rPr>
        <w:t>公务用车购置及运行维护费0.34万元，其中：公务用车购置费0.00万元，公务用车运行维护费0.34万元。公务用车运行维护费开支内容包括</w:t>
      </w:r>
      <w:r>
        <w:rPr>
          <w:rFonts w:hint="default" w:ascii="Times New Roman" w:hAnsi="Times New Roman" w:eastAsia="仿宋_GB2312" w:cs="Times New Roman"/>
          <w:sz w:val="32"/>
          <w:szCs w:val="32"/>
        </w:rPr>
        <w:t>2023年用于购买车辆保险。</w:t>
      </w:r>
      <w:r>
        <w:rPr>
          <w:rFonts w:hint="default" w:ascii="Times New Roman" w:hAnsi="Times New Roman" w:eastAsia="仿宋_GB2312" w:cs="Times New Roman"/>
          <w:sz w:val="32"/>
          <w:szCs w:val="32"/>
          <w:lang w:val="zh-CN"/>
        </w:rPr>
        <w:t>公务用车购置数0辆，公务用车保有量2辆</w:t>
      </w:r>
      <w:r>
        <w:rPr>
          <w:rFonts w:hint="eastAsia" w:eastAsia="仿宋_GB2312" w:cs="Times New Roman"/>
          <w:sz w:val="32"/>
          <w:szCs w:val="32"/>
          <w:lang w:val="zh-CN"/>
        </w:rPr>
        <w:t>。</w:t>
      </w:r>
      <w:r>
        <w:rPr>
          <w:rFonts w:hint="eastAsia" w:eastAsia="仿宋_GB2312" w:cs="Times New Roman"/>
          <w:sz w:val="32"/>
          <w:szCs w:val="32"/>
          <w:lang w:val="en-US" w:eastAsia="zh-CN"/>
        </w:rPr>
        <w:t>国有资产占用情况中固定资产车辆2辆，与公务用车保有量无差异。</w:t>
      </w:r>
    </w:p>
    <w:p w14:paraId="2701FC14">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sz w:val="32"/>
          <w:szCs w:val="32"/>
          <w:lang w:val="zh-CN"/>
        </w:rPr>
        <w:t>。单位全年安排的国内公务接待0批次，0人次。</w:t>
      </w:r>
    </w:p>
    <w:p w14:paraId="2D8D9FA2">
      <w:pPr>
        <w:ind w:firstLine="643" w:firstLineChars="200"/>
        <w:jc w:val="left"/>
        <w:rPr>
          <w:rFonts w:hint="default" w:ascii="Times New Roman" w:hAnsi="Times New Roman" w:eastAsia="仿宋_GB2312" w:cs="Times New Roman"/>
          <w:color w:val="auto"/>
          <w:sz w:val="32"/>
          <w:szCs w:val="32"/>
          <w:lang w:val="zh-CN"/>
        </w:rPr>
      </w:pPr>
      <w:r>
        <w:rPr>
          <w:rFonts w:hint="default" w:ascii="Times New Roman" w:hAnsi="Times New Roman" w:eastAsia="仿宋_GB2312" w:cs="Times New Roman"/>
          <w:b/>
          <w:bCs/>
          <w:color w:val="auto"/>
          <w:sz w:val="32"/>
          <w:szCs w:val="32"/>
          <w:lang w:val="zh-CN"/>
        </w:rPr>
        <w:t>与</w:t>
      </w:r>
      <w:r>
        <w:rPr>
          <w:rFonts w:hint="default" w:ascii="Times New Roman" w:hAnsi="Times New Roman" w:eastAsia="仿宋_GB2312" w:cs="Times New Roman"/>
          <w:b/>
          <w:bCs/>
          <w:color w:val="auto"/>
          <w:sz w:val="32"/>
          <w:szCs w:val="32"/>
        </w:rPr>
        <w:t>全年</w:t>
      </w:r>
      <w:r>
        <w:rPr>
          <w:rFonts w:hint="default" w:ascii="Times New Roman" w:hAnsi="Times New Roman" w:eastAsia="仿宋_GB2312" w:cs="Times New Roman"/>
          <w:b/>
          <w:bCs/>
          <w:color w:val="auto"/>
          <w:sz w:val="32"/>
          <w:szCs w:val="32"/>
          <w:lang w:val="zh-CN"/>
        </w:rPr>
        <w:t>预算相比</w:t>
      </w: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color w:val="auto"/>
          <w:sz w:val="32"/>
          <w:szCs w:val="32"/>
          <w:lang w:val="zh-CN"/>
        </w:rPr>
        <w:t>财政拨款“三公”经费支出</w:t>
      </w:r>
      <w:r>
        <w:rPr>
          <w:rFonts w:hint="default" w:ascii="Times New Roman" w:hAnsi="Times New Roman" w:eastAsia="仿宋_GB2312" w:cs="Times New Roman"/>
          <w:color w:val="auto"/>
          <w:sz w:val="32"/>
          <w:szCs w:val="32"/>
        </w:rPr>
        <w:t>全年</w:t>
      </w:r>
      <w:r>
        <w:rPr>
          <w:rFonts w:hint="default" w:ascii="Times New Roman" w:hAnsi="Times New Roman" w:eastAsia="仿宋_GB2312" w:cs="Times New Roman"/>
          <w:color w:val="auto"/>
          <w:sz w:val="32"/>
          <w:szCs w:val="32"/>
          <w:lang w:val="zh-CN"/>
        </w:rPr>
        <w:t>预算数0.34万元，决算数0.34万元，预决算差异率</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lang w:val="zh-CN"/>
        </w:rPr>
        <w:t>%，主要原因是：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lang w:val="zh-CN"/>
        </w:rPr>
        <w:t>。其中：因公出国（境）费</w:t>
      </w:r>
      <w:r>
        <w:rPr>
          <w:rFonts w:hint="default" w:ascii="Times New Roman" w:hAnsi="Times New Roman" w:eastAsia="仿宋_GB2312" w:cs="Times New Roman"/>
          <w:color w:val="auto"/>
          <w:sz w:val="32"/>
          <w:szCs w:val="32"/>
        </w:rPr>
        <w:t>全年预算数</w:t>
      </w:r>
      <w:r>
        <w:rPr>
          <w:rFonts w:hint="default" w:ascii="Times New Roman" w:hAnsi="Times New Roman" w:eastAsia="仿宋_GB2312" w:cs="Times New Roman"/>
          <w:color w:val="auto"/>
          <w:sz w:val="32"/>
          <w:szCs w:val="32"/>
          <w:lang w:val="zh-CN"/>
        </w:rPr>
        <w:t>0.00万元，决算数0.00万元，预决算差异率0.00%，主要原因是：</w:t>
      </w:r>
      <w:r>
        <w:rPr>
          <w:rFonts w:hint="default" w:ascii="Times New Roman" w:hAnsi="Times New Roman" w:eastAsia="仿宋_GB2312" w:cs="Times New Roman"/>
          <w:color w:val="auto"/>
          <w:sz w:val="32"/>
          <w:szCs w:val="32"/>
        </w:rPr>
        <w:t>我单位无因公出国（境）费</w:t>
      </w:r>
      <w:r>
        <w:rPr>
          <w:rFonts w:hint="default" w:ascii="Times New Roman" w:hAnsi="Times New Roman" w:eastAsia="仿宋_GB2312" w:cs="Times New Roman"/>
          <w:color w:val="auto"/>
          <w:sz w:val="32"/>
          <w:szCs w:val="32"/>
          <w:lang w:val="zh-CN"/>
        </w:rPr>
        <w:t>；公务用车购置费</w:t>
      </w:r>
      <w:r>
        <w:rPr>
          <w:rFonts w:hint="default" w:ascii="Times New Roman" w:hAnsi="Times New Roman" w:eastAsia="仿宋_GB2312" w:cs="Times New Roman"/>
          <w:color w:val="auto"/>
          <w:sz w:val="32"/>
          <w:szCs w:val="32"/>
        </w:rPr>
        <w:t>全年</w:t>
      </w:r>
      <w:r>
        <w:rPr>
          <w:rFonts w:hint="default" w:ascii="Times New Roman" w:hAnsi="Times New Roman" w:eastAsia="仿宋_GB2312" w:cs="Times New Roman"/>
          <w:color w:val="auto"/>
          <w:sz w:val="32"/>
          <w:szCs w:val="32"/>
          <w:lang w:val="zh-CN"/>
        </w:rPr>
        <w:t>预算数0.00万元，决算数0.00万元，预决算差异率0.00%，主要原因是：</w:t>
      </w:r>
      <w:r>
        <w:rPr>
          <w:rFonts w:hint="default" w:ascii="Times New Roman" w:hAnsi="Times New Roman" w:eastAsia="仿宋_GB2312" w:cs="Times New Roman"/>
          <w:color w:val="auto"/>
          <w:sz w:val="32"/>
          <w:szCs w:val="32"/>
        </w:rPr>
        <w:t>我单位无公务用车购置费</w:t>
      </w:r>
      <w:r>
        <w:rPr>
          <w:rFonts w:hint="default" w:ascii="Times New Roman" w:hAnsi="Times New Roman" w:eastAsia="仿宋_GB2312" w:cs="Times New Roman"/>
          <w:color w:val="auto"/>
          <w:sz w:val="32"/>
          <w:szCs w:val="32"/>
          <w:lang w:val="zh-CN"/>
        </w:rPr>
        <w:t>；公务用车运行费</w:t>
      </w:r>
      <w:r>
        <w:rPr>
          <w:rFonts w:hint="default" w:ascii="Times New Roman" w:hAnsi="Times New Roman" w:eastAsia="仿宋_GB2312" w:cs="Times New Roman"/>
          <w:color w:val="auto"/>
          <w:sz w:val="32"/>
          <w:szCs w:val="32"/>
        </w:rPr>
        <w:t>全年</w:t>
      </w:r>
      <w:r>
        <w:rPr>
          <w:rFonts w:hint="default" w:ascii="Times New Roman" w:hAnsi="Times New Roman" w:eastAsia="仿宋_GB2312" w:cs="Times New Roman"/>
          <w:color w:val="auto"/>
          <w:sz w:val="32"/>
          <w:szCs w:val="32"/>
          <w:lang w:val="zh-CN"/>
        </w:rPr>
        <w:t>预算数0.34万元，决算数0.34万元，预决算差异率</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lang w:val="zh-CN"/>
        </w:rPr>
        <w:t>%，主要原因是：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lang w:val="zh-CN"/>
        </w:rPr>
        <w:t>；公务接待费</w:t>
      </w:r>
      <w:r>
        <w:rPr>
          <w:rFonts w:hint="default" w:ascii="Times New Roman" w:hAnsi="Times New Roman" w:eastAsia="仿宋_GB2312" w:cs="Times New Roman"/>
          <w:color w:val="auto"/>
          <w:sz w:val="32"/>
          <w:szCs w:val="32"/>
        </w:rPr>
        <w:t>全年</w:t>
      </w:r>
      <w:r>
        <w:rPr>
          <w:rFonts w:hint="default" w:ascii="Times New Roman" w:hAnsi="Times New Roman" w:eastAsia="仿宋_GB2312" w:cs="Times New Roman"/>
          <w:color w:val="auto"/>
          <w:sz w:val="32"/>
          <w:szCs w:val="32"/>
          <w:lang w:val="zh-CN"/>
        </w:rPr>
        <w:t>预算数0.00万元，决算数0.00万元，预决算差异率0.00%，主要原因是：</w:t>
      </w:r>
      <w:r>
        <w:rPr>
          <w:rFonts w:hint="default" w:ascii="Times New Roman" w:hAnsi="Times New Roman" w:eastAsia="仿宋_GB2312" w:cs="Times New Roman"/>
          <w:color w:val="auto"/>
          <w:sz w:val="32"/>
          <w:szCs w:val="32"/>
        </w:rPr>
        <w:t>我单位无公务接待费。</w:t>
      </w:r>
    </w:p>
    <w:p w14:paraId="3ABC5F8D">
      <w:pPr>
        <w:ind w:firstLine="640" w:firstLineChars="200"/>
        <w:jc w:val="left"/>
        <w:outlineLvl w:val="1"/>
        <w:rPr>
          <w:rFonts w:hint="default" w:ascii="Times New Roman" w:hAnsi="Times New Roman" w:eastAsia="黑体" w:cs="Times New Roman"/>
          <w:bCs/>
          <w:kern w:val="0"/>
          <w:sz w:val="32"/>
          <w:szCs w:val="32"/>
        </w:rPr>
      </w:pPr>
      <w:bookmarkStart w:id="18" w:name="_Toc5810"/>
      <w:bookmarkStart w:id="19" w:name="_Toc7927"/>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35280C00">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我单位本年度无政府性基金预算财政拨款收入、支出及结转和结余，政府性基金预算财政拨款收入支出决算表为空表。</w:t>
      </w:r>
    </w:p>
    <w:p w14:paraId="5E5AC7B2">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583B8C8E">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24DA1D8C">
      <w:pPr>
        <w:ind w:firstLine="640" w:firstLineChars="200"/>
        <w:jc w:val="left"/>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7AA26323">
      <w:pPr>
        <w:ind w:firstLine="640" w:firstLineChars="200"/>
        <w:jc w:val="left"/>
        <w:outlineLvl w:val="2"/>
        <w:rPr>
          <w:rFonts w:hint="default" w:ascii="Times New Roman" w:hAnsi="Times New Roman" w:eastAsia="黑体" w:cs="Times New Roman"/>
          <w:sz w:val="32"/>
          <w:szCs w:val="32"/>
        </w:rPr>
      </w:pPr>
      <w:bookmarkStart w:id="22" w:name="_Toc14519"/>
      <w:bookmarkStart w:id="23" w:name="_Toc13105"/>
      <w:r>
        <w:rPr>
          <w:rFonts w:hint="default" w:ascii="Times New Roman" w:hAnsi="Times New Roman" w:eastAsia="黑体" w:cs="Times New Roman"/>
          <w:sz w:val="32"/>
          <w:szCs w:val="32"/>
        </w:rPr>
        <w:t>（一）机关运行经费支出情况</w:t>
      </w:r>
      <w:bookmarkEnd w:id="22"/>
      <w:bookmarkEnd w:id="23"/>
    </w:p>
    <w:p w14:paraId="2A7D80C9">
      <w:pPr>
        <w:ind w:firstLine="640" w:firstLineChars="200"/>
        <w:outlineLvl w:val="2"/>
        <w:rPr>
          <w:rFonts w:hint="default" w:ascii="Times New Roman" w:hAnsi="Times New Roman" w:eastAsia="黑体" w:cs="Times New Roman"/>
          <w:sz w:val="32"/>
          <w:szCs w:val="32"/>
        </w:rPr>
      </w:pPr>
      <w:bookmarkStart w:id="24" w:name="_Toc227"/>
      <w:bookmarkStart w:id="25" w:name="_Toc26704"/>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新疆维吾尔自治区专业建设工程质量安全监督站（事业单位）公用经费支出13.70万元，</w:t>
      </w:r>
      <w:r>
        <w:rPr>
          <w:rFonts w:hint="default" w:ascii="Times New Roman" w:hAnsi="Times New Roman" w:eastAsia="仿宋_GB2312" w:cs="Times New Roman"/>
          <w:sz w:val="32"/>
          <w:szCs w:val="32"/>
          <w:lang w:val="zh-CN"/>
        </w:rPr>
        <w:t>比上年减少0.09万元，下降0.6</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2023年</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人在职转退休，1人离职，导致公用经费支出减少。</w:t>
      </w:r>
    </w:p>
    <w:p w14:paraId="75F8B5F7">
      <w:pPr>
        <w:ind w:firstLine="640" w:firstLineChars="200"/>
        <w:jc w:val="left"/>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p>
    <w:p w14:paraId="25F52013">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2023年度政府采购支出总额4.61万元，其中：政府采购货物支出3.27万元、政府采购工程支出0.00万元、政府采购服务支出1.34万元。</w:t>
      </w:r>
    </w:p>
    <w:p w14:paraId="3229F2DB">
      <w:pPr>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zh-CN"/>
        </w:rPr>
        <w:t>授予中小企业合同金额3.12万元，占政府采购支出总额的67.</w:t>
      </w:r>
      <w:r>
        <w:rPr>
          <w:rFonts w:hint="eastAsia" w:eastAsia="仿宋_GB2312" w:cs="Times New Roman"/>
          <w:color w:val="auto"/>
          <w:sz w:val="32"/>
          <w:szCs w:val="32"/>
          <w:lang w:val="en-US" w:eastAsia="zh-CN"/>
        </w:rPr>
        <w:t>68</w:t>
      </w:r>
      <w:r>
        <w:rPr>
          <w:rFonts w:hint="default" w:ascii="Times New Roman" w:hAnsi="Times New Roman" w:eastAsia="仿宋_GB2312" w:cs="Times New Roman"/>
          <w:color w:val="auto"/>
          <w:sz w:val="32"/>
          <w:szCs w:val="32"/>
          <w:lang w:val="zh-CN"/>
        </w:rPr>
        <w:t>%，其中：授予小微企业合同金额2.18万元，占政府采购支出总额的47.</w:t>
      </w:r>
      <w:r>
        <w:rPr>
          <w:rFonts w:hint="default" w:ascii="Times New Roman" w:hAnsi="Times New Roman" w:eastAsia="仿宋_GB2312" w:cs="Times New Roman"/>
          <w:color w:val="auto"/>
          <w:sz w:val="32"/>
          <w:szCs w:val="32"/>
          <w:lang w:val="en-US" w:eastAsia="zh-CN"/>
        </w:rPr>
        <w:t>29</w:t>
      </w:r>
      <w:r>
        <w:rPr>
          <w:rFonts w:hint="default" w:ascii="Times New Roman" w:hAnsi="Times New Roman" w:eastAsia="仿宋_GB2312" w:cs="Times New Roman"/>
          <w:color w:val="auto"/>
          <w:sz w:val="32"/>
          <w:szCs w:val="32"/>
          <w:lang w:val="zh-CN"/>
        </w:rPr>
        <w:t>%</w:t>
      </w:r>
      <w:r>
        <w:rPr>
          <w:rFonts w:hint="default" w:ascii="Times New Roman" w:hAnsi="Times New Roman" w:eastAsia="仿宋_GB2312" w:cs="Times New Roman"/>
          <w:color w:val="auto"/>
          <w:sz w:val="32"/>
          <w:szCs w:val="32"/>
        </w:rPr>
        <w:t>。</w:t>
      </w:r>
    </w:p>
    <w:p w14:paraId="67714A30">
      <w:pPr>
        <w:ind w:firstLine="640" w:firstLineChars="200"/>
        <w:jc w:val="left"/>
        <w:rPr>
          <w:rFonts w:hint="default" w:ascii="Times New Roman" w:hAnsi="Times New Roman" w:eastAsia="黑体" w:cs="Times New Roman"/>
          <w:sz w:val="32"/>
          <w:szCs w:val="30"/>
          <w:lang w:val="zh-CN"/>
        </w:rPr>
      </w:pPr>
      <w:bookmarkStart w:id="26" w:name="_Toc4591"/>
      <w:bookmarkStart w:id="27" w:name="_Toc8391"/>
      <w:r>
        <w:rPr>
          <w:rFonts w:hint="default" w:ascii="Times New Roman" w:hAnsi="Times New Roman" w:eastAsia="黑体" w:cs="Times New Roman"/>
          <w:sz w:val="32"/>
          <w:szCs w:val="30"/>
          <w:lang w:val="zh-CN"/>
        </w:rPr>
        <w:t>（三）国有资产占用情况说明</w:t>
      </w:r>
      <w:bookmarkEnd w:id="26"/>
      <w:bookmarkEnd w:id="27"/>
    </w:p>
    <w:p w14:paraId="1D047B11">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截至2023</w:t>
      </w:r>
      <w:r>
        <w:rPr>
          <w:rFonts w:hint="default" w:ascii="Times New Roman" w:hAnsi="Times New Roman" w:eastAsia="仿宋_GB2312" w:cs="Times New Roman"/>
          <w:sz w:val="32"/>
          <w:szCs w:val="32"/>
          <w:lang w:val="zh-CN"/>
        </w:rPr>
        <w:t>年</w:t>
      </w:r>
      <w:r>
        <w:rPr>
          <w:rFonts w:hint="default" w:ascii="Times New Roman" w:hAnsi="Times New Roman" w:eastAsia="仿宋_GB2312" w:cs="Times New Roman"/>
          <w:sz w:val="32"/>
          <w:szCs w:val="32"/>
        </w:rPr>
        <w:t>12月31日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bookmarkStart w:id="48" w:name="_GoBack"/>
      <w:bookmarkEnd w:id="48"/>
      <w:r>
        <w:rPr>
          <w:rFonts w:hint="default" w:ascii="Times New Roman" w:hAnsi="Times New Roman" w:eastAsia="仿宋_GB2312" w:cs="Times New Roman"/>
          <w:sz w:val="32"/>
          <w:szCs w:val="32"/>
          <w:lang w:val="zh-CN"/>
        </w:rPr>
        <w:t>87.34</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屋0.0平方米，价值0.00万元。车辆2辆，价值42.78万元，其中：副部（省）级及以上领导用车0辆、主要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用车0辆、机要通信用车0辆、应急保障用车0辆、执法执勤用车0辆、特种专业技术用车0辆、离退休干部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用车0辆、其他用车2辆，其他用车主要是：</w:t>
      </w:r>
      <w:r>
        <w:rPr>
          <w:rFonts w:hint="default" w:ascii="Times New Roman" w:hAnsi="Times New Roman" w:eastAsia="仿宋_GB2312" w:cs="Times New Roman"/>
          <w:sz w:val="32"/>
          <w:szCs w:val="32"/>
        </w:rPr>
        <w:t>监督站开展质量安全监督检查用车</w:t>
      </w:r>
      <w:r>
        <w:rPr>
          <w:rFonts w:hint="default" w:ascii="Times New Roman" w:hAnsi="Times New Roman" w:eastAsia="仿宋_GB2312" w:cs="Times New Roman"/>
          <w:sz w:val="32"/>
          <w:szCs w:val="32"/>
          <w:lang w:val="zh-CN"/>
        </w:rPr>
        <w:t>；单价100万元（含）以上设备（不含车辆）0</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4DF13B7F">
      <w:pPr>
        <w:ind w:firstLine="640" w:firstLineChars="200"/>
        <w:jc w:val="left"/>
        <w:outlineLvl w:val="1"/>
        <w:rPr>
          <w:rFonts w:hint="default" w:ascii="Times New Roman" w:hAnsi="Times New Roman" w:eastAsia="黑体" w:cs="Times New Roman"/>
          <w:bCs/>
          <w:kern w:val="0"/>
          <w:sz w:val="32"/>
          <w:szCs w:val="32"/>
        </w:rPr>
      </w:pPr>
      <w:bookmarkStart w:id="28" w:name="_Toc435"/>
      <w:bookmarkStart w:id="29" w:name="_Toc11283"/>
      <w:r>
        <w:rPr>
          <w:rFonts w:hint="default" w:ascii="Times New Roman" w:hAnsi="Times New Roman" w:eastAsia="黑体" w:cs="Times New Roman"/>
          <w:bCs/>
          <w:kern w:val="0"/>
          <w:sz w:val="32"/>
          <w:szCs w:val="32"/>
        </w:rPr>
        <w:t>十一、预算绩效的情况说明</w:t>
      </w:r>
      <w:bookmarkEnd w:id="28"/>
      <w:bookmarkEnd w:id="29"/>
    </w:p>
    <w:p w14:paraId="0BBFD03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根据预算绩效管理要求，我单位2023年度</w:t>
      </w:r>
      <w:r>
        <w:rPr>
          <w:rFonts w:hint="default" w:ascii="Times New Roman" w:hAnsi="Times New Roman" w:eastAsia="仿宋_GB2312" w:cs="Times New Roman"/>
          <w:sz w:val="32"/>
          <w:szCs w:val="32"/>
          <w:lang w:val="en-US" w:eastAsia="zh-CN"/>
        </w:rPr>
        <w:t>预算绩效管理整体支出绩效自评表</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个，全年预算总额</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万元，实际执行总额</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w:t>
      </w:r>
      <w:r>
        <w:rPr>
          <w:rFonts w:hint="eastAsia" w:eastAsia="仿宋_GB2312" w:cs="Times New Roman"/>
          <w:sz w:val="32"/>
          <w:szCs w:val="32"/>
          <w:lang w:val="en-US"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预算绩效评价项目2个，全年预算数25.10万元，全年执行数24.98万元。预算绩效管理取得的成效：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三是突出做好质量和安全监督检查工作，确保项目质量和效益，助力经济高质量发展，维护社会稳定和长治久安。发现的问题及原因：根据重点工作安排，在项目支出绩效监控工作中，存在预算整体支出绩效目标与产出的数量指标、质量指标缺乏对应性，关联性和可操作性不强。存在对项目绩效目标的设定和各项指标的理解、认识不到位，导致项目绩效目标不够明确、不够细化、不够量化、缺乏可衡量性和可实现性。执行周期较长，影响了该项目的预算执行率，降低了绩效监控及绩效评价报告工作质量。下一步改进措施：一是建成单位系统内控体系，进一步规范资金使用管理全流程，依程序高质量完成各项工作任务。二是在今后的绩效目标设定过程中，注意考虑如疫情等突发事件的影响，制定出更加符合实际的绩效目标，加强绩效目标对管理工作的指导作用。具体项目自评情况</w:t>
      </w:r>
      <w:r>
        <w:rPr>
          <w:rFonts w:hint="default" w:ascii="Times New Roman" w:hAnsi="Times New Roman" w:eastAsia="仿宋_GB2312" w:cs="Times New Roman"/>
          <w:sz w:val="32"/>
          <w:szCs w:val="32"/>
          <w:lang w:val="en-US" w:eastAsia="zh-CN"/>
        </w:rPr>
        <w:t>附绩效自评表及自评报告</w:t>
      </w:r>
      <w:r>
        <w:rPr>
          <w:rFonts w:hint="default" w:ascii="Times New Roman" w:hAnsi="Times New Roman" w:eastAsia="仿宋_GB2312" w:cs="Times New Roman"/>
          <w:sz w:val="32"/>
          <w:szCs w:val="32"/>
          <w:lang w:eastAsia="zh-CN"/>
        </w:rPr>
        <w:t>。</w:t>
      </w:r>
    </w:p>
    <w:p w14:paraId="6240662D">
      <w:pPr>
        <w:ind w:firstLine="640" w:firstLineChars="200"/>
        <w:jc w:val="lef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38886A94">
      <w:pPr>
        <w:ind w:firstLine="640" w:firstLineChars="200"/>
        <w:jc w:val="left"/>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rPr>
        <w:t>本单位无其他需说明事项</w:t>
      </w:r>
      <w:r>
        <w:rPr>
          <w:rFonts w:hint="default" w:ascii="Times New Roman" w:hAnsi="Times New Roman" w:eastAsia="仿宋_GB2312" w:cs="Times New Roman"/>
          <w:kern w:val="0"/>
          <w:sz w:val="32"/>
          <w:szCs w:val="32"/>
          <w:lang w:eastAsia="zh-CN"/>
        </w:rPr>
        <w:t>。</w:t>
      </w:r>
    </w:p>
    <w:p w14:paraId="6C3A01BC">
      <w:pPr>
        <w:jc w:val="center"/>
        <w:outlineLvl w:val="0"/>
        <w:rPr>
          <w:rFonts w:hint="default" w:ascii="Times New Roman" w:hAnsi="Times New Roman" w:eastAsia="黑体" w:cs="Times New Roman"/>
          <w:sz w:val="32"/>
          <w:szCs w:val="32"/>
        </w:rPr>
      </w:pPr>
      <w:bookmarkStart w:id="30" w:name="_Toc3250"/>
      <w:bookmarkStart w:id="31" w:name="_Toc24143"/>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4C3BB3CA">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648AACD8">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6C23D453">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3F5D10A2">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6C36607F">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7DCAEB54">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指除上述“财政拨款收入”、“事业收入”、“经营收入”、“附属单位上缴收入”等之外取得的收入。</w:t>
      </w:r>
    </w:p>
    <w:p w14:paraId="0AC9D9FE">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6202366A">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9525AA">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63602F47">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61FB887C">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4DA3FB0B">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6852021D">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C152DD">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047DB0FA">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0139F7CA">
      <w:pPr>
        <w:ind w:firstLine="640" w:firstLineChars="200"/>
        <w:outlineLvl w:val="1"/>
        <w:rPr>
          <w:rFonts w:hint="default" w:ascii="Times New Roman" w:hAnsi="Times New Roman" w:eastAsia="仿宋_GB2312" w:cs="Times New Roman"/>
          <w:bCs/>
          <w:kern w:val="0"/>
          <w:sz w:val="32"/>
          <w:szCs w:val="32"/>
        </w:rPr>
      </w:pPr>
      <w:bookmarkStart w:id="32" w:name="_Toc6062"/>
      <w:bookmarkStart w:id="33" w:name="_Toc2183"/>
      <w:r>
        <w:rPr>
          <w:rFonts w:hint="default" w:ascii="Times New Roman" w:hAnsi="Times New Roman" w:eastAsia="仿宋_GB2312" w:cs="Times New Roman"/>
          <w:bCs/>
          <w:kern w:val="0"/>
          <w:sz w:val="32"/>
          <w:szCs w:val="32"/>
        </w:rPr>
        <w:t>一、《收入支出决算总表》</w:t>
      </w:r>
      <w:bookmarkEnd w:id="32"/>
      <w:bookmarkEnd w:id="33"/>
    </w:p>
    <w:p w14:paraId="0D5E7166">
      <w:pPr>
        <w:ind w:firstLine="640" w:firstLineChars="200"/>
        <w:outlineLvl w:val="1"/>
        <w:rPr>
          <w:rFonts w:hint="default" w:ascii="Times New Roman" w:hAnsi="Times New Roman" w:eastAsia="仿宋_GB2312" w:cs="Times New Roman"/>
          <w:bCs/>
          <w:kern w:val="0"/>
          <w:sz w:val="32"/>
          <w:szCs w:val="32"/>
        </w:rPr>
      </w:pPr>
      <w:bookmarkStart w:id="34" w:name="_Toc30364"/>
      <w:bookmarkStart w:id="35" w:name="_Toc24532"/>
      <w:r>
        <w:rPr>
          <w:rFonts w:hint="default" w:ascii="Times New Roman" w:hAnsi="Times New Roman" w:eastAsia="仿宋_GB2312" w:cs="Times New Roman"/>
          <w:bCs/>
          <w:kern w:val="0"/>
          <w:sz w:val="32"/>
          <w:szCs w:val="32"/>
        </w:rPr>
        <w:t>二、《收入决算表》</w:t>
      </w:r>
      <w:bookmarkEnd w:id="34"/>
      <w:bookmarkEnd w:id="35"/>
    </w:p>
    <w:p w14:paraId="2F8B4555">
      <w:pPr>
        <w:ind w:firstLine="640" w:firstLineChars="200"/>
        <w:outlineLvl w:val="1"/>
        <w:rPr>
          <w:rFonts w:hint="default" w:ascii="Times New Roman" w:hAnsi="Times New Roman" w:eastAsia="仿宋_GB2312" w:cs="Times New Roman"/>
          <w:bCs/>
          <w:kern w:val="0"/>
          <w:sz w:val="32"/>
          <w:szCs w:val="32"/>
        </w:rPr>
      </w:pPr>
      <w:bookmarkStart w:id="36" w:name="_Toc21304"/>
      <w:bookmarkStart w:id="37" w:name="_Toc32434"/>
      <w:r>
        <w:rPr>
          <w:rFonts w:hint="default" w:ascii="Times New Roman" w:hAnsi="Times New Roman" w:eastAsia="仿宋_GB2312" w:cs="Times New Roman"/>
          <w:bCs/>
          <w:kern w:val="0"/>
          <w:sz w:val="32"/>
          <w:szCs w:val="32"/>
        </w:rPr>
        <w:t>三、《支出决算表》</w:t>
      </w:r>
      <w:bookmarkEnd w:id="36"/>
      <w:bookmarkEnd w:id="37"/>
    </w:p>
    <w:p w14:paraId="06B3E098">
      <w:pPr>
        <w:ind w:firstLine="640" w:firstLineChars="200"/>
        <w:outlineLvl w:val="1"/>
        <w:rPr>
          <w:rFonts w:hint="default" w:ascii="Times New Roman" w:hAnsi="Times New Roman" w:eastAsia="仿宋_GB2312" w:cs="Times New Roman"/>
          <w:bCs/>
          <w:kern w:val="0"/>
          <w:sz w:val="32"/>
          <w:szCs w:val="32"/>
        </w:rPr>
      </w:pPr>
      <w:bookmarkStart w:id="38" w:name="_Toc14238"/>
      <w:bookmarkStart w:id="39" w:name="_Toc28786"/>
      <w:r>
        <w:rPr>
          <w:rFonts w:hint="default" w:ascii="Times New Roman" w:hAnsi="Times New Roman" w:eastAsia="仿宋_GB2312" w:cs="Times New Roman"/>
          <w:bCs/>
          <w:kern w:val="0"/>
          <w:sz w:val="32"/>
          <w:szCs w:val="32"/>
        </w:rPr>
        <w:t>四、《财政拨款收入支出决算总表》</w:t>
      </w:r>
      <w:bookmarkEnd w:id="38"/>
      <w:bookmarkEnd w:id="39"/>
    </w:p>
    <w:p w14:paraId="767C22BE">
      <w:pPr>
        <w:ind w:firstLine="640" w:firstLineChars="200"/>
        <w:outlineLvl w:val="1"/>
        <w:rPr>
          <w:rFonts w:hint="default" w:ascii="Times New Roman" w:hAnsi="Times New Roman" w:eastAsia="仿宋_GB2312" w:cs="Times New Roman"/>
          <w:bCs/>
          <w:kern w:val="0"/>
          <w:sz w:val="32"/>
          <w:szCs w:val="32"/>
        </w:rPr>
      </w:pPr>
      <w:bookmarkStart w:id="40" w:name="_Toc10347"/>
      <w:bookmarkStart w:id="41" w:name="_Toc14869"/>
      <w:r>
        <w:rPr>
          <w:rFonts w:hint="default" w:ascii="Times New Roman" w:hAnsi="Times New Roman" w:eastAsia="仿宋_GB2312" w:cs="Times New Roman"/>
          <w:bCs/>
          <w:kern w:val="0"/>
          <w:sz w:val="32"/>
          <w:szCs w:val="32"/>
        </w:rPr>
        <w:t>五、《一般公共预算财政拨款支出决算表》</w:t>
      </w:r>
      <w:bookmarkEnd w:id="40"/>
      <w:bookmarkEnd w:id="41"/>
    </w:p>
    <w:p w14:paraId="4555BD50">
      <w:pPr>
        <w:ind w:firstLine="640" w:firstLineChars="200"/>
        <w:outlineLvl w:val="1"/>
        <w:rPr>
          <w:rFonts w:hint="default" w:ascii="Times New Roman" w:hAnsi="Times New Roman" w:eastAsia="仿宋_GB2312" w:cs="Times New Roman"/>
          <w:bCs/>
          <w:kern w:val="0"/>
          <w:sz w:val="32"/>
          <w:szCs w:val="32"/>
        </w:rPr>
      </w:pPr>
      <w:bookmarkStart w:id="42" w:name="_Toc8884"/>
      <w:bookmarkStart w:id="43" w:name="_Toc5626"/>
      <w:r>
        <w:rPr>
          <w:rFonts w:hint="default" w:ascii="Times New Roman" w:hAnsi="Times New Roman" w:eastAsia="仿宋_GB2312" w:cs="Times New Roman"/>
          <w:bCs/>
          <w:kern w:val="0"/>
          <w:sz w:val="32"/>
          <w:szCs w:val="32"/>
        </w:rPr>
        <w:t>六、《一般公共预算财政拨款基本支出决算表》</w:t>
      </w:r>
      <w:bookmarkEnd w:id="42"/>
      <w:bookmarkEnd w:id="43"/>
    </w:p>
    <w:p w14:paraId="357FDAE1">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32663"/>
      <w:bookmarkStart w:id="45" w:name="_Toc29106"/>
      <w:r>
        <w:rPr>
          <w:rFonts w:hint="default" w:ascii="Times New Roman" w:hAnsi="Times New Roman" w:eastAsia="仿宋_GB2312" w:cs="Times New Roman"/>
          <w:bCs/>
          <w:kern w:val="0"/>
          <w:sz w:val="32"/>
          <w:szCs w:val="32"/>
        </w:rPr>
        <w:t>《财政拨款“三公”经费支出决算表》</w:t>
      </w:r>
      <w:bookmarkEnd w:id="44"/>
      <w:bookmarkEnd w:id="45"/>
    </w:p>
    <w:p w14:paraId="1A3D55CA">
      <w:pPr>
        <w:ind w:firstLine="640" w:firstLineChars="200"/>
        <w:outlineLvl w:val="1"/>
        <w:rPr>
          <w:rFonts w:hint="default" w:ascii="Times New Roman" w:hAnsi="Times New Roman" w:eastAsia="仿宋_GB2312" w:cs="Times New Roman"/>
          <w:bCs/>
          <w:kern w:val="0"/>
          <w:sz w:val="32"/>
          <w:szCs w:val="32"/>
        </w:rPr>
      </w:pPr>
      <w:bookmarkStart w:id="46" w:name="_Toc7643"/>
      <w:bookmarkStart w:id="47" w:name="_Toc545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43F1885E">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15B8519C">
      <w:pPr>
        <w:ind w:firstLine="640" w:firstLineChars="200"/>
        <w:rPr>
          <w:rFonts w:hint="default" w:ascii="Times New Roman" w:hAnsi="Times New Roman" w:eastAsia="仿宋_GB2312" w:cs="Times New Roman"/>
          <w:sz w:val="32"/>
          <w:szCs w:val="32"/>
        </w:rPr>
      </w:pPr>
    </w:p>
    <w:p w14:paraId="741C80A5">
      <w:pPr>
        <w:ind w:firstLine="640" w:firstLineChars="200"/>
        <w:outlineLvl w:val="1"/>
        <w:rPr>
          <w:rFonts w:hint="default" w:ascii="Times New Roman" w:hAnsi="Times New Roman" w:eastAsia="黑体" w:cs="Times New Roman"/>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170C38-1037-4F66-BBBB-78D3BA414B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6EDBB22-17DD-42D3-AF35-AB6BF3FEEB7A}"/>
  </w:font>
  <w:font w:name="仿宋_GB2312">
    <w:panose1 w:val="02010609030101010101"/>
    <w:charset w:val="86"/>
    <w:family w:val="modern"/>
    <w:pitch w:val="default"/>
    <w:sig w:usb0="00000001" w:usb1="080E0000" w:usb2="00000000" w:usb3="00000000" w:csb0="00040000" w:csb1="00000000"/>
    <w:embedRegular r:id="rId3" w:fontKey="{50A938B3-97FC-44BC-9800-73AA96784F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5E9D1">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C98FE5A">
                <w:pPr>
                  <w:pStyle w:val="5"/>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ZkMjYyYzAxYjhmOGVmYjRhNDdiNWU4MjMwYTAyNjgifQ=="/>
    <w:docVar w:name="KSO_WPS_MARK_KEY" w:val="橄婶㟠ɌУ찔孉"/>
  </w:docVars>
  <w:rsids>
    <w:rsidRoot w:val="00172A27"/>
    <w:rsid w:val="00147D8B"/>
    <w:rsid w:val="00213C59"/>
    <w:rsid w:val="003210CE"/>
    <w:rsid w:val="003C63E9"/>
    <w:rsid w:val="003E095E"/>
    <w:rsid w:val="00440951"/>
    <w:rsid w:val="004A538A"/>
    <w:rsid w:val="0053028E"/>
    <w:rsid w:val="005A56AC"/>
    <w:rsid w:val="006779F9"/>
    <w:rsid w:val="00741190"/>
    <w:rsid w:val="008A5F96"/>
    <w:rsid w:val="00954E93"/>
    <w:rsid w:val="009928F4"/>
    <w:rsid w:val="00AE588F"/>
    <w:rsid w:val="00B70D59"/>
    <w:rsid w:val="00BB3322"/>
    <w:rsid w:val="00D831BF"/>
    <w:rsid w:val="00DA3BD1"/>
    <w:rsid w:val="00E701ED"/>
    <w:rsid w:val="00ED67B8"/>
    <w:rsid w:val="00EF39BF"/>
    <w:rsid w:val="00F52A8D"/>
    <w:rsid w:val="00FC320D"/>
    <w:rsid w:val="019404F8"/>
    <w:rsid w:val="01AD5116"/>
    <w:rsid w:val="023F0464"/>
    <w:rsid w:val="02BD3108"/>
    <w:rsid w:val="02F73D26"/>
    <w:rsid w:val="034D4FEF"/>
    <w:rsid w:val="035D1785"/>
    <w:rsid w:val="039F47CE"/>
    <w:rsid w:val="03E05CE8"/>
    <w:rsid w:val="03F973EE"/>
    <w:rsid w:val="043E5B56"/>
    <w:rsid w:val="04C04386"/>
    <w:rsid w:val="04D96608"/>
    <w:rsid w:val="04FA68C4"/>
    <w:rsid w:val="053F5AE6"/>
    <w:rsid w:val="057C0B0F"/>
    <w:rsid w:val="0591547A"/>
    <w:rsid w:val="05EF4B48"/>
    <w:rsid w:val="05F76ECA"/>
    <w:rsid w:val="06792773"/>
    <w:rsid w:val="06F376BE"/>
    <w:rsid w:val="07093795"/>
    <w:rsid w:val="070E0992"/>
    <w:rsid w:val="07804730"/>
    <w:rsid w:val="079052BE"/>
    <w:rsid w:val="07CF7BC5"/>
    <w:rsid w:val="08145C21"/>
    <w:rsid w:val="08422688"/>
    <w:rsid w:val="085854ED"/>
    <w:rsid w:val="0879188F"/>
    <w:rsid w:val="08A0354D"/>
    <w:rsid w:val="08CD4C49"/>
    <w:rsid w:val="09114954"/>
    <w:rsid w:val="09322582"/>
    <w:rsid w:val="095A5B83"/>
    <w:rsid w:val="096466E3"/>
    <w:rsid w:val="0968304D"/>
    <w:rsid w:val="09AF3D17"/>
    <w:rsid w:val="0A1A1E73"/>
    <w:rsid w:val="0A7809B7"/>
    <w:rsid w:val="0A7B4867"/>
    <w:rsid w:val="0A840954"/>
    <w:rsid w:val="0A9928ED"/>
    <w:rsid w:val="0B137925"/>
    <w:rsid w:val="0B61769D"/>
    <w:rsid w:val="0B8C3ECC"/>
    <w:rsid w:val="0B9C639D"/>
    <w:rsid w:val="0BB052B2"/>
    <w:rsid w:val="0BD33FFC"/>
    <w:rsid w:val="0BE97AC1"/>
    <w:rsid w:val="0BF71DAF"/>
    <w:rsid w:val="0C1C4780"/>
    <w:rsid w:val="0C3613A3"/>
    <w:rsid w:val="0C5E519C"/>
    <w:rsid w:val="0C7227A7"/>
    <w:rsid w:val="0CA52EE8"/>
    <w:rsid w:val="0CBD6988"/>
    <w:rsid w:val="0CD208AC"/>
    <w:rsid w:val="0D4903E8"/>
    <w:rsid w:val="0D7A4A46"/>
    <w:rsid w:val="0E2E1697"/>
    <w:rsid w:val="0E640559"/>
    <w:rsid w:val="0F1113DA"/>
    <w:rsid w:val="0F78534A"/>
    <w:rsid w:val="0F89358A"/>
    <w:rsid w:val="0F8C6D51"/>
    <w:rsid w:val="105B0B5E"/>
    <w:rsid w:val="10817E99"/>
    <w:rsid w:val="112E58D0"/>
    <w:rsid w:val="11731CAC"/>
    <w:rsid w:val="119500A0"/>
    <w:rsid w:val="11C0733B"/>
    <w:rsid w:val="11D50D17"/>
    <w:rsid w:val="120E0809"/>
    <w:rsid w:val="126E269F"/>
    <w:rsid w:val="127F665A"/>
    <w:rsid w:val="12C34799"/>
    <w:rsid w:val="12F7068C"/>
    <w:rsid w:val="13337B71"/>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BE612E"/>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75058"/>
    <w:rsid w:val="20DC1AB9"/>
    <w:rsid w:val="20DD6197"/>
    <w:rsid w:val="212631E0"/>
    <w:rsid w:val="21A53757"/>
    <w:rsid w:val="21D10D15"/>
    <w:rsid w:val="221236C6"/>
    <w:rsid w:val="22D7662C"/>
    <w:rsid w:val="22F52960"/>
    <w:rsid w:val="23326B7F"/>
    <w:rsid w:val="2380045B"/>
    <w:rsid w:val="23BC04D2"/>
    <w:rsid w:val="23EF1892"/>
    <w:rsid w:val="2483647E"/>
    <w:rsid w:val="24A32D55"/>
    <w:rsid w:val="25292727"/>
    <w:rsid w:val="252E5CA9"/>
    <w:rsid w:val="256F2FC3"/>
    <w:rsid w:val="256F7692"/>
    <w:rsid w:val="25BA2154"/>
    <w:rsid w:val="25C8773F"/>
    <w:rsid w:val="264A7253"/>
    <w:rsid w:val="268A3AF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43BBD"/>
    <w:rsid w:val="2A053397"/>
    <w:rsid w:val="2A145E96"/>
    <w:rsid w:val="2A2131BB"/>
    <w:rsid w:val="2AF5378F"/>
    <w:rsid w:val="2BB94DBF"/>
    <w:rsid w:val="2C543950"/>
    <w:rsid w:val="2C6F314E"/>
    <w:rsid w:val="2CC206BE"/>
    <w:rsid w:val="2D1136DF"/>
    <w:rsid w:val="2D20606D"/>
    <w:rsid w:val="2DB87198"/>
    <w:rsid w:val="2DB93C54"/>
    <w:rsid w:val="2E3D144C"/>
    <w:rsid w:val="2E891204"/>
    <w:rsid w:val="2EE27155"/>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74061F"/>
    <w:rsid w:val="34A57D4B"/>
    <w:rsid w:val="34C13589"/>
    <w:rsid w:val="353369E3"/>
    <w:rsid w:val="358931C8"/>
    <w:rsid w:val="35E00D72"/>
    <w:rsid w:val="36965B9D"/>
    <w:rsid w:val="36BB229E"/>
    <w:rsid w:val="36C549FD"/>
    <w:rsid w:val="36F903EC"/>
    <w:rsid w:val="37A755DD"/>
    <w:rsid w:val="37F94FA0"/>
    <w:rsid w:val="380D3381"/>
    <w:rsid w:val="38115B1F"/>
    <w:rsid w:val="385E3AC3"/>
    <w:rsid w:val="387D6B9E"/>
    <w:rsid w:val="38B75FF0"/>
    <w:rsid w:val="38D45016"/>
    <w:rsid w:val="38D90432"/>
    <w:rsid w:val="3914510A"/>
    <w:rsid w:val="3926770B"/>
    <w:rsid w:val="398D3668"/>
    <w:rsid w:val="39DA0497"/>
    <w:rsid w:val="3A175247"/>
    <w:rsid w:val="3A893816"/>
    <w:rsid w:val="3A893B6D"/>
    <w:rsid w:val="3AD1763A"/>
    <w:rsid w:val="3B6716E3"/>
    <w:rsid w:val="3B6C6B2D"/>
    <w:rsid w:val="3C242659"/>
    <w:rsid w:val="3C96719C"/>
    <w:rsid w:val="3CA72BE8"/>
    <w:rsid w:val="3CF37F8C"/>
    <w:rsid w:val="3D137554"/>
    <w:rsid w:val="3D5275AC"/>
    <w:rsid w:val="3DCC2473"/>
    <w:rsid w:val="3DE11FCD"/>
    <w:rsid w:val="3DEB0883"/>
    <w:rsid w:val="3E2527BF"/>
    <w:rsid w:val="3E731662"/>
    <w:rsid w:val="3E7C38CA"/>
    <w:rsid w:val="3E8168DD"/>
    <w:rsid w:val="3EA7725F"/>
    <w:rsid w:val="3EB03713"/>
    <w:rsid w:val="3EBF1A11"/>
    <w:rsid w:val="3EC52607"/>
    <w:rsid w:val="3EEC6CEF"/>
    <w:rsid w:val="3EFE69D5"/>
    <w:rsid w:val="3F183429"/>
    <w:rsid w:val="3FB77A1D"/>
    <w:rsid w:val="3FDC3674"/>
    <w:rsid w:val="3FED7F8A"/>
    <w:rsid w:val="40094AEF"/>
    <w:rsid w:val="405470BD"/>
    <w:rsid w:val="406F74D1"/>
    <w:rsid w:val="40794A29"/>
    <w:rsid w:val="40834692"/>
    <w:rsid w:val="40D13FCC"/>
    <w:rsid w:val="41431AD5"/>
    <w:rsid w:val="414B3C0F"/>
    <w:rsid w:val="41796453"/>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5667D0"/>
    <w:rsid w:val="488727DB"/>
    <w:rsid w:val="48B82268"/>
    <w:rsid w:val="48C354B3"/>
    <w:rsid w:val="493D58B5"/>
    <w:rsid w:val="494A7A04"/>
    <w:rsid w:val="49D356DA"/>
    <w:rsid w:val="4A0A26D2"/>
    <w:rsid w:val="4A2019A5"/>
    <w:rsid w:val="4A241A0B"/>
    <w:rsid w:val="4A7B2875"/>
    <w:rsid w:val="4A934476"/>
    <w:rsid w:val="4AAA220A"/>
    <w:rsid w:val="4AE12E67"/>
    <w:rsid w:val="4B4C0111"/>
    <w:rsid w:val="4B607C8E"/>
    <w:rsid w:val="4B6C4CC7"/>
    <w:rsid w:val="4B8553A9"/>
    <w:rsid w:val="4BDB3730"/>
    <w:rsid w:val="4C200F7A"/>
    <w:rsid w:val="4C823343"/>
    <w:rsid w:val="4CEE3180"/>
    <w:rsid w:val="4D0F4AF6"/>
    <w:rsid w:val="4DF94F37"/>
    <w:rsid w:val="4E0A1DD5"/>
    <w:rsid w:val="4E3160E5"/>
    <w:rsid w:val="4E4D37AF"/>
    <w:rsid w:val="4E8C6496"/>
    <w:rsid w:val="4EB8358F"/>
    <w:rsid w:val="4EFD18DE"/>
    <w:rsid w:val="4F144236"/>
    <w:rsid w:val="4F663C87"/>
    <w:rsid w:val="4F7E29A8"/>
    <w:rsid w:val="4F9E1FFC"/>
    <w:rsid w:val="50447CC2"/>
    <w:rsid w:val="506B28C6"/>
    <w:rsid w:val="50874A7C"/>
    <w:rsid w:val="50895EE7"/>
    <w:rsid w:val="50921B9D"/>
    <w:rsid w:val="50C44FA8"/>
    <w:rsid w:val="50D16158"/>
    <w:rsid w:val="50DB5F45"/>
    <w:rsid w:val="51025EB1"/>
    <w:rsid w:val="51141503"/>
    <w:rsid w:val="518D0ED5"/>
    <w:rsid w:val="525C687F"/>
    <w:rsid w:val="52F647F7"/>
    <w:rsid w:val="52F92565"/>
    <w:rsid w:val="530C5F40"/>
    <w:rsid w:val="53D03877"/>
    <w:rsid w:val="541B7D9D"/>
    <w:rsid w:val="542F73CA"/>
    <w:rsid w:val="5430786D"/>
    <w:rsid w:val="545A1D2A"/>
    <w:rsid w:val="54C811C0"/>
    <w:rsid w:val="556A442D"/>
    <w:rsid w:val="55DA564E"/>
    <w:rsid w:val="5604127D"/>
    <w:rsid w:val="56166703"/>
    <w:rsid w:val="56510474"/>
    <w:rsid w:val="56861525"/>
    <w:rsid w:val="56A93273"/>
    <w:rsid w:val="56BD550C"/>
    <w:rsid w:val="56CA56C3"/>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5477DD"/>
    <w:rsid w:val="5CBB0CE2"/>
    <w:rsid w:val="5CC17177"/>
    <w:rsid w:val="5CF306BC"/>
    <w:rsid w:val="5D3F3D64"/>
    <w:rsid w:val="5D833043"/>
    <w:rsid w:val="5D861BCD"/>
    <w:rsid w:val="5D8874CE"/>
    <w:rsid w:val="5DD92690"/>
    <w:rsid w:val="5DDB1CFD"/>
    <w:rsid w:val="5E7E6D93"/>
    <w:rsid w:val="5ED44800"/>
    <w:rsid w:val="5F1C0A86"/>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B27D65"/>
    <w:rsid w:val="68DB0208"/>
    <w:rsid w:val="68FB170C"/>
    <w:rsid w:val="691B3D98"/>
    <w:rsid w:val="693748F0"/>
    <w:rsid w:val="69846A0E"/>
    <w:rsid w:val="69AA1366"/>
    <w:rsid w:val="69AD798C"/>
    <w:rsid w:val="69D005C0"/>
    <w:rsid w:val="69D80B96"/>
    <w:rsid w:val="6A3C0286"/>
    <w:rsid w:val="6B68175F"/>
    <w:rsid w:val="6BFD799F"/>
    <w:rsid w:val="6C4A2E5A"/>
    <w:rsid w:val="6C8138D0"/>
    <w:rsid w:val="6CEF0725"/>
    <w:rsid w:val="6D4B2604"/>
    <w:rsid w:val="6D8030E4"/>
    <w:rsid w:val="6E0E35C4"/>
    <w:rsid w:val="6E0F7A08"/>
    <w:rsid w:val="6E3000AA"/>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74F23"/>
    <w:rsid w:val="72113D4E"/>
    <w:rsid w:val="727B234E"/>
    <w:rsid w:val="72D068C7"/>
    <w:rsid w:val="72E42ED8"/>
    <w:rsid w:val="735F4CB9"/>
    <w:rsid w:val="73674C62"/>
    <w:rsid w:val="73845865"/>
    <w:rsid w:val="739B6D9E"/>
    <w:rsid w:val="73AA4305"/>
    <w:rsid w:val="73BC1D76"/>
    <w:rsid w:val="73EE1A27"/>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B2210A"/>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931C78"/>
    <w:rsid w:val="7C7248A0"/>
    <w:rsid w:val="7C976D69"/>
    <w:rsid w:val="7CD752DA"/>
    <w:rsid w:val="7CDE40AB"/>
    <w:rsid w:val="7CF057E2"/>
    <w:rsid w:val="7CF20C20"/>
    <w:rsid w:val="7D0510D0"/>
    <w:rsid w:val="7D1548B5"/>
    <w:rsid w:val="7D254B52"/>
    <w:rsid w:val="7DF84014"/>
    <w:rsid w:val="7E207949"/>
    <w:rsid w:val="7E4A1A4D"/>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rPr>
      <w:rFonts w:ascii="Calibri" w:hAnsi="Calibri"/>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Body Text First Indent 2"/>
    <w:basedOn w:val="3"/>
    <w:qFormat/>
    <w:uiPriority w:val="0"/>
    <w:pPr>
      <w:ind w:firstLine="420" w:firstLineChars="200"/>
    </w:pPr>
  </w:style>
  <w:style w:type="character" w:styleId="13">
    <w:name w:val="Strong"/>
    <w:basedOn w:val="12"/>
    <w:qFormat/>
    <w:uiPriority w:val="0"/>
    <w:rPr>
      <w:b/>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5738</Words>
  <Characters>6392</Characters>
  <Lines>1</Lines>
  <Paragraphs>1</Paragraphs>
  <TotalTime>20</TotalTime>
  <ScaleCrop>false</ScaleCrop>
  <LinksUpToDate>false</LinksUpToDate>
  <CharactersWithSpaces>6402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2024-08-15T09:02:00Z</dcterms:created>
  <dc:creator>GXR</dc:creator>
  <cp:lastModifiedBy>久溺深海</cp:lastModifiedBy>
  <dcterms:modified xsi:type="dcterms:W3CDTF">2024-08-30T11:54:59Z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