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w w:val="98"/>
          <w:sz w:val="44"/>
          <w:szCs w:val="44"/>
          <w:highlight w:val="none"/>
          <w:lang w:val="en-US" w:eastAsia="zh-CN"/>
        </w:rPr>
        <w:t>新疆维吾尔自治区工业经济和信息化研究院</w:t>
      </w:r>
      <w:r>
        <w:rPr>
          <w:rFonts w:hint="eastAsia" w:ascii="方正小标宋_GBK" w:hAnsi="宋体" w:eastAsia="方正小标宋_GBK"/>
          <w:color w:val="auto"/>
          <w:sz w:val="44"/>
          <w:szCs w:val="44"/>
          <w:highlight w:val="none"/>
          <w:lang w:eastAsia="zh-CN"/>
        </w:rPr>
        <w:t>2023年度</w:t>
      </w: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5"/>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 w:eastAsia="仿宋_GB2312"/>
          <w:color w:val="000000"/>
          <w:kern w:val="2"/>
          <w:sz w:val="32"/>
          <w:szCs w:val="32"/>
          <w:lang w:val="en-US" w:eastAsia="zh-CN" w:bidi="ar-SA"/>
        </w:rPr>
      </w:pPr>
      <w:bookmarkStart w:id="4" w:name="_Toc31238"/>
      <w:bookmarkStart w:id="5" w:name="_Toc2151"/>
      <w:r>
        <w:rPr>
          <w:rFonts w:ascii="仿宋_GB2312" w:eastAsia="仿宋_GB2312"/>
          <w:sz w:val="32"/>
          <w:szCs w:val="32"/>
        </w:rPr>
        <w:t>根据《新疆维吾尔自治区经济和信息化委员会（新疆维吾尔自治区国防科学技术工业办公室）所属事业单位分类改革方案》（新事改办〔2014〕11号）文件，新疆维吾尔自治区工业经济和信息化研究院主要职责是：</w:t>
      </w:r>
      <w:r>
        <w:rPr>
          <w:rFonts w:hint="eastAsia" w:ascii="仿宋_GB2312" w:hAnsi="仿宋" w:eastAsia="仿宋_GB2312"/>
          <w:color w:val="000000"/>
          <w:kern w:val="2"/>
          <w:sz w:val="32"/>
          <w:szCs w:val="32"/>
          <w:lang w:val="en-US" w:eastAsia="zh-CN" w:bidi="ar-SA"/>
        </w:rPr>
        <w:t>研究工业和信息化领域的重大理论和实践问题、重大热点、难点问题，对全区经济运行进行预测预警分析，提供决策建议和咨询服务；开展工业生产及能源工业、机电装备工业、消费品工业、原材料工业、电子信息工业等基础产业、重点产业应用技术研究；研究自治区区域经济、产业布局、结构调整问题，开展新兴产业和生产性服务业为主的先进服务业等研究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新疆维吾尔自治区工业经济和信息化研究院</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41</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4</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6</w:t>
      </w:r>
      <w:r>
        <w:rPr>
          <w:rFonts w:hint="eastAsia" w:ascii="仿宋_GB2312" w:hAnsi="黑体" w:eastAsia="仿宋_GB2312" w:cs="宋体"/>
          <w:bCs/>
          <w:color w:val="auto"/>
          <w:kern w:val="0"/>
          <w:sz w:val="32"/>
          <w:szCs w:val="32"/>
          <w:highlight w:val="none"/>
        </w:rPr>
        <w:t>个处室，分别是：</w:t>
      </w:r>
      <w:bookmarkStart w:id="48" w:name="_GoBack"/>
      <w:bookmarkEnd w:id="48"/>
      <w:r>
        <w:rPr>
          <w:rFonts w:hint="eastAsia" w:ascii="仿宋_GB2312" w:hAnsi="黑体" w:eastAsia="仿宋_GB2312" w:cs="宋体"/>
          <w:bCs/>
          <w:kern w:val="0"/>
          <w:sz w:val="32"/>
          <w:szCs w:val="32"/>
        </w:rPr>
        <w:t>综合管理部、工业经济研究所、产业发展研究所、信息化研究所、创新发展研究所、能源工业研究所</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pPr>
    </w:p>
    <w:p>
      <w:pPr>
        <w:pStyle w:val="4"/>
        <w:rPr>
          <w:rFonts w:hint="eastAsia"/>
        </w:rPr>
        <w:sectPr>
          <w:footerReference r:id="rId3" w:type="default"/>
          <w:pgSz w:w="11906" w:h="16838"/>
          <w:pgMar w:top="1440" w:right="1800" w:bottom="1440" w:left="1800" w:header="851" w:footer="992" w:gutter="0"/>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898.04万元，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853.24万元，使用非财政拨款结余39.80万元，年初结转和结余5.00万元。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898.04万元，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898.00万元，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0.03万元，年末结转和结余0.00万元。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增加58.70万元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增长6.99%</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kern w:val="2"/>
          <w:sz w:val="32"/>
          <w:szCs w:val="32"/>
          <w:lang w:val="en-US" w:eastAsia="zh-CN" w:bidi="ar-SA"/>
        </w:rPr>
        <w:t>一是本年</w:t>
      </w:r>
      <w:r>
        <w:rPr>
          <w:rFonts w:hint="eastAsia" w:ascii="仿宋_GB2312" w:hAnsi="仿宋" w:eastAsia="仿宋_GB2312" w:cs="Times New Roman"/>
          <w:color w:val="000000"/>
          <w:kern w:val="2"/>
          <w:sz w:val="32"/>
          <w:szCs w:val="32"/>
          <w:lang w:val="en-US" w:eastAsia="zh-CN" w:bidi="ar-SA"/>
        </w:rPr>
        <w:t>人员调资并增加绩效奖，相应经费增加；二是</w:t>
      </w:r>
      <w:r>
        <w:rPr>
          <w:rFonts w:hint="eastAsia" w:ascii="仿宋_GB2312" w:hAnsi="仿宋" w:eastAsia="仿宋_GB2312" w:cs="Times New Roman"/>
          <w:kern w:val="2"/>
          <w:sz w:val="32"/>
          <w:szCs w:val="32"/>
          <w:lang w:val="en-US" w:eastAsia="zh-CN" w:bidi="ar-SA"/>
        </w:rPr>
        <w:t>本年收到社科联治疆方略课题收入6万元。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853.24</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845.96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99.15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7.28</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0.85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本年支出898.00万元，</w:t>
      </w:r>
      <w:r>
        <w:rPr>
          <w:rFonts w:hint="eastAsia" w:ascii="Times New Roman" w:hAnsi="Times New Roman" w:eastAsia="仿宋_GB2312" w:cs="仿宋_GB2312"/>
          <w:color w:val="auto"/>
          <w:sz w:val="32"/>
          <w:szCs w:val="32"/>
          <w:highlight w:val="none"/>
          <w:lang w:val="zh-CN" w:eastAsia="zh-CN"/>
        </w:rPr>
        <w:t>其中：基本支出781.14万元，占86.99%；项目支出116.86万元，占13.01%；上缴上级支出0.00万元，占0.00%；经营支出0.00万元，占0.00%；对附属单位补助支出0.00万元，占0.00%。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850.96</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5.00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845.96</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850.96</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850.96</w:t>
      </w:r>
      <w:r>
        <w:rPr>
          <w:rFonts w:hint="eastAsia" w:ascii="仿宋_GB2312" w:eastAsia="仿宋_GB2312"/>
          <w:color w:val="auto"/>
          <w:spacing w:val="0"/>
          <w:sz w:val="32"/>
          <w:szCs w:val="32"/>
          <w:highlight w:val="none"/>
          <w:lang w:eastAsia="zh-CN"/>
        </w:rPr>
        <w:t>万元。</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0"/>
        <w:jc w:val="left"/>
        <w:textAlignment w:val="auto"/>
        <w:outlineLvl w:val="9"/>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hAnsi="Times New Roman" w:eastAsia="仿宋_GB2312" w:cs="Times New Roman"/>
          <w:b/>
          <w:bCs/>
          <w:color w:val="auto"/>
          <w:spacing w:val="0"/>
          <w:kern w:val="2"/>
          <w:sz w:val="32"/>
          <w:szCs w:val="32"/>
          <w:highlight w:val="none"/>
          <w:lang w:val="en-US" w:eastAsia="zh-CN" w:bidi="ar-SA"/>
        </w:rPr>
        <w:t>财政拨款收入支出总体与上年相比,</w:t>
      </w:r>
      <w:r>
        <w:rPr>
          <w:rFonts w:hint="eastAsia" w:ascii="仿宋_GB2312" w:hAnsi="Times New Roman" w:eastAsia="仿宋_GB2312" w:cs="Times New Roman"/>
          <w:color w:val="auto"/>
          <w:spacing w:val="0"/>
          <w:kern w:val="2"/>
          <w:sz w:val="32"/>
          <w:szCs w:val="32"/>
          <w:highlight w:val="none"/>
          <w:lang w:val="zh-CN" w:eastAsia="zh-CN" w:bidi="ar-SA"/>
        </w:rPr>
        <w:t>增加36.76万元</w:t>
      </w:r>
      <w:r>
        <w:rPr>
          <w:rFonts w:hint="eastAsia" w:ascii="仿宋_GB2312" w:hAnsi="Times New Roman" w:eastAsia="仿宋_GB2312" w:cs="Times New Roman"/>
          <w:color w:val="auto"/>
          <w:spacing w:val="0"/>
          <w:kern w:val="2"/>
          <w:sz w:val="32"/>
          <w:szCs w:val="32"/>
          <w:highlight w:val="none"/>
          <w:lang w:val="en-US" w:eastAsia="zh-CN" w:bidi="ar-SA"/>
        </w:rPr>
        <w:t>，</w:t>
      </w:r>
      <w:r>
        <w:rPr>
          <w:rFonts w:hint="eastAsia" w:ascii="仿宋_GB2312" w:hAnsi="Times New Roman" w:eastAsia="仿宋_GB2312" w:cs="Times New Roman"/>
          <w:color w:val="auto"/>
          <w:spacing w:val="0"/>
          <w:kern w:val="2"/>
          <w:sz w:val="32"/>
          <w:szCs w:val="32"/>
          <w:highlight w:val="none"/>
          <w:lang w:val="zh-CN" w:eastAsia="zh-CN" w:bidi="ar-SA"/>
        </w:rPr>
        <w:t>增长4.51%，</w:t>
      </w:r>
      <w:r>
        <w:rPr>
          <w:rFonts w:hint="eastAsia" w:ascii="仿宋_GB2312" w:hAnsi="Times New Roman" w:eastAsia="仿宋_GB2312" w:cs="Times New Roman"/>
          <w:color w:val="auto"/>
          <w:spacing w:val="0"/>
          <w:kern w:val="2"/>
          <w:sz w:val="32"/>
          <w:szCs w:val="32"/>
          <w:highlight w:val="none"/>
          <w:lang w:val="en-US" w:eastAsia="zh-CN" w:bidi="ar-SA"/>
        </w:rPr>
        <w:t>主要原因是：人员调资并增加绩效奖，相应经费增加。</w:t>
      </w:r>
      <w:r>
        <w:rPr>
          <w:rFonts w:hint="eastAsia" w:ascii="仿宋_GB2312" w:hAnsi="Times New Roman" w:eastAsia="仿宋_GB2312" w:cs="Times New Roman"/>
          <w:b/>
          <w:bCs/>
          <w:color w:val="auto"/>
          <w:spacing w:val="0"/>
          <w:kern w:val="2"/>
          <w:sz w:val="32"/>
          <w:szCs w:val="32"/>
          <w:highlight w:val="none"/>
          <w:lang w:val="en-US" w:eastAsia="zh-CN" w:bidi="ar-SA"/>
        </w:rPr>
        <w:t>与年初预算相比，</w:t>
      </w:r>
      <w:r>
        <w:rPr>
          <w:rFonts w:hint="eastAsia" w:ascii="仿宋_GB2312" w:hAnsi="Times New Roman" w:eastAsia="仿宋_GB2312" w:cs="Times New Roman"/>
          <w:color w:val="auto"/>
          <w:spacing w:val="0"/>
          <w:kern w:val="2"/>
          <w:sz w:val="32"/>
          <w:szCs w:val="32"/>
          <w:highlight w:val="none"/>
          <w:lang w:val="en-US" w:eastAsia="zh-CN" w:bidi="ar-SA"/>
        </w:rPr>
        <w:t>年初预算数</w:t>
      </w:r>
      <w:r>
        <w:rPr>
          <w:rFonts w:hint="eastAsia" w:ascii="仿宋_GB2312" w:hAnsi="Times New Roman" w:eastAsia="仿宋_GB2312" w:cs="Times New Roman"/>
          <w:color w:val="auto"/>
          <w:spacing w:val="0"/>
          <w:kern w:val="2"/>
          <w:sz w:val="32"/>
          <w:szCs w:val="32"/>
          <w:highlight w:val="none"/>
          <w:lang w:val="zh-CN" w:eastAsia="zh-CN" w:bidi="ar-SA"/>
        </w:rPr>
        <w:t>766.35</w:t>
      </w:r>
      <w:r>
        <w:rPr>
          <w:rFonts w:hint="eastAsia" w:ascii="仿宋_GB2312" w:hAnsi="Times New Roman" w:eastAsia="仿宋_GB2312" w:cs="Times New Roman"/>
          <w:color w:val="auto"/>
          <w:spacing w:val="0"/>
          <w:kern w:val="2"/>
          <w:sz w:val="32"/>
          <w:szCs w:val="32"/>
          <w:highlight w:val="none"/>
          <w:lang w:val="en-US" w:eastAsia="zh-CN" w:bidi="ar-SA"/>
        </w:rPr>
        <w:t>万元，决算数</w:t>
      </w:r>
      <w:r>
        <w:rPr>
          <w:rFonts w:hint="eastAsia" w:ascii="仿宋_GB2312" w:hAnsi="Times New Roman" w:eastAsia="仿宋_GB2312" w:cs="Times New Roman"/>
          <w:color w:val="auto"/>
          <w:spacing w:val="0"/>
          <w:kern w:val="2"/>
          <w:sz w:val="32"/>
          <w:szCs w:val="32"/>
          <w:highlight w:val="none"/>
          <w:lang w:val="zh-CN" w:eastAsia="zh-CN" w:bidi="ar-SA"/>
        </w:rPr>
        <w:t>850.96</w:t>
      </w:r>
      <w:r>
        <w:rPr>
          <w:rFonts w:hint="eastAsia" w:ascii="仿宋_GB2312" w:hAnsi="Times New Roman" w:eastAsia="仿宋_GB2312" w:cs="Times New Roman"/>
          <w:color w:val="auto"/>
          <w:spacing w:val="0"/>
          <w:kern w:val="2"/>
          <w:sz w:val="32"/>
          <w:szCs w:val="32"/>
          <w:highlight w:val="none"/>
          <w:lang w:val="en-US" w:eastAsia="zh-CN" w:bidi="ar-SA"/>
        </w:rPr>
        <w:t>万元，预决算差异率11.04%，主要原因：一是追加绩效奖、年度考核奖等形成财政拨款收支差异73.5万元；二是追加退休、辞职3人职业年金14.86万元；三是追加智力援疆骨干人才研修项目资金7万元；四是本年驻村人员减少，事业运行公用经费有关开支较上年减少，调减事业运行费12.54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0"/>
        <w:jc w:val="left"/>
        <w:textAlignment w:val="auto"/>
        <w:outlineLvl w:val="9"/>
        <w:rPr>
          <w:rFonts w:hint="eastAsia"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b/>
          <w:bCs/>
          <w:color w:val="auto"/>
          <w:spacing w:val="0"/>
          <w:sz w:val="32"/>
          <w:szCs w:val="32"/>
          <w:highlight w:val="none"/>
          <w:lang w:eastAsia="zh-CN"/>
        </w:rPr>
        <w:t>2023年度一般公共预算财政拨款支出850.96万元，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94.76%</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增加41.76万元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增长5.16%，</w:t>
      </w:r>
      <w:r>
        <w:rPr>
          <w:rFonts w:hint="eastAsia" w:ascii="仿宋_GB2312" w:eastAsia="仿宋_GB2312"/>
          <w:color w:val="auto"/>
          <w:spacing w:val="0"/>
          <w:sz w:val="32"/>
          <w:szCs w:val="32"/>
          <w:highlight w:val="none"/>
          <w:lang w:eastAsia="zh-CN"/>
        </w:rPr>
        <w:t>主要原因是：</w:t>
      </w:r>
      <w:r>
        <w:rPr>
          <w:rFonts w:hint="eastAsia" w:ascii="仿宋_GB2312" w:hAnsi="仿宋" w:eastAsia="仿宋_GB2312" w:cs="Times New Roman"/>
          <w:color w:val="000000"/>
          <w:kern w:val="2"/>
          <w:sz w:val="32"/>
          <w:szCs w:val="32"/>
          <w:lang w:val="en-US" w:eastAsia="zh-CN" w:bidi="ar-SA"/>
        </w:rPr>
        <w:t>人员调资并增加绩效奖，相应经费增加</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766.35</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850.96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11.04%</w:t>
      </w:r>
      <w:r>
        <w:rPr>
          <w:rFonts w:hint="eastAsia" w:ascii="仿宋_GB2312" w:eastAsia="仿宋_GB2312"/>
          <w:color w:val="auto"/>
          <w:spacing w:val="0"/>
          <w:sz w:val="32"/>
          <w:szCs w:val="32"/>
          <w:highlight w:val="none"/>
          <w:lang w:eastAsia="zh-CN"/>
        </w:rPr>
        <w:t>，主要原因：</w:t>
      </w:r>
      <w:r>
        <w:rPr>
          <w:rFonts w:hint="eastAsia" w:ascii="仿宋_GB2312" w:hAnsi="Times New Roman" w:eastAsia="仿宋_GB2312" w:cs="Times New Roman"/>
          <w:color w:val="auto"/>
          <w:spacing w:val="0"/>
          <w:kern w:val="2"/>
          <w:sz w:val="32"/>
          <w:szCs w:val="32"/>
          <w:highlight w:val="none"/>
          <w:lang w:val="en-US" w:eastAsia="zh-CN" w:bidi="ar-SA"/>
        </w:rPr>
        <w:t>一是追加绩效奖、年度考核奖等形成财政拨款收支差异73.5万元；二是追加退休、辞职3人职业年金14.86万元；三是追加智力援疆骨干人才研修项目资金7万元；四是本年驻村人员减少，事业运行公用经费有关开支较上年减少，调减事业运行费12.54万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科学技术支出（类）</w:t>
      </w:r>
      <w:r>
        <w:rPr>
          <w:rFonts w:hint="eastAsia" w:ascii="仿宋_GB2312" w:hAnsi="Times New Roman" w:eastAsia="仿宋_GB2312" w:cs="Times New Roman"/>
          <w:color w:val="auto"/>
          <w:spacing w:val="0"/>
          <w:kern w:val="2"/>
          <w:sz w:val="32"/>
          <w:szCs w:val="32"/>
          <w:highlight w:val="none"/>
          <w:lang w:val="zh-CN" w:eastAsia="zh-CN" w:bidi="ar-SA"/>
        </w:rPr>
        <w:t>5.00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0.59</w:t>
      </w:r>
      <w:r>
        <w:rPr>
          <w:rFonts w:hint="default" w:ascii="仿宋_GB2312" w:hAnsi="Times New Roman" w:eastAsia="仿宋_GB2312" w:cs="Times New Roman"/>
          <w:color w:val="auto"/>
          <w:spacing w:val="0"/>
          <w:kern w:val="2"/>
          <w:sz w:val="32"/>
          <w:szCs w:val="32"/>
          <w:highlight w:val="none"/>
          <w:lang w:val="en-US"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85.36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10.03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64.00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646.40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75.96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en-US"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50.20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5.90</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1.资源勘探工业信息等支出（类）工业和信息产业监管（款）事业运行（项）:支出决算数为544.94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68.09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11.11%，主要原因是：</w:t>
      </w:r>
      <w:r>
        <w:rPr>
          <w:rFonts w:hint="eastAsia" w:ascii="仿宋_GB2312" w:hAnsi="宋体" w:eastAsia="仿宋_GB2312" w:cs="仿宋_GB2312"/>
          <w:kern w:val="10"/>
          <w:sz w:val="32"/>
          <w:szCs w:val="32"/>
          <w:lang w:val="en-US" w:eastAsia="zh-CN" w:bidi="en-US"/>
        </w:rPr>
        <w:t>本年较上年减少3人相应经费减少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2.卫生健康支出（类）行政事业单位医疗（款）事业单位医疗（项）:支出决算数为34.72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5.62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19.3</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本年人员增资，相应事业单位医疗增加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3.卫生健康支出（类）行政事业单位医疗（款）公务员医疗补助（项）:支出决算数为29.28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29.39%，主要原因是：</w:t>
      </w:r>
      <w:r>
        <w:rPr>
          <w:rFonts w:hint="eastAsia" w:eastAsia="仿宋_GB2312" w:cs="Times New Roman"/>
          <w:color w:val="auto"/>
          <w:kern w:val="2"/>
          <w:sz w:val="32"/>
          <w:szCs w:val="32"/>
          <w:highlight w:val="none"/>
          <w:lang w:val="en-US" w:eastAsia="zh-CN" w:bidi="ar-SA"/>
        </w:rPr>
        <w:t>本年人员增资，相应公务员医疗补助增加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4.住房保障支出（类）住房改革支出（款）住房公积金（项）:支出决算数为50.20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9.81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24.2</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本年人员增资，相应住房公积金增加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5.社会保障和就业支出（类）行政事业单位养老支出（款）事业单位离退休（项）:支出决算数为3.58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22.00%，主要原因是：</w:t>
      </w:r>
      <w:r>
        <w:rPr>
          <w:rFonts w:hint="eastAsia" w:eastAsia="仿宋_GB2312" w:cs="Times New Roman"/>
          <w:color w:val="auto"/>
          <w:kern w:val="2"/>
          <w:sz w:val="32"/>
          <w:szCs w:val="32"/>
          <w:highlight w:val="none"/>
          <w:lang w:val="en-US" w:eastAsia="zh-CN" w:bidi="ar-SA"/>
        </w:rPr>
        <w:t>本年</w:t>
      </w:r>
      <w:r>
        <w:rPr>
          <w:rFonts w:hint="eastAsia" w:ascii="Times New Roman" w:hAnsi="Times New Roman" w:eastAsia="仿宋_GB2312" w:cs="Times New Roman"/>
          <w:color w:val="auto"/>
          <w:kern w:val="2"/>
          <w:sz w:val="32"/>
          <w:szCs w:val="32"/>
          <w:highlight w:val="none"/>
          <w:lang w:val="en-US" w:eastAsia="zh-CN" w:bidi="ar-SA"/>
        </w:rPr>
        <w:t>调减退休人员医疗费补助</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6.资源勘探工业信息等支出（类）工业和信息产业监管（款）其他工业和信息产业监管支出（项）:支出决算数为101.46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65.19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179.7</w:t>
      </w: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sz w:val="32"/>
          <w:szCs w:val="32"/>
          <w:lang w:eastAsia="zh-CN"/>
        </w:rPr>
        <w:t>上</w:t>
      </w:r>
      <w:r>
        <w:rPr>
          <w:rFonts w:hint="eastAsia" w:ascii="仿宋_GB2312" w:eastAsia="仿宋_GB2312"/>
          <w:sz w:val="32"/>
          <w:szCs w:val="32"/>
        </w:rPr>
        <w:t>年受</w:t>
      </w:r>
      <w:r>
        <w:rPr>
          <w:rFonts w:hint="eastAsia" w:ascii="仿宋_GB2312" w:hAnsi="宋体" w:eastAsia="仿宋_GB2312" w:cs="仿宋_GB2312"/>
          <w:kern w:val="10"/>
          <w:sz w:val="32"/>
          <w:szCs w:val="32"/>
          <w:lang w:val="en-US" w:eastAsia="zh-CN" w:bidi="en-US"/>
        </w:rPr>
        <w:t>静态防疫</w:t>
      </w:r>
      <w:r>
        <w:rPr>
          <w:rFonts w:hint="eastAsia" w:ascii="仿宋_GB2312" w:eastAsia="仿宋_GB2312"/>
          <w:sz w:val="32"/>
          <w:szCs w:val="32"/>
        </w:rPr>
        <w:t>影响专项业务费开支</w:t>
      </w:r>
      <w:r>
        <w:rPr>
          <w:rFonts w:hint="eastAsia" w:ascii="仿宋_GB2312" w:eastAsia="仿宋_GB2312"/>
          <w:sz w:val="32"/>
          <w:szCs w:val="32"/>
          <w:lang w:eastAsia="zh-CN"/>
        </w:rPr>
        <w:t>较少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7.社会保障和就业支出（类）行政事业单位养老支出（款）机关事业单位职业年金缴费支出（项）:支出决算数为14.86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8.20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123.1</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本年追加拨付</w:t>
      </w:r>
      <w:r>
        <w:rPr>
          <w:rFonts w:hint="eastAsia" w:ascii="仿宋_GB2312" w:eastAsia="仿宋_GB2312"/>
          <w:color w:val="auto"/>
          <w:spacing w:val="0"/>
          <w:sz w:val="32"/>
          <w:szCs w:val="32"/>
          <w:highlight w:val="none"/>
          <w:lang w:eastAsia="zh-CN"/>
        </w:rPr>
        <w:t>退休及</w:t>
      </w:r>
      <w:r>
        <w:rPr>
          <w:rFonts w:hint="eastAsia" w:ascii="仿宋_GB2312" w:hAnsi="仿宋" w:eastAsia="仿宋_GB2312" w:cs="Times New Roman"/>
          <w:color w:val="auto"/>
          <w:kern w:val="2"/>
          <w:sz w:val="32"/>
          <w:szCs w:val="32"/>
          <w:lang w:val="en-US" w:eastAsia="zh-CN" w:bidi="ar-SA"/>
        </w:rPr>
        <w:t>辞职共3人的职业年金。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8.科学技术支出（类）社会科学（款）社会科学研究（项）:支出决算数为5.00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hAnsi="仿宋" w:eastAsia="仿宋_GB2312" w:cs="仿宋"/>
          <w:sz w:val="32"/>
          <w:szCs w:val="32"/>
          <w:lang w:val="en-US" w:eastAsia="zh-CN"/>
        </w:rPr>
        <w:t>本年使用自治区专家顾问团决策研究与咨询项目额度结转资金5万元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9.社会保障和就业支出（类）行政事业单位养老支出（款）机关事业单位基本养老保险缴费支出（项）:支出决算数为66.93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13.08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24.2</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本年人员增资，相应基本养老保险缴费支出增加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10.科学技术支出（类）科学技术管理事务（款）一般行政管理事务（项）:支出决算数为0.00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2.70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sz w:val="32"/>
          <w:szCs w:val="32"/>
          <w:lang w:eastAsia="zh-CN"/>
        </w:rPr>
        <w:t>上</w:t>
      </w:r>
      <w:r>
        <w:rPr>
          <w:rFonts w:hint="eastAsia" w:ascii="仿宋_GB2312" w:eastAsia="仿宋_GB2312"/>
          <w:sz w:val="32"/>
          <w:szCs w:val="32"/>
        </w:rPr>
        <w:t>年</w:t>
      </w:r>
      <w:r>
        <w:rPr>
          <w:rFonts w:hint="eastAsia" w:ascii="仿宋_GB2312" w:eastAsia="仿宋_GB2312"/>
          <w:sz w:val="32"/>
          <w:szCs w:val="32"/>
          <w:lang w:eastAsia="zh-CN"/>
        </w:rPr>
        <w:t>支出</w:t>
      </w:r>
      <w:r>
        <w:rPr>
          <w:rFonts w:hint="eastAsia" w:ascii="仿宋_GB2312" w:eastAsia="仿宋_GB2312"/>
          <w:sz w:val="32"/>
          <w:szCs w:val="32"/>
        </w:rPr>
        <w:t>自治区专家顾问团决策研究与咨询专项费用</w:t>
      </w:r>
      <w:r>
        <w:rPr>
          <w:rFonts w:hint="eastAsia" w:ascii="仿宋_GB2312" w:eastAsia="仿宋_GB2312"/>
          <w:sz w:val="32"/>
          <w:szCs w:val="32"/>
          <w:lang w:val="en-US" w:eastAsia="zh-CN"/>
        </w:rPr>
        <w:t>2.7万元</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744.50</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703.78</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40.72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办公费、电费、邮电费、取暖费、物业管理费、差旅费、工会经费、福利费、公务用车运行维护费、其他商品和服务支出。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pacing w:beforeAutospacing="0" w:afterAutospacing="0" w:line="540" w:lineRule="exact"/>
        <w:ind w:left="0" w:leftChars="0" w:right="0" w:rightChars="0" w:firstLine="643" w:firstLineChars="200"/>
        <w:textAlignment w:val="auto"/>
        <w:outlineLvl w:val="9"/>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“三公”经费支出1.14万元，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hint="eastAsia" w:ascii="仿宋_GB2312" w:eastAsia="仿宋_GB2312"/>
          <w:color w:val="auto"/>
          <w:sz w:val="32"/>
          <w:szCs w:val="32"/>
        </w:rPr>
        <w:t>严格执行中央八项规定及实施细则，</w:t>
      </w:r>
      <w:r>
        <w:rPr>
          <w:rFonts w:hint="eastAsia" w:ascii="仿宋_GB2312" w:eastAsia="仿宋_GB2312"/>
          <w:color w:val="auto"/>
          <w:sz w:val="32"/>
          <w:szCs w:val="32"/>
          <w:lang w:eastAsia="zh-CN"/>
        </w:rPr>
        <w:t>严控</w:t>
      </w:r>
      <w:r>
        <w:rPr>
          <w:rFonts w:hint="eastAsia" w:ascii="仿宋_GB2312" w:eastAsia="仿宋_GB2312"/>
          <w:color w:val="auto"/>
          <w:sz w:val="32"/>
          <w:szCs w:val="32"/>
        </w:rPr>
        <w:t>“三公”经费支出。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；公务用车购置及运行维护费支出1.14万元，占100.00%，比上年增加0.00万元，增长0.00%，主要原因是：</w:t>
      </w:r>
      <w:r>
        <w:rPr>
          <w:rFonts w:hint="eastAsia" w:ascii="仿宋_GB2312" w:eastAsia="仿宋_GB2312"/>
          <w:color w:val="auto"/>
          <w:sz w:val="32"/>
          <w:szCs w:val="32"/>
        </w:rPr>
        <w:t>严格执行公务用车管理制度，合理</w:t>
      </w:r>
      <w:r>
        <w:rPr>
          <w:rFonts w:hint="eastAsia" w:ascii="仿宋_GB2312" w:eastAsia="仿宋_GB2312"/>
          <w:color w:val="auto"/>
          <w:sz w:val="32"/>
          <w:szCs w:val="32"/>
          <w:lang w:eastAsia="zh-CN"/>
        </w:rPr>
        <w:t>控制</w:t>
      </w:r>
      <w:r>
        <w:rPr>
          <w:rFonts w:hint="eastAsia" w:ascii="仿宋_GB2312" w:eastAsia="仿宋_GB2312"/>
          <w:color w:val="auto"/>
          <w:sz w:val="32"/>
          <w:szCs w:val="32"/>
        </w:rPr>
        <w:t>公务用车</w:t>
      </w:r>
      <w:r>
        <w:rPr>
          <w:rFonts w:hint="eastAsia" w:ascii="仿宋_GB2312" w:hAnsi="Times New Roman" w:eastAsia="仿宋_GB2312" w:cs="Times New Roman"/>
          <w:color w:val="auto"/>
          <w:kern w:val="2"/>
          <w:sz w:val="32"/>
          <w:szCs w:val="32"/>
          <w:lang w:val="en-US" w:eastAsia="zh-CN" w:bidi="ar-SA"/>
        </w:rPr>
        <w:t>运行</w:t>
      </w:r>
      <w:r>
        <w:rPr>
          <w:rFonts w:hint="eastAsia" w:ascii="仿宋_GB2312" w:eastAsia="仿宋_GB2312"/>
          <w:color w:val="auto"/>
          <w:sz w:val="32"/>
          <w:szCs w:val="32"/>
        </w:rPr>
        <w:t>费用</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公务用车购置及运行维护费1.14万元，其中：公务用车购置费0.00万元，公务用车运行维护费1.14万元。公务用车运行维护费开支内容包括</w:t>
      </w:r>
      <w:r>
        <w:rPr>
          <w:rFonts w:hint="eastAsia" w:ascii="仿宋_GB2312" w:eastAsia="仿宋_GB2312"/>
          <w:sz w:val="32"/>
          <w:szCs w:val="32"/>
        </w:rPr>
        <w:t>车辆加油、车辆维修、车辆保险等费用</w:t>
      </w:r>
      <w:r>
        <w:rPr>
          <w:rFonts w:hint="eastAsia" w:ascii="仿宋_GB2312" w:eastAsia="仿宋_GB2312"/>
          <w:color w:val="auto"/>
          <w:sz w:val="32"/>
          <w:szCs w:val="32"/>
          <w:highlight w:val="none"/>
          <w:lang w:val="zh-CN" w:eastAsia="zh-CN"/>
        </w:rPr>
        <w:t>。公务用车购置数0辆，公务用车保有量1辆。国有资产占用情况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预算数1.14万元，决算数1.14万元，预决算差异率0.00%，主要原因是：</w:t>
      </w:r>
      <w:r>
        <w:rPr>
          <w:rFonts w:hint="eastAsia" w:ascii="仿宋_GB2312" w:eastAsia="仿宋_GB2312"/>
          <w:color w:val="auto"/>
          <w:sz w:val="32"/>
          <w:szCs w:val="32"/>
        </w:rPr>
        <w:t>严格执行</w:t>
      </w:r>
      <w:r>
        <w:rPr>
          <w:rFonts w:hint="eastAsia" w:ascii="仿宋_GB2312" w:eastAsia="仿宋_GB2312"/>
          <w:color w:val="auto"/>
          <w:sz w:val="32"/>
          <w:szCs w:val="32"/>
          <w:lang w:eastAsia="zh-CN"/>
        </w:rPr>
        <w:t>年初预算</w:t>
      </w:r>
      <w:r>
        <w:rPr>
          <w:rFonts w:hint="eastAsia" w:ascii="仿宋_GB2312" w:eastAsia="仿宋_GB2312"/>
          <w:color w:val="auto"/>
          <w:sz w:val="32"/>
          <w:szCs w:val="32"/>
        </w:rPr>
        <w:t>，无预算不支出。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预算数1.14万元，决算数1.14万元，预决算差异率0.00%，主要原因是：</w:t>
      </w:r>
      <w:r>
        <w:rPr>
          <w:rFonts w:hint="eastAsia" w:ascii="仿宋_GB2312" w:eastAsia="仿宋_GB2312"/>
          <w:color w:val="auto"/>
          <w:sz w:val="32"/>
          <w:szCs w:val="32"/>
        </w:rPr>
        <w:t>严格执行公务用车管理制度，合理</w:t>
      </w:r>
      <w:r>
        <w:rPr>
          <w:rFonts w:hint="eastAsia" w:ascii="仿宋_GB2312" w:eastAsia="仿宋_GB2312"/>
          <w:color w:val="auto"/>
          <w:sz w:val="32"/>
          <w:szCs w:val="32"/>
          <w:lang w:eastAsia="zh-CN"/>
        </w:rPr>
        <w:t>控制</w:t>
      </w:r>
      <w:r>
        <w:rPr>
          <w:rFonts w:hint="eastAsia" w:ascii="仿宋_GB2312" w:eastAsia="仿宋_GB2312"/>
          <w:color w:val="auto"/>
          <w:sz w:val="32"/>
          <w:szCs w:val="32"/>
        </w:rPr>
        <w:t>公务用车</w:t>
      </w:r>
      <w:r>
        <w:rPr>
          <w:rFonts w:hint="eastAsia" w:ascii="仿宋_GB2312" w:hAnsi="Times New Roman" w:eastAsia="仿宋_GB2312" w:cs="Times New Roman"/>
          <w:color w:val="auto"/>
          <w:kern w:val="2"/>
          <w:sz w:val="32"/>
          <w:szCs w:val="32"/>
          <w:lang w:val="en-US" w:eastAsia="zh-CN" w:bidi="ar-SA"/>
        </w:rPr>
        <w:t>运行</w:t>
      </w:r>
      <w:r>
        <w:rPr>
          <w:rFonts w:hint="eastAsia" w:ascii="仿宋_GB2312" w:eastAsia="仿宋_GB2312"/>
          <w:color w:val="auto"/>
          <w:sz w:val="32"/>
          <w:szCs w:val="32"/>
        </w:rPr>
        <w:t>费用</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kinsoku/>
        <w:wordWrap/>
        <w:overflowPunct/>
        <w:topLinePunct w:val="0"/>
        <w:autoSpaceDE/>
        <w:autoSpaceDN/>
        <w:bidi w:val="0"/>
        <w:adjustRightInd/>
        <w:spacing w:beforeAutospacing="0" w:afterAutospacing="0" w:line="540" w:lineRule="exact"/>
        <w:ind w:left="0" w:leftChars="0" w:right="0" w:rightChars="0" w:firstLine="640" w:firstLineChars="200"/>
        <w:textAlignment w:val="auto"/>
        <w:outlineLvl w:val="2"/>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新疆维吾尔自治区工业经济和信息化研究院</w:t>
      </w:r>
      <w:r>
        <w:rPr>
          <w:rFonts w:hint="eastAsia" w:ascii="Times New Roman" w:hAnsi="Times New Roman" w:eastAsia="仿宋_GB2312" w:cs="Times New Roman"/>
          <w:color w:val="auto"/>
          <w:sz w:val="32"/>
          <w:szCs w:val="32"/>
          <w:highlight w:val="none"/>
          <w:lang w:val="zh-CN" w:eastAsia="zh-CN"/>
        </w:rPr>
        <w:t>（事业单位）公用经费支出40.72万元，比上年增加2.27万元，增长5.90%，主要原因是：人员经费增加相应的工会、福利等费用增加。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6.60万元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其中：政府采购货物支出6.60万元、政府采购工程支出0.00万元、政府采购服务支出0.00万元。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授予中小企业合同金额6.60万元，占政府采购支出总额的100.00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，其中：授予小微企业合同金额6.60万元，占政府采购支出总额的100.00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256.05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屋2500.0平方米，价值70.31万元。车辆1辆，价值16.92万元，其中：副部（省）级及以上领导用车0辆、主要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用车0辆、其他用车1辆，其他用车主要是：</w:t>
      </w:r>
      <w:r>
        <w:rPr>
          <w:rFonts w:hint="eastAsia" w:ascii="仿宋_GB2312" w:eastAsia="仿宋_GB2312"/>
          <w:sz w:val="32"/>
          <w:szCs w:val="32"/>
        </w:rPr>
        <w:t>开展咨询、调研等业务用车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全年预算数105.40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全年执行数104.86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。预算绩效管理取得的成效：一是</w:t>
      </w:r>
      <w:r>
        <w:rPr>
          <w:rFonts w:ascii="仿宋_GB2312" w:eastAsia="仿宋_GB2312"/>
          <w:sz w:val="32"/>
          <w:szCs w:val="32"/>
        </w:rPr>
        <w:t>严格执行《工信厅全面预算绩效管理办法》，规范和加快预算执行，积极做好绩效监控和绩效评价工作，确保预算执行的及时性和规范性,切实发挥财政资金最大效用；二是在项目经费的使用上，保证各项任务顺利完成的同时，严格落实厉行节约原则；三是项目实施过程中，紧紧依托课题小组，发挥课题小组集体研究、群策群力的作用，增加了项目实施过程的公开透明性</w:t>
      </w:r>
      <w:r>
        <w:rPr>
          <w:rFonts w:hint="eastAsia" w:ascii="仿宋_GB2312" w:eastAsia="仿宋_GB2312"/>
          <w:sz w:val="32"/>
          <w:szCs w:val="32"/>
        </w:rPr>
        <w:t>。</w:t>
      </w:r>
      <w:r>
        <w:rPr>
          <w:rFonts w:hint="eastAsia" w:ascii="仿宋_GB2312" w:eastAsia="仿宋_GB2312"/>
          <w:color w:val="auto"/>
          <w:sz w:val="32"/>
          <w:szCs w:val="32"/>
          <w:highlight w:val="none"/>
          <w:lang w:eastAsia="zh-CN"/>
        </w:rPr>
        <w:t>发现的问题及原因：</w:t>
      </w:r>
      <w:r>
        <w:rPr>
          <w:rFonts w:hint="eastAsia" w:ascii="Times New Roman" w:hAnsi="Times New Roman" w:eastAsia="仿宋_GB2312" w:cs="Times New Roman"/>
          <w:sz w:val="32"/>
          <w:szCs w:val="32"/>
          <w:lang w:val="en-US" w:eastAsia="zh-CN"/>
        </w:rPr>
        <w:t>项目进度监控有</w:t>
      </w:r>
      <w:r>
        <w:rPr>
          <w:rFonts w:hint="default" w:ascii="Times New Roman" w:hAnsi="Times New Roman" w:eastAsia="仿宋_GB2312" w:cs="Times New Roman"/>
          <w:sz w:val="32"/>
          <w:szCs w:val="32"/>
          <w:lang w:val="en-US" w:eastAsia="zh-CN"/>
        </w:rPr>
        <w:t>偏差</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一是研究项目周期较长，</w:t>
      </w:r>
      <w:r>
        <w:rPr>
          <w:rFonts w:hint="eastAsia" w:ascii="Times New Roman" w:hAnsi="Times New Roman" w:eastAsia="仿宋_GB2312" w:cs="Times New Roman"/>
          <w:sz w:val="32"/>
          <w:szCs w:val="32"/>
          <w:lang w:val="en-US" w:eastAsia="zh-CN"/>
        </w:rPr>
        <w:t>大部分在下半年</w:t>
      </w:r>
      <w:r>
        <w:rPr>
          <w:rFonts w:hint="default" w:ascii="Times New Roman" w:hAnsi="Times New Roman" w:eastAsia="仿宋_GB2312" w:cs="Times New Roman"/>
          <w:sz w:val="32"/>
          <w:szCs w:val="32"/>
          <w:lang w:val="en-US" w:eastAsia="zh-CN"/>
        </w:rPr>
        <w:t>结题，故相关费</w:t>
      </w:r>
      <w:r>
        <w:rPr>
          <w:rFonts w:hint="eastAsia" w:ascii="Times New Roman" w:hAnsi="Times New Roman" w:eastAsia="仿宋_GB2312" w:cs="Times New Roman"/>
          <w:sz w:val="32"/>
          <w:szCs w:val="32"/>
          <w:lang w:val="en-US" w:eastAsia="zh-CN"/>
        </w:rPr>
        <w:t>用</w:t>
      </w:r>
      <w:r>
        <w:rPr>
          <w:rFonts w:hint="default" w:ascii="Times New Roman" w:hAnsi="Times New Roman" w:eastAsia="仿宋_GB2312" w:cs="Times New Roman"/>
          <w:sz w:val="32"/>
          <w:szCs w:val="32"/>
          <w:lang w:val="en-US" w:eastAsia="zh-CN"/>
        </w:rPr>
        <w:t>支付</w:t>
      </w:r>
      <w:r>
        <w:rPr>
          <w:rFonts w:hint="eastAsia" w:ascii="Times New Roman" w:hAnsi="Times New Roman" w:eastAsia="仿宋_GB2312" w:cs="Times New Roman"/>
          <w:sz w:val="32"/>
          <w:szCs w:val="32"/>
          <w:lang w:val="en-US" w:eastAsia="zh-CN"/>
        </w:rPr>
        <w:t>较晚</w:t>
      </w:r>
      <w:r>
        <w:rPr>
          <w:rFonts w:hint="default" w:ascii="Times New Roman" w:hAnsi="Times New Roman" w:eastAsia="仿宋_GB2312" w:cs="Times New Roman"/>
          <w:sz w:val="32"/>
          <w:szCs w:val="32"/>
          <w:lang w:val="en-US" w:eastAsia="zh-CN"/>
        </w:rPr>
        <w:t>；二是</w:t>
      </w:r>
      <w:r>
        <w:rPr>
          <w:rFonts w:hint="eastAsia" w:eastAsia="仿宋_GB2312" w:cs="Times New Roman"/>
          <w:sz w:val="32"/>
          <w:szCs w:val="32"/>
          <w:lang w:val="en-US" w:eastAsia="zh-CN"/>
        </w:rPr>
        <w:t>研究</w:t>
      </w:r>
      <w:r>
        <w:rPr>
          <w:rFonts w:hint="default" w:ascii="Times New Roman" w:hAnsi="Times New Roman" w:eastAsia="仿宋_GB2312" w:cs="Times New Roman"/>
          <w:sz w:val="32"/>
          <w:szCs w:val="32"/>
          <w:lang w:val="en-US" w:eastAsia="zh-CN"/>
        </w:rPr>
        <w:t>成果汇编</w:t>
      </w:r>
      <w:r>
        <w:rPr>
          <w:rFonts w:hint="eastAsia" w:eastAsia="仿宋_GB2312" w:cs="Times New Roman"/>
          <w:sz w:val="32"/>
          <w:szCs w:val="32"/>
          <w:lang w:val="en-US" w:eastAsia="zh-CN"/>
        </w:rPr>
        <w:t>在</w:t>
      </w:r>
      <w:r>
        <w:rPr>
          <w:rFonts w:hint="default" w:ascii="Times New Roman" w:hAnsi="Times New Roman" w:eastAsia="仿宋_GB2312" w:cs="Times New Roman"/>
          <w:sz w:val="32"/>
          <w:szCs w:val="32"/>
          <w:lang w:val="en-US" w:eastAsia="zh-CN"/>
        </w:rPr>
        <w:t>下半年进行，</w:t>
      </w:r>
      <w:r>
        <w:rPr>
          <w:rFonts w:hint="eastAsia" w:ascii="Times New Roman" w:hAnsi="Times New Roman" w:eastAsia="仿宋_GB2312" w:cs="Times New Roman"/>
          <w:sz w:val="32"/>
          <w:szCs w:val="32"/>
          <w:lang w:val="en-US" w:eastAsia="zh-CN"/>
        </w:rPr>
        <w:t>征集、选编、印制的</w:t>
      </w:r>
      <w:r>
        <w:rPr>
          <w:rFonts w:hint="default" w:ascii="Times New Roman" w:hAnsi="Times New Roman" w:eastAsia="仿宋_GB2312" w:cs="Times New Roman"/>
          <w:sz w:val="32"/>
          <w:szCs w:val="32"/>
          <w:lang w:val="en-US" w:eastAsia="zh-CN"/>
        </w:rPr>
        <w:t>实施周期较长，</w:t>
      </w:r>
      <w:r>
        <w:rPr>
          <w:rFonts w:hint="eastAsia" w:ascii="Times New Roman" w:hAnsi="Times New Roman" w:eastAsia="仿宋_GB2312" w:cs="Times New Roman"/>
          <w:sz w:val="32"/>
          <w:szCs w:val="32"/>
          <w:lang w:val="en-US" w:eastAsia="zh-CN"/>
        </w:rPr>
        <w:t>年底</w:t>
      </w:r>
      <w:r>
        <w:rPr>
          <w:rFonts w:hint="default" w:ascii="Times New Roman" w:hAnsi="Times New Roman" w:eastAsia="仿宋_GB2312" w:cs="Times New Roman"/>
          <w:sz w:val="32"/>
          <w:szCs w:val="32"/>
          <w:lang w:val="en-US" w:eastAsia="zh-CN"/>
        </w:rPr>
        <w:t>支付成本。</w:t>
      </w:r>
      <w:r>
        <w:rPr>
          <w:rFonts w:hint="eastAsia" w:ascii="仿宋_GB2312" w:eastAsia="仿宋_GB2312"/>
          <w:color w:val="auto"/>
          <w:sz w:val="32"/>
          <w:szCs w:val="32"/>
          <w:highlight w:val="none"/>
          <w:lang w:eastAsia="zh-CN"/>
        </w:rPr>
        <w:t>下一步改进措施：</w:t>
      </w:r>
      <w:r>
        <w:rPr>
          <w:rFonts w:ascii="仿宋_GB2312" w:eastAsia="仿宋_GB2312"/>
          <w:sz w:val="32"/>
          <w:szCs w:val="32"/>
        </w:rPr>
        <w:t>一是要加强单位内部控制，实现项目精准化、规范化、制度化管理，通过内部控制助推绩效管理工作开展；二是今后要充分考虑预算执行中的不确定因素，按进度和时限完成绩效指标</w:t>
      </w:r>
      <w:r>
        <w:rPr>
          <w:rFonts w:hint="eastAsia" w:ascii="仿宋_GB2312" w:eastAsia="仿宋_GB2312"/>
          <w:sz w:val="32"/>
          <w:szCs w:val="32"/>
        </w:rPr>
        <w:t>。</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565021">
    <w:nsid w:val="103F031D"/>
    <w:multiLevelType w:val="singleLevel"/>
    <w:tmpl w:val="103F031D"/>
    <w:lvl w:ilvl="0" w:tentative="1">
      <w:start w:val="2"/>
      <w:numFmt w:val="chineseCounting"/>
      <w:suff w:val="nothing"/>
      <w:lvlText w:val="（%1）"/>
      <w:lvlJc w:val="left"/>
      <w:rPr>
        <w:rFonts w:hint="eastAsia"/>
      </w:rPr>
    </w:lvl>
  </w:abstractNum>
  <w:num w:numId="1">
    <w:abstractNumId w:val="2725650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WQxY2Y3MjlmMzc2NDQxNjk3MWFiYmYzMzA1NmUifQ=="/>
    <w:docVar w:name="KSO_WPS_MARK_KEY" w:val="41ee2a61-2d54-4f93-83be-afdb9a40d732"/>
  </w:docVars>
  <w:rsids>
    <w:rsidRoot w:val="00000000"/>
    <w:rsid w:val="00213C59"/>
    <w:rsid w:val="003210CE"/>
    <w:rsid w:val="00B70D59"/>
    <w:rsid w:val="00F52A8D"/>
    <w:rsid w:val="019404F8"/>
    <w:rsid w:val="02BD3108"/>
    <w:rsid w:val="02F73D26"/>
    <w:rsid w:val="03071604"/>
    <w:rsid w:val="0333594B"/>
    <w:rsid w:val="034D4FEF"/>
    <w:rsid w:val="035D1785"/>
    <w:rsid w:val="039F47CE"/>
    <w:rsid w:val="03E05CE8"/>
    <w:rsid w:val="03F973EE"/>
    <w:rsid w:val="043E5B56"/>
    <w:rsid w:val="04C04386"/>
    <w:rsid w:val="04FA68C4"/>
    <w:rsid w:val="053F5AE6"/>
    <w:rsid w:val="057B6B0A"/>
    <w:rsid w:val="057C0B0F"/>
    <w:rsid w:val="05EF4B48"/>
    <w:rsid w:val="05F76ECA"/>
    <w:rsid w:val="06792773"/>
    <w:rsid w:val="06B50E10"/>
    <w:rsid w:val="06FE2509"/>
    <w:rsid w:val="07093795"/>
    <w:rsid w:val="07804730"/>
    <w:rsid w:val="079052BE"/>
    <w:rsid w:val="07E74A05"/>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9F2252"/>
    <w:rsid w:val="0CA52EE8"/>
    <w:rsid w:val="0CBD6988"/>
    <w:rsid w:val="0CD208AC"/>
    <w:rsid w:val="0D4903E8"/>
    <w:rsid w:val="0D7A4A46"/>
    <w:rsid w:val="0E3C1B66"/>
    <w:rsid w:val="0E640559"/>
    <w:rsid w:val="0F1113DA"/>
    <w:rsid w:val="0F78534A"/>
    <w:rsid w:val="0F89358A"/>
    <w:rsid w:val="0F8C6D51"/>
    <w:rsid w:val="105B0B5E"/>
    <w:rsid w:val="112E58D0"/>
    <w:rsid w:val="11731CAC"/>
    <w:rsid w:val="119500A0"/>
    <w:rsid w:val="11C0733B"/>
    <w:rsid w:val="11D50D17"/>
    <w:rsid w:val="120E0809"/>
    <w:rsid w:val="127F665A"/>
    <w:rsid w:val="12F7068C"/>
    <w:rsid w:val="13543B1F"/>
    <w:rsid w:val="14207DC0"/>
    <w:rsid w:val="14B932DA"/>
    <w:rsid w:val="150A66AF"/>
    <w:rsid w:val="154C1139"/>
    <w:rsid w:val="158C5B77"/>
    <w:rsid w:val="160D1149"/>
    <w:rsid w:val="163563C0"/>
    <w:rsid w:val="164315EF"/>
    <w:rsid w:val="16557DFE"/>
    <w:rsid w:val="167268FB"/>
    <w:rsid w:val="16D50C50"/>
    <w:rsid w:val="16E120E1"/>
    <w:rsid w:val="1702234F"/>
    <w:rsid w:val="17385A05"/>
    <w:rsid w:val="173B3901"/>
    <w:rsid w:val="176747F9"/>
    <w:rsid w:val="17954A6E"/>
    <w:rsid w:val="180059E9"/>
    <w:rsid w:val="184510FD"/>
    <w:rsid w:val="18B0330F"/>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711282"/>
    <w:rsid w:val="1E97358B"/>
    <w:rsid w:val="1EAA4A5F"/>
    <w:rsid w:val="1EE869A7"/>
    <w:rsid w:val="1FA15E62"/>
    <w:rsid w:val="1FED69B6"/>
    <w:rsid w:val="20112F2C"/>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5D17B9A"/>
    <w:rsid w:val="263B5F44"/>
    <w:rsid w:val="264A7253"/>
    <w:rsid w:val="26D0553E"/>
    <w:rsid w:val="26F0170C"/>
    <w:rsid w:val="27201D62"/>
    <w:rsid w:val="27286E73"/>
    <w:rsid w:val="27CF2642"/>
    <w:rsid w:val="27E777F5"/>
    <w:rsid w:val="27EA1D4C"/>
    <w:rsid w:val="27EA2E41"/>
    <w:rsid w:val="282459E2"/>
    <w:rsid w:val="283A7FE5"/>
    <w:rsid w:val="285F51FF"/>
    <w:rsid w:val="28DF2665"/>
    <w:rsid w:val="29072599"/>
    <w:rsid w:val="291029F3"/>
    <w:rsid w:val="29C7779A"/>
    <w:rsid w:val="29CB58F0"/>
    <w:rsid w:val="2A053397"/>
    <w:rsid w:val="2A145E96"/>
    <w:rsid w:val="2AF1073F"/>
    <w:rsid w:val="2AF5378F"/>
    <w:rsid w:val="2BB94DBF"/>
    <w:rsid w:val="2C3F7E23"/>
    <w:rsid w:val="2C6F314E"/>
    <w:rsid w:val="2CC206BE"/>
    <w:rsid w:val="2D1136DF"/>
    <w:rsid w:val="2D20606D"/>
    <w:rsid w:val="2D626C81"/>
    <w:rsid w:val="2DB87198"/>
    <w:rsid w:val="2DB93C54"/>
    <w:rsid w:val="2E3D144C"/>
    <w:rsid w:val="2E7126C2"/>
    <w:rsid w:val="2E891204"/>
    <w:rsid w:val="2F3F0A28"/>
    <w:rsid w:val="2FBF7029"/>
    <w:rsid w:val="2FD0187F"/>
    <w:rsid w:val="2FD27414"/>
    <w:rsid w:val="2FFE4BB0"/>
    <w:rsid w:val="300E7B60"/>
    <w:rsid w:val="300F6E18"/>
    <w:rsid w:val="30862F5F"/>
    <w:rsid w:val="31121990"/>
    <w:rsid w:val="314029C9"/>
    <w:rsid w:val="31C63837"/>
    <w:rsid w:val="31C82E39"/>
    <w:rsid w:val="32601BAD"/>
    <w:rsid w:val="329F6389"/>
    <w:rsid w:val="33814F8D"/>
    <w:rsid w:val="3389023A"/>
    <w:rsid w:val="33CB74FA"/>
    <w:rsid w:val="343642F2"/>
    <w:rsid w:val="343F3010"/>
    <w:rsid w:val="345D0A00"/>
    <w:rsid w:val="34713BFD"/>
    <w:rsid w:val="34C13589"/>
    <w:rsid w:val="353369E3"/>
    <w:rsid w:val="35E00D72"/>
    <w:rsid w:val="36965B9D"/>
    <w:rsid w:val="36C549FD"/>
    <w:rsid w:val="37A755DD"/>
    <w:rsid w:val="37B05FEC"/>
    <w:rsid w:val="37F94FA0"/>
    <w:rsid w:val="380D3381"/>
    <w:rsid w:val="38115B1F"/>
    <w:rsid w:val="385E3AC3"/>
    <w:rsid w:val="387D6B9E"/>
    <w:rsid w:val="38B75FF0"/>
    <w:rsid w:val="38D45016"/>
    <w:rsid w:val="38D90432"/>
    <w:rsid w:val="3914510A"/>
    <w:rsid w:val="3926770B"/>
    <w:rsid w:val="393E44F9"/>
    <w:rsid w:val="398D3668"/>
    <w:rsid w:val="3997260A"/>
    <w:rsid w:val="39DA0497"/>
    <w:rsid w:val="3A893816"/>
    <w:rsid w:val="3A893B6D"/>
    <w:rsid w:val="3AD1763A"/>
    <w:rsid w:val="3B6716E3"/>
    <w:rsid w:val="3B6C6B2D"/>
    <w:rsid w:val="3C242659"/>
    <w:rsid w:val="3C96719C"/>
    <w:rsid w:val="3CA72BE8"/>
    <w:rsid w:val="3CB0609F"/>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57514B"/>
    <w:rsid w:val="417C1CE7"/>
    <w:rsid w:val="41900018"/>
    <w:rsid w:val="41944406"/>
    <w:rsid w:val="41CE128F"/>
    <w:rsid w:val="41DA6F12"/>
    <w:rsid w:val="42171FB1"/>
    <w:rsid w:val="434E6957"/>
    <w:rsid w:val="43942E6F"/>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BFA6AB7"/>
    <w:rsid w:val="4C200F7A"/>
    <w:rsid w:val="4CEE3180"/>
    <w:rsid w:val="4D0F4AF6"/>
    <w:rsid w:val="4D1A110D"/>
    <w:rsid w:val="4DF94F37"/>
    <w:rsid w:val="4E0A1DD5"/>
    <w:rsid w:val="4E3160E5"/>
    <w:rsid w:val="4E4D37AF"/>
    <w:rsid w:val="4E8C6496"/>
    <w:rsid w:val="4EFD18DE"/>
    <w:rsid w:val="4F144236"/>
    <w:rsid w:val="4F663C87"/>
    <w:rsid w:val="4F7E29A8"/>
    <w:rsid w:val="4F9E1FFC"/>
    <w:rsid w:val="50447CC2"/>
    <w:rsid w:val="505A4A62"/>
    <w:rsid w:val="50874A7C"/>
    <w:rsid w:val="50895EE7"/>
    <w:rsid w:val="50921B9D"/>
    <w:rsid w:val="50D16158"/>
    <w:rsid w:val="50D2381E"/>
    <w:rsid w:val="50DB5F45"/>
    <w:rsid w:val="51025EB1"/>
    <w:rsid w:val="51141503"/>
    <w:rsid w:val="518D0ED5"/>
    <w:rsid w:val="525C687F"/>
    <w:rsid w:val="52F647F7"/>
    <w:rsid w:val="52F92565"/>
    <w:rsid w:val="53B77CE7"/>
    <w:rsid w:val="53D03877"/>
    <w:rsid w:val="542F73CA"/>
    <w:rsid w:val="5430786D"/>
    <w:rsid w:val="54C811C0"/>
    <w:rsid w:val="556A442D"/>
    <w:rsid w:val="55DA564E"/>
    <w:rsid w:val="5604127D"/>
    <w:rsid w:val="56166703"/>
    <w:rsid w:val="56510474"/>
    <w:rsid w:val="56861525"/>
    <w:rsid w:val="56A93273"/>
    <w:rsid w:val="56B93B57"/>
    <w:rsid w:val="56BD550C"/>
    <w:rsid w:val="56E07045"/>
    <w:rsid w:val="56FF28AF"/>
    <w:rsid w:val="57432436"/>
    <w:rsid w:val="57540E7D"/>
    <w:rsid w:val="577B4878"/>
    <w:rsid w:val="57926973"/>
    <w:rsid w:val="58175352"/>
    <w:rsid w:val="581F2200"/>
    <w:rsid w:val="583059FA"/>
    <w:rsid w:val="584A0929"/>
    <w:rsid w:val="5881411E"/>
    <w:rsid w:val="58CD2491"/>
    <w:rsid w:val="591B41B2"/>
    <w:rsid w:val="59254A26"/>
    <w:rsid w:val="59326325"/>
    <w:rsid w:val="595C505B"/>
    <w:rsid w:val="595E55C3"/>
    <w:rsid w:val="596E7E20"/>
    <w:rsid w:val="5A60780B"/>
    <w:rsid w:val="5A9418A9"/>
    <w:rsid w:val="5AB34579"/>
    <w:rsid w:val="5AFC6609"/>
    <w:rsid w:val="5B113480"/>
    <w:rsid w:val="5B2E6224"/>
    <w:rsid w:val="5BD456CE"/>
    <w:rsid w:val="5C0D1F49"/>
    <w:rsid w:val="5CBB0CE2"/>
    <w:rsid w:val="5CC17177"/>
    <w:rsid w:val="5CF306BC"/>
    <w:rsid w:val="5D3F3D64"/>
    <w:rsid w:val="5D7706E8"/>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4ED474E"/>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C462F1"/>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EFA4222"/>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5AEC"/>
    <w:rsid w:val="72D068C7"/>
    <w:rsid w:val="72E42ED8"/>
    <w:rsid w:val="735F4CB9"/>
    <w:rsid w:val="73674C62"/>
    <w:rsid w:val="73845865"/>
    <w:rsid w:val="739B6D9E"/>
    <w:rsid w:val="73BC1D76"/>
    <w:rsid w:val="73FB6630"/>
    <w:rsid w:val="748D790E"/>
    <w:rsid w:val="749820CC"/>
    <w:rsid w:val="74CE04EC"/>
    <w:rsid w:val="74E76DCD"/>
    <w:rsid w:val="751D7C0A"/>
    <w:rsid w:val="75722D56"/>
    <w:rsid w:val="758B3E18"/>
    <w:rsid w:val="75DB5477"/>
    <w:rsid w:val="75FC6AC3"/>
    <w:rsid w:val="7616619B"/>
    <w:rsid w:val="76660D7C"/>
    <w:rsid w:val="766C5968"/>
    <w:rsid w:val="76BE0C8F"/>
    <w:rsid w:val="76CD53B2"/>
    <w:rsid w:val="770719AC"/>
    <w:rsid w:val="774E68CA"/>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1C072C"/>
    <w:rsid w:val="7C976D69"/>
    <w:rsid w:val="7CD752DA"/>
    <w:rsid w:val="7CDE40AB"/>
    <w:rsid w:val="7CF057E2"/>
    <w:rsid w:val="7D1548B5"/>
    <w:rsid w:val="7DE7321B"/>
    <w:rsid w:val="7DF84014"/>
    <w:rsid w:val="7E207949"/>
    <w:rsid w:val="7E5C0A47"/>
    <w:rsid w:val="7E670C75"/>
    <w:rsid w:val="7EE24272"/>
    <w:rsid w:val="7EEA6053"/>
    <w:rsid w:val="7F487C04"/>
    <w:rsid w:val="7FB45F21"/>
    <w:rsid w:val="7FE57088"/>
    <w:rsid w:val="7FF37F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560" w:lineRule="exact"/>
      <w:ind w:firstLine="560" w:firstLineChars="200"/>
      <w:outlineLvl w:val="1"/>
    </w:pPr>
    <w:rPr>
      <w:rFonts w:ascii="黑体" w:hAnsi="黑体" w:eastAsia="黑体"/>
    </w:rPr>
  </w:style>
  <w:style w:type="character" w:default="1" w:styleId="11">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5838</Words>
  <Characters>6517</Characters>
  <Lines>0</Lines>
  <Paragraphs>0</Paragraphs>
  <ScaleCrop>false</ScaleCrop>
  <LinksUpToDate>false</LinksUpToDate>
  <CharactersWithSpaces>6527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2024-08-30T11:32:49Z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y fmtid="{D5CDD505-2E9C-101B-9397-08002B2CF9AE}" pid="3" name="ICV">
    <vt:lpwstr>D624B15633CD43C8BF9435464A96BF70</vt:lpwstr>
  </property>
</Properties>
</file>