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19FB1D">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7317C3F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249F4D80">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val="en-US" w:eastAsia="zh-CN"/>
        </w:rPr>
        <w:t>新疆维吾尔自治区重要信息系统灾难备份中心</w:t>
      </w: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决算公开说明</w:t>
      </w:r>
    </w:p>
    <w:p w14:paraId="181D647B">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73A23EF1">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0BF217FB">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3594295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2BEABFB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6DC0877B">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0BCEE86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1537F68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09466F6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1C26DC6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4FFA360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0B0C8A5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1E1D07E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3DA70B3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2FD7724C">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21A4928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03126258">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13A7AD64">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541B8DDA">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7A9F4F0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59D68F6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1DAED190">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62D31B93">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0B8BBF6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146D678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5D2B387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40D788D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1027BED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7CFF33C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676834F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67E4EA2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32BA2DD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37C4ABA1">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56ED71B7">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39D4901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71CA68A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40824004">
      <w:pPr>
        <w:rPr>
          <w:rFonts w:ascii="黑体" w:hAnsi="黑体" w:eastAsia="黑体" w:cs="宋体"/>
          <w:bCs/>
          <w:kern w:val="0"/>
          <w:sz w:val="32"/>
          <w:szCs w:val="32"/>
        </w:rPr>
      </w:pPr>
      <w:bookmarkStart w:id="4" w:name="_Toc31238"/>
      <w:bookmarkStart w:id="5" w:name="_Toc2151"/>
      <w:r>
        <w:rPr>
          <w:rFonts w:ascii="仿宋_GB2312" w:eastAsia="仿宋_GB2312"/>
          <w:sz w:val="32"/>
          <w:szCs w:val="32"/>
        </w:rPr>
        <w:t>　</w:t>
      </w:r>
      <w:r>
        <w:rPr>
          <w:rFonts w:hint="eastAsia" w:ascii="仿宋_GB2312" w:eastAsia="仿宋_GB2312"/>
          <w:sz w:val="32"/>
          <w:szCs w:val="32"/>
          <w:lang w:val="en-US" w:eastAsia="zh-CN"/>
        </w:rPr>
        <w:t xml:space="preserve">  </w:t>
      </w:r>
      <w:r>
        <w:rPr>
          <w:rFonts w:ascii="仿宋_GB2312" w:eastAsia="仿宋_GB2312"/>
          <w:sz w:val="32"/>
          <w:szCs w:val="32"/>
        </w:rPr>
        <w:t>根据《关于印发＜新疆维吾尔自治区经济和信息化委员会（新疆维吾尔自治区国防科学技术工业办公室）所属事业单位分类改革方案＞的通知》（新事改办〔</w:t>
      </w:r>
      <w:r>
        <w:rPr>
          <w:rFonts w:hint="eastAsia" w:ascii="Times New Roman" w:hAnsi="Times New Roman" w:eastAsia="仿宋_GB2312" w:cs="仿宋_GB2312"/>
          <w:color w:val="auto"/>
          <w:sz w:val="32"/>
          <w:szCs w:val="32"/>
          <w:highlight w:val="none"/>
          <w:lang w:val="en-US" w:eastAsia="zh-CN"/>
        </w:rPr>
        <w:t>2014</w:t>
      </w:r>
      <w:r>
        <w:rPr>
          <w:rFonts w:ascii="仿宋_GB2312" w:eastAsia="仿宋_GB2312"/>
          <w:sz w:val="32"/>
          <w:szCs w:val="32"/>
        </w:rPr>
        <w:t>〕</w:t>
      </w:r>
      <w:r>
        <w:rPr>
          <w:rFonts w:hint="eastAsia" w:ascii="Times New Roman" w:hAnsi="Times New Roman" w:eastAsia="仿宋_GB2312" w:cs="仿宋_GB2312"/>
          <w:color w:val="auto"/>
          <w:sz w:val="32"/>
          <w:szCs w:val="32"/>
          <w:highlight w:val="none"/>
          <w:lang w:val="en-US" w:eastAsia="zh-CN"/>
        </w:rPr>
        <w:t>11</w:t>
      </w:r>
      <w:r>
        <w:rPr>
          <w:rFonts w:ascii="仿宋_GB2312" w:eastAsia="仿宋_GB2312"/>
          <w:sz w:val="32"/>
          <w:szCs w:val="32"/>
        </w:rPr>
        <w:t>号）文件，核定新疆维吾尔自治区重要信息系统灾难备份中心为公益一类事业单位。主要职能：为自治区重要信息系统灾难备份提供服务，承担自治区重要信息系统异地灾难备份中心的规划、建设和运行维护等工作，承办自治区工信厅交办的其他工作等</w:t>
      </w:r>
      <w:r>
        <w:rPr>
          <w:rFonts w:hint="eastAsia" w:ascii="仿宋_GB2312" w:eastAsia="仿宋_GB2312"/>
          <w:sz w:val="32"/>
          <w:szCs w:val="32"/>
        </w:rPr>
        <w:t>。</w:t>
      </w:r>
    </w:p>
    <w:p w14:paraId="0D00D72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423DDB7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新疆维吾尔自治区重要信息系统灾难备份中心</w:t>
      </w:r>
      <w:r>
        <w:rPr>
          <w:rFonts w:hint="eastAsia" w:ascii="Times New Roman" w:hAnsi="Times New Roman" w:eastAsia="仿宋_GB2312" w:cs="仿宋_GB2312"/>
          <w:color w:val="auto"/>
          <w:sz w:val="32"/>
          <w:szCs w:val="32"/>
          <w:highlight w:val="none"/>
          <w:lang w:val="en-US" w:eastAsia="zh-CN"/>
        </w:rPr>
        <w:t>2023</w:t>
      </w:r>
      <w:r>
        <w:rPr>
          <w:rFonts w:hint="eastAsia" w:ascii="仿宋_GB2312" w:eastAsia="仿宋_GB2312"/>
          <w:color w:val="auto"/>
          <w:sz w:val="32"/>
          <w:szCs w:val="32"/>
          <w:highlight w:val="none"/>
          <w:lang w:eastAsia="zh-CN"/>
        </w:rPr>
        <w:t>年度，</w:t>
      </w:r>
      <w:r>
        <w:rPr>
          <w:rFonts w:hint="eastAsia" w:ascii="仿宋_GB2312" w:eastAsia="仿宋_GB2312"/>
          <w:color w:val="auto"/>
          <w:sz w:val="32"/>
          <w:szCs w:val="32"/>
          <w:highlight w:val="none"/>
        </w:rPr>
        <w:t>实有人数</w:t>
      </w:r>
      <w:r>
        <w:rPr>
          <w:rFonts w:hint="eastAsia" w:ascii="Times New Roman" w:hAnsi="Times New Roman" w:eastAsia="仿宋_GB2312" w:cs="仿宋_GB2312"/>
          <w:color w:val="auto"/>
          <w:sz w:val="32"/>
          <w:szCs w:val="32"/>
          <w:highlight w:val="none"/>
          <w:lang w:val="zh-CN" w:eastAsia="zh-CN"/>
        </w:rPr>
        <w:t>8</w:t>
      </w:r>
      <w:r>
        <w:rPr>
          <w:rFonts w:hint="eastAsia" w:ascii="仿宋_GB2312" w:eastAsia="仿宋_GB2312"/>
          <w:color w:val="auto"/>
          <w:sz w:val="32"/>
          <w:szCs w:val="32"/>
          <w:highlight w:val="none"/>
        </w:rPr>
        <w:t>人，其中：在职人员</w:t>
      </w:r>
      <w:r>
        <w:rPr>
          <w:rFonts w:hint="eastAsia" w:ascii="Times New Roman" w:hAnsi="Times New Roman" w:eastAsia="仿宋_GB2312" w:cs="仿宋_GB2312"/>
          <w:color w:val="auto"/>
          <w:sz w:val="32"/>
          <w:szCs w:val="32"/>
          <w:highlight w:val="none"/>
          <w:lang w:val="zh-CN" w:eastAsia="zh-CN"/>
        </w:rPr>
        <w:t>7</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Times New Roman" w:hAnsi="Times New Roman" w:eastAsia="仿宋_GB2312" w:cs="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Times New Roman" w:hAnsi="Times New Roman" w:eastAsia="仿宋_GB2312" w:cs="仿宋_GB2312"/>
          <w:color w:val="auto"/>
          <w:sz w:val="32"/>
          <w:szCs w:val="32"/>
          <w:highlight w:val="none"/>
          <w:lang w:val="zh-CN" w:eastAsia="zh-CN"/>
        </w:rPr>
        <w:t>1</w:t>
      </w:r>
      <w:r>
        <w:rPr>
          <w:rFonts w:hint="eastAsia" w:ascii="仿宋_GB2312" w:eastAsia="仿宋_GB2312"/>
          <w:color w:val="auto"/>
          <w:sz w:val="32"/>
          <w:szCs w:val="32"/>
          <w:highlight w:val="none"/>
        </w:rPr>
        <w:t>人。</w:t>
      </w:r>
    </w:p>
    <w:p w14:paraId="090619F0">
      <w:pPr>
        <w:ind w:firstLine="640" w:firstLineChars="200"/>
        <w:rPr>
          <w:rFonts w:ascii="仿宋_GB2312" w:eastAsia="仿宋_GB2312"/>
          <w:sz w:val="32"/>
          <w:szCs w:val="32"/>
        </w:rPr>
      </w:pPr>
      <w:bookmarkStart w:id="6" w:name="_Toc3092"/>
      <w:bookmarkStart w:id="7" w:name="_Toc29374"/>
      <w:r>
        <w:rPr>
          <w:rFonts w:hint="eastAsia" w:ascii="仿宋_GB2312" w:hAnsi="黑体" w:eastAsia="仿宋_GB2312" w:cs="宋体"/>
          <w:bCs/>
          <w:kern w:val="0"/>
          <w:sz w:val="32"/>
          <w:szCs w:val="32"/>
        </w:rPr>
        <w:t>单位无下属预算单位，下设</w:t>
      </w:r>
      <w:r>
        <w:rPr>
          <w:rFonts w:hint="eastAsia" w:ascii="Times New Roman" w:hAnsi="Times New Roman" w:eastAsia="仿宋_GB2312" w:cs="仿宋_GB2312"/>
          <w:color w:val="auto"/>
          <w:sz w:val="32"/>
          <w:szCs w:val="32"/>
          <w:highlight w:val="none"/>
          <w:lang w:val="en-US" w:eastAsia="zh-CN"/>
        </w:rPr>
        <w:t>3</w:t>
      </w:r>
      <w:r>
        <w:rPr>
          <w:rFonts w:hint="eastAsia" w:ascii="仿宋_GB2312" w:hAnsi="黑体" w:eastAsia="仿宋_GB2312" w:cs="宋体"/>
          <w:bCs/>
          <w:kern w:val="0"/>
          <w:sz w:val="32"/>
          <w:szCs w:val="32"/>
        </w:rPr>
        <w:t>个处室，分别是：综合部、业务部、技术部</w:t>
      </w:r>
      <w:r>
        <w:rPr>
          <w:rFonts w:hint="eastAsia" w:ascii="仿宋_GB2312" w:hAnsi="宋体" w:eastAsia="仿宋_GB2312" w:cs="宋体"/>
          <w:kern w:val="0"/>
          <w:sz w:val="32"/>
          <w:szCs w:val="32"/>
        </w:rPr>
        <w:t>。</w:t>
      </w:r>
    </w:p>
    <w:p w14:paraId="29F7750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59EAA3E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593A4FE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18F6254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322E90D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7761E27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6384CCB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39770EE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14:paraId="02D4C6E4">
      <w:pPr>
        <w:ind w:firstLine="643" w:firstLineChars="200"/>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b/>
          <w:bCs/>
          <w:color w:val="auto"/>
          <w:sz w:val="32"/>
          <w:szCs w:val="32"/>
          <w:highlight w:val="none"/>
          <w:lang w:val="en-US" w:eastAsia="zh-CN"/>
        </w:rPr>
        <w:t>2023年度收入总计1,089.70万元，</w:t>
      </w:r>
      <w:r>
        <w:rPr>
          <w:rFonts w:hint="eastAsia" w:ascii="Times New Roman" w:hAnsi="Times New Roman" w:eastAsia="仿宋_GB2312" w:cs="仿宋_GB2312"/>
          <w:color w:val="auto"/>
          <w:sz w:val="32"/>
          <w:szCs w:val="32"/>
          <w:highlight w:val="none"/>
          <w:lang w:val="en-US" w:eastAsia="zh-CN"/>
        </w:rPr>
        <w:t>其中：本年收入合计1,088.68万元，使用非财政拨款结余0.00万元，年初结转和结余1.02万元。</w:t>
      </w:r>
    </w:p>
    <w:p w14:paraId="3741C348">
      <w:pPr>
        <w:ind w:firstLine="643" w:firstLineChars="200"/>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b/>
          <w:bCs/>
          <w:color w:val="auto"/>
          <w:sz w:val="32"/>
          <w:szCs w:val="32"/>
          <w:highlight w:val="none"/>
          <w:lang w:val="en-US" w:eastAsia="zh-CN"/>
        </w:rPr>
        <w:t>2023年度支出总计1,089.70万元，</w:t>
      </w:r>
      <w:r>
        <w:rPr>
          <w:rFonts w:hint="eastAsia" w:ascii="Times New Roman" w:hAnsi="Times New Roman" w:eastAsia="仿宋_GB2312" w:cs="仿宋_GB2312"/>
          <w:color w:val="auto"/>
          <w:sz w:val="32"/>
          <w:szCs w:val="32"/>
          <w:highlight w:val="none"/>
          <w:lang w:val="en-US" w:eastAsia="zh-CN"/>
        </w:rPr>
        <w:t>其中：本年支出合计1,088.54万元，结余分配0.00万元，年末结转和结余1.16万元。</w:t>
      </w:r>
    </w:p>
    <w:p w14:paraId="3B15169C">
      <w:pPr>
        <w:ind w:firstLine="643" w:firstLineChars="200"/>
        <w:rPr>
          <w:rFonts w:hint="eastAsia" w:ascii="Times New Roman" w:hAnsi="Times New Roman" w:eastAsia="仿宋_GB2312" w:cs="仿宋_GB2312"/>
          <w:color w:val="auto"/>
          <w:sz w:val="32"/>
          <w:szCs w:val="32"/>
          <w:highlight w:val="none"/>
          <w:lang w:val="en-US" w:eastAsia="zh-CN"/>
        </w:rPr>
      </w:pPr>
      <w:r>
        <w:rPr>
          <w:rFonts w:hint="eastAsia" w:ascii="仿宋_GB2312" w:hAnsi="仿宋_GB2312" w:eastAsia="仿宋_GB2312" w:cs="仿宋_GB2312"/>
          <w:b/>
          <w:bCs w:val="0"/>
          <w:kern w:val="0"/>
          <w:sz w:val="32"/>
          <w:szCs w:val="32"/>
          <w:highlight w:val="none"/>
        </w:rPr>
        <w:t>收入支出总体</w:t>
      </w:r>
      <w:r>
        <w:rPr>
          <w:rFonts w:hint="eastAsia" w:ascii="仿宋_GB2312" w:eastAsia="仿宋_GB2312"/>
          <w:b/>
          <w:bCs w:val="0"/>
          <w:sz w:val="32"/>
          <w:szCs w:val="32"/>
          <w:highlight w:val="none"/>
        </w:rPr>
        <w:t>与上年相比</w:t>
      </w:r>
      <w:r>
        <w:rPr>
          <w:rFonts w:hint="eastAsia" w:ascii="仿宋_GB2312" w:eastAsia="仿宋_GB2312"/>
          <w:b/>
          <w:bCs w:val="0"/>
          <w:sz w:val="32"/>
          <w:szCs w:val="32"/>
          <w:highlight w:val="none"/>
          <w:lang w:eastAsia="zh-CN"/>
        </w:rPr>
        <w:t>，</w:t>
      </w:r>
      <w:r>
        <w:rPr>
          <w:rFonts w:hint="eastAsia" w:ascii="Times New Roman" w:hAnsi="Times New Roman" w:eastAsia="仿宋_GB2312" w:cs="仿宋_GB2312"/>
          <w:color w:val="auto"/>
          <w:sz w:val="32"/>
          <w:szCs w:val="32"/>
          <w:highlight w:val="none"/>
          <w:lang w:val="zh-CN" w:eastAsia="zh-CN"/>
        </w:rPr>
        <w:t>增加317.4</w:t>
      </w:r>
      <w:r>
        <w:rPr>
          <w:rFonts w:hint="eastAsia" w:ascii="Times New Roman" w:hAnsi="Times New Roman" w:eastAsia="仿宋_GB2312" w:cs="仿宋_GB2312"/>
          <w:color w:val="auto"/>
          <w:sz w:val="32"/>
          <w:szCs w:val="32"/>
          <w:highlight w:val="none"/>
          <w:lang w:val="en-US" w:eastAsia="zh-CN"/>
        </w:rPr>
        <w:t>3</w:t>
      </w:r>
      <w:r>
        <w:rPr>
          <w:rFonts w:hint="eastAsia" w:ascii="Times New Roman" w:hAnsi="Times New Roman" w:eastAsia="仿宋_GB2312" w:cs="仿宋_GB2312"/>
          <w:color w:val="auto"/>
          <w:sz w:val="32"/>
          <w:szCs w:val="32"/>
          <w:highlight w:val="none"/>
          <w:lang w:val="zh-CN" w:eastAsia="zh-CN"/>
        </w:rPr>
        <w:t>万元</w:t>
      </w:r>
      <w:r>
        <w:rPr>
          <w:rFonts w:hint="eastAsia" w:ascii="Times New Roman" w:hAnsi="Times New Roman" w:eastAsia="仿宋_GB2312" w:cs="仿宋_GB2312"/>
          <w:color w:val="auto"/>
          <w:sz w:val="32"/>
          <w:szCs w:val="32"/>
          <w:highlight w:val="none"/>
          <w:lang w:val="en-US" w:eastAsia="zh-CN"/>
        </w:rPr>
        <w:t>，</w:t>
      </w:r>
      <w:r>
        <w:rPr>
          <w:rFonts w:hint="eastAsia" w:ascii="Times New Roman" w:hAnsi="Times New Roman" w:eastAsia="仿宋_GB2312" w:cs="仿宋_GB2312"/>
          <w:color w:val="auto"/>
          <w:sz w:val="32"/>
          <w:szCs w:val="32"/>
          <w:highlight w:val="none"/>
          <w:lang w:val="zh-CN" w:eastAsia="zh-CN"/>
        </w:rPr>
        <w:t>增长41.10%</w:t>
      </w:r>
      <w:r>
        <w:rPr>
          <w:rFonts w:hint="eastAsia" w:ascii="Times New Roman" w:hAnsi="Times New Roman" w:eastAsia="仿宋_GB2312" w:cs="仿宋_GB2312"/>
          <w:color w:val="auto"/>
          <w:sz w:val="32"/>
          <w:szCs w:val="32"/>
          <w:highlight w:val="none"/>
          <w:lang w:val="en-US" w:eastAsia="zh-CN"/>
        </w:rPr>
        <w:t>，主要原因是：</w:t>
      </w:r>
      <w:r>
        <w:rPr>
          <w:rFonts w:hint="eastAsia" w:eastAsia="仿宋_GB2312" w:cs="仿宋_GB2312"/>
          <w:color w:val="auto"/>
          <w:sz w:val="32"/>
          <w:szCs w:val="32"/>
          <w:highlight w:val="none"/>
          <w:lang w:val="en-US" w:eastAsia="zh-CN"/>
        </w:rPr>
        <w:t>一是</w:t>
      </w:r>
      <w:r>
        <w:rPr>
          <w:rFonts w:hint="eastAsia" w:ascii="Times New Roman" w:hAnsi="Times New Roman" w:eastAsia="仿宋_GB2312" w:cs="仿宋_GB2312"/>
          <w:color w:val="auto"/>
          <w:sz w:val="32"/>
          <w:szCs w:val="32"/>
          <w:highlight w:val="none"/>
          <w:lang w:val="en-US" w:eastAsia="zh-CN"/>
        </w:rPr>
        <w:t>在职人员工资标准提高</w:t>
      </w:r>
      <w:r>
        <w:rPr>
          <w:rFonts w:hint="eastAsia" w:eastAsia="仿宋_GB2312" w:cs="仿宋_GB2312"/>
          <w:color w:val="auto"/>
          <w:sz w:val="32"/>
          <w:szCs w:val="32"/>
          <w:highlight w:val="none"/>
          <w:lang w:val="en-US" w:eastAsia="zh-CN"/>
        </w:rPr>
        <w:t>；二是</w:t>
      </w:r>
      <w:r>
        <w:rPr>
          <w:rFonts w:hint="eastAsia" w:ascii="Times New Roman" w:hAnsi="Times New Roman" w:eastAsia="仿宋_GB2312" w:cs="仿宋_GB2312"/>
          <w:color w:val="auto"/>
          <w:sz w:val="32"/>
          <w:szCs w:val="32"/>
          <w:highlight w:val="none"/>
          <w:lang w:val="en-US" w:eastAsia="zh-CN"/>
        </w:rPr>
        <w:t>7月退休1人</w:t>
      </w:r>
      <w:r>
        <w:rPr>
          <w:rFonts w:hint="eastAsia" w:eastAsia="仿宋_GB2312" w:cs="仿宋_GB2312"/>
          <w:color w:val="auto"/>
          <w:sz w:val="32"/>
          <w:szCs w:val="32"/>
          <w:highlight w:val="none"/>
          <w:lang w:val="en-US" w:eastAsia="zh-CN"/>
        </w:rPr>
        <w:t>，</w:t>
      </w:r>
      <w:r>
        <w:rPr>
          <w:rFonts w:hint="eastAsia" w:ascii="Times New Roman" w:hAnsi="Times New Roman" w:eastAsia="仿宋_GB2312" w:cs="仿宋_GB2312"/>
          <w:color w:val="auto"/>
          <w:sz w:val="32"/>
          <w:szCs w:val="32"/>
          <w:highlight w:val="none"/>
          <w:lang w:val="en-US" w:eastAsia="zh-CN"/>
        </w:rPr>
        <w:t>财政核拨职业年金缴费</w:t>
      </w:r>
      <w:r>
        <w:rPr>
          <w:rFonts w:hint="eastAsia" w:eastAsia="仿宋_GB2312" w:cs="仿宋_GB2312"/>
          <w:color w:val="auto"/>
          <w:sz w:val="32"/>
          <w:szCs w:val="32"/>
          <w:highlight w:val="none"/>
          <w:lang w:val="en-US" w:eastAsia="zh-CN"/>
        </w:rPr>
        <w:t>，职业年金缴费增加；三是增加两个项目收入，即</w:t>
      </w:r>
      <w:r>
        <w:rPr>
          <w:rFonts w:hint="eastAsia" w:ascii="Times New Roman" w:hAnsi="Times New Roman" w:eastAsia="仿宋_GB2312" w:cs="仿宋_GB2312"/>
          <w:color w:val="auto"/>
          <w:sz w:val="32"/>
          <w:szCs w:val="32"/>
          <w:highlight w:val="none"/>
          <w:lang w:val="en-US" w:eastAsia="zh-CN"/>
        </w:rPr>
        <w:t>视频云项目</w:t>
      </w:r>
      <w:r>
        <w:rPr>
          <w:rFonts w:hint="eastAsia" w:eastAsia="仿宋_GB2312" w:cs="仿宋_GB2312"/>
          <w:color w:val="auto"/>
          <w:sz w:val="32"/>
          <w:szCs w:val="32"/>
          <w:highlight w:val="none"/>
          <w:lang w:val="en-US" w:eastAsia="zh-CN"/>
        </w:rPr>
        <w:t>、</w:t>
      </w:r>
      <w:r>
        <w:rPr>
          <w:rFonts w:hint="eastAsia" w:ascii="Times New Roman" w:hAnsi="Times New Roman" w:eastAsia="仿宋_GB2312" w:cs="仿宋_GB2312"/>
          <w:color w:val="auto"/>
          <w:sz w:val="32"/>
          <w:szCs w:val="32"/>
          <w:highlight w:val="none"/>
          <w:lang w:val="en-US" w:eastAsia="zh-CN"/>
        </w:rPr>
        <w:t>异地灾备服务收入</w:t>
      </w:r>
      <w:r>
        <w:rPr>
          <w:rFonts w:hint="eastAsia" w:eastAsia="仿宋_GB2312" w:cs="仿宋_GB2312"/>
          <w:color w:val="auto"/>
          <w:sz w:val="32"/>
          <w:szCs w:val="32"/>
          <w:highlight w:val="none"/>
          <w:lang w:val="en-US" w:eastAsia="zh-CN"/>
        </w:rPr>
        <w:t>项目；四是</w:t>
      </w:r>
      <w:r>
        <w:rPr>
          <w:rFonts w:hint="eastAsia" w:ascii="Times New Roman" w:hAnsi="Times New Roman" w:eastAsia="仿宋_GB2312" w:cs="仿宋_GB2312"/>
          <w:color w:val="auto"/>
          <w:sz w:val="32"/>
          <w:szCs w:val="32"/>
          <w:highlight w:val="none"/>
          <w:lang w:val="en-US" w:eastAsia="zh-CN"/>
        </w:rPr>
        <w:t>年初结转和结余与上年相比增加1.02万元，上年无年初结转和结余。</w:t>
      </w:r>
    </w:p>
    <w:p w14:paraId="50E16E5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2FF740D9">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Times New Roman" w:hAnsi="Times New Roman" w:eastAsia="仿宋_GB2312" w:cs="仿宋_GB2312"/>
          <w:color w:val="auto"/>
          <w:sz w:val="32"/>
          <w:szCs w:val="32"/>
          <w:highlight w:val="none"/>
          <w:lang w:val="zh-CN" w:eastAsia="zh-CN"/>
        </w:rPr>
      </w:pPr>
      <w:r>
        <w:rPr>
          <w:rFonts w:hint="eastAsia" w:ascii="Times New Roman" w:hAnsi="Times New Roman" w:eastAsia="仿宋_GB2312" w:cs="仿宋_GB2312"/>
          <w:b/>
          <w:bCs/>
          <w:color w:val="auto"/>
          <w:sz w:val="32"/>
          <w:szCs w:val="32"/>
          <w:highlight w:val="none"/>
          <w:lang w:val="zh-CN" w:eastAsia="zh-CN"/>
        </w:rPr>
        <w:t>本年收入1,088.68万元，</w:t>
      </w:r>
      <w:r>
        <w:rPr>
          <w:rFonts w:hint="eastAsia" w:ascii="Times New Roman" w:hAnsi="Times New Roman" w:eastAsia="仿宋_GB2312" w:cs="仿宋_GB2312"/>
          <w:color w:val="auto"/>
          <w:sz w:val="32"/>
          <w:szCs w:val="32"/>
          <w:highlight w:val="none"/>
          <w:lang w:val="zh-CN" w:eastAsia="zh-CN"/>
        </w:rPr>
        <w:t>其中：财政拨款收入506.09万元，占46.49%；上级补助收入0.00万元，占0.00%；事业收入0.00万元，占0.00%；经营收入0.00万元，占0.00%；附属单位上缴收入0.00万元，占0.00%；其他收入582.59万元，占53.51%。</w:t>
      </w:r>
    </w:p>
    <w:p w14:paraId="62210A3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3839EC94">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b/>
          <w:bCs/>
          <w:color w:val="auto"/>
          <w:sz w:val="32"/>
          <w:szCs w:val="32"/>
          <w:highlight w:val="none"/>
          <w:lang w:val="zh-CN" w:eastAsia="zh-CN"/>
        </w:rPr>
        <w:t>本年支出1,088.54万元，</w:t>
      </w:r>
      <w:r>
        <w:rPr>
          <w:rFonts w:hint="eastAsia" w:ascii="Times New Roman" w:hAnsi="Times New Roman" w:eastAsia="仿宋_GB2312" w:cs="仿宋_GB2312"/>
          <w:color w:val="auto"/>
          <w:sz w:val="32"/>
          <w:szCs w:val="32"/>
          <w:highlight w:val="none"/>
          <w:lang w:val="zh-CN" w:eastAsia="zh-CN"/>
        </w:rPr>
        <w:t>其中：基本支出206.09万元，占18.93%；项目支出882.45万元，占81.07%；上缴上级支出0.00万元，占0.00%；经营支出0.00万元，占0.00%；对附属单位补助支出0.00万元，占0.00%。</w:t>
      </w:r>
    </w:p>
    <w:p w14:paraId="0954CDD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720A2CA0">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hAnsi="Times New Roman" w:eastAsia="仿宋_GB2312" w:cs="Times New Roman"/>
          <w:b/>
          <w:bCs/>
          <w:sz w:val="32"/>
          <w:szCs w:val="32"/>
          <w:highlight w:val="none"/>
          <w:lang w:val="zh-CN" w:eastAsia="zh-CN"/>
        </w:rPr>
        <w:t>2023</w:t>
      </w:r>
      <w:r>
        <w:rPr>
          <w:rFonts w:hint="eastAsia" w:ascii="仿宋_GB2312" w:hAnsi="Times New Roman" w:eastAsia="仿宋_GB2312" w:cs="Times New Roman"/>
          <w:b/>
          <w:bCs/>
          <w:sz w:val="32"/>
          <w:szCs w:val="32"/>
          <w:highlight w:val="none"/>
          <w:lang w:eastAsia="zh-CN"/>
        </w:rPr>
        <w:t>年度财政拨款收入</w:t>
      </w:r>
      <w:r>
        <w:rPr>
          <w:rFonts w:hint="eastAsia" w:ascii="仿宋_GB2312" w:hAnsi="Times New Roman" w:eastAsia="仿宋_GB2312" w:cs="Times New Roman"/>
          <w:b/>
          <w:bCs/>
          <w:sz w:val="32"/>
          <w:szCs w:val="32"/>
          <w:highlight w:val="none"/>
          <w:lang w:val="en-US" w:eastAsia="zh-CN"/>
        </w:rPr>
        <w:t>总计</w:t>
      </w:r>
      <w:r>
        <w:rPr>
          <w:rFonts w:hint="eastAsia" w:ascii="仿宋_GB2312" w:hAnsi="Times New Roman" w:eastAsia="仿宋_GB2312" w:cs="Times New Roman"/>
          <w:b/>
          <w:bCs/>
          <w:sz w:val="32"/>
          <w:szCs w:val="32"/>
          <w:highlight w:val="none"/>
          <w:lang w:val="zh-CN" w:eastAsia="zh-CN"/>
        </w:rPr>
        <w:t>506.09</w:t>
      </w:r>
      <w:r>
        <w:rPr>
          <w:rFonts w:hint="eastAsia" w:ascii="仿宋_GB2312" w:hAnsi="Times New Roman" w:eastAsia="仿宋_GB2312" w:cs="Times New Roman"/>
          <w:b/>
          <w:bCs/>
          <w:sz w:val="32"/>
          <w:szCs w:val="32"/>
          <w:highlight w:val="none"/>
          <w:lang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其中：年初财政拨款结转和结余</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Times New Roman" w:hAnsi="Times New Roman" w:eastAsia="仿宋_GB2312" w:cs="Times New Roman"/>
          <w:color w:val="auto"/>
          <w:kern w:val="2"/>
          <w:sz w:val="32"/>
          <w:szCs w:val="32"/>
          <w:highlight w:val="none"/>
          <w:lang w:val="zh-CN" w:eastAsia="zh-CN" w:bidi="ar-SA"/>
        </w:rPr>
        <w:t>506.09</w:t>
      </w:r>
      <w:r>
        <w:rPr>
          <w:rFonts w:hint="eastAsia" w:ascii="仿宋_GB2312" w:eastAsia="仿宋_GB2312"/>
          <w:color w:val="auto"/>
          <w:spacing w:val="0"/>
          <w:sz w:val="32"/>
          <w:szCs w:val="32"/>
          <w:highlight w:val="none"/>
          <w:lang w:eastAsia="zh-CN"/>
        </w:rPr>
        <w:t>万元。</w:t>
      </w:r>
      <w:r>
        <w:rPr>
          <w:rFonts w:hint="eastAsia" w:ascii="仿宋_GB2312" w:hAnsi="Times New Roman" w:eastAsia="仿宋_GB2312" w:cs="Times New Roman"/>
          <w:b/>
          <w:bCs/>
          <w:sz w:val="32"/>
          <w:szCs w:val="32"/>
          <w:highlight w:val="none"/>
          <w:lang w:val="en-US" w:eastAsia="zh-CN"/>
        </w:rPr>
        <w:t>财政拨款支出总计</w:t>
      </w:r>
      <w:r>
        <w:rPr>
          <w:rFonts w:hint="eastAsia" w:ascii="仿宋_GB2312" w:hAnsi="Times New Roman" w:eastAsia="仿宋_GB2312" w:cs="Times New Roman"/>
          <w:b/>
          <w:bCs/>
          <w:sz w:val="32"/>
          <w:szCs w:val="32"/>
          <w:highlight w:val="none"/>
          <w:lang w:val="zh-CN" w:eastAsia="zh-CN"/>
        </w:rPr>
        <w:t>506.09</w:t>
      </w:r>
      <w:r>
        <w:rPr>
          <w:rFonts w:hint="eastAsia" w:ascii="仿宋_GB2312" w:hAnsi="Times New Roman" w:eastAsia="仿宋_GB2312" w:cs="Times New Roman"/>
          <w:b/>
          <w:bCs/>
          <w:sz w:val="32"/>
          <w:szCs w:val="32"/>
          <w:highlight w:val="none"/>
          <w:lang w:val="en-US"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其中：年末财政拨款结转和结余</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Times New Roman" w:hAnsi="Times New Roman" w:eastAsia="仿宋_GB2312" w:cs="Times New Roman"/>
          <w:color w:val="auto"/>
          <w:kern w:val="2"/>
          <w:sz w:val="32"/>
          <w:szCs w:val="32"/>
          <w:highlight w:val="none"/>
          <w:lang w:val="zh-CN" w:eastAsia="zh-CN" w:bidi="ar-SA"/>
        </w:rPr>
        <w:t>506.09</w:t>
      </w:r>
      <w:r>
        <w:rPr>
          <w:rFonts w:hint="eastAsia" w:ascii="仿宋_GB2312" w:eastAsia="仿宋_GB2312"/>
          <w:color w:val="auto"/>
          <w:spacing w:val="0"/>
          <w:sz w:val="32"/>
          <w:szCs w:val="32"/>
          <w:highlight w:val="none"/>
          <w:lang w:eastAsia="zh-CN"/>
        </w:rPr>
        <w:t>万元。</w:t>
      </w:r>
    </w:p>
    <w:p w14:paraId="7BFE45A1">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hAnsi="仿宋_GB2312" w:eastAsia="仿宋_GB2312" w:cs="仿宋_GB2312"/>
          <w:b/>
          <w:bCs w:val="0"/>
          <w:kern w:val="0"/>
          <w:sz w:val="32"/>
          <w:szCs w:val="32"/>
          <w:highlight w:val="none"/>
          <w:lang w:eastAsia="zh-CN"/>
        </w:rPr>
        <w:t>财政拨款收入支出总体</w:t>
      </w:r>
      <w:r>
        <w:rPr>
          <w:rFonts w:hint="eastAsia" w:ascii="仿宋_GB2312" w:eastAsia="仿宋_GB2312"/>
          <w:b/>
          <w:bCs w:val="0"/>
          <w:sz w:val="32"/>
          <w:szCs w:val="32"/>
          <w:highlight w:val="none"/>
        </w:rPr>
        <w:t>与上年相比，</w:t>
      </w:r>
      <w:r>
        <w:rPr>
          <w:rFonts w:hint="eastAsia" w:ascii="仿宋_GB2312" w:eastAsia="仿宋_GB2312"/>
          <w:sz w:val="32"/>
          <w:szCs w:val="32"/>
          <w:highlight w:val="none"/>
        </w:rPr>
        <w:t>增加</w:t>
      </w:r>
      <w:r>
        <w:rPr>
          <w:rFonts w:hint="eastAsia" w:ascii="Times New Roman" w:hAnsi="Times New Roman" w:eastAsia="仿宋_GB2312" w:cs="Times New Roman"/>
          <w:color w:val="auto"/>
          <w:kern w:val="2"/>
          <w:sz w:val="32"/>
          <w:szCs w:val="32"/>
          <w:highlight w:val="none"/>
          <w:lang w:val="zh-CN" w:eastAsia="zh-CN" w:bidi="ar-SA"/>
        </w:rPr>
        <w:t>16.55</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w:t>
      </w:r>
      <w:r>
        <w:rPr>
          <w:rFonts w:hint="eastAsia" w:ascii="Times New Roman" w:hAnsi="Times New Roman" w:eastAsia="仿宋_GB2312" w:cs="Times New Roman"/>
          <w:color w:val="auto"/>
          <w:kern w:val="2"/>
          <w:sz w:val="32"/>
          <w:szCs w:val="32"/>
          <w:highlight w:val="none"/>
          <w:lang w:val="zh-CN" w:eastAsia="zh-CN" w:bidi="ar-SA"/>
        </w:rPr>
        <w:t>3.38%</w:t>
      </w:r>
      <w:r>
        <w:rPr>
          <w:rFonts w:hint="eastAsia" w:ascii="仿宋_GB2312" w:eastAsia="仿宋_GB2312"/>
          <w:color w:val="auto"/>
          <w:spacing w:val="0"/>
          <w:sz w:val="32"/>
          <w:szCs w:val="32"/>
          <w:highlight w:val="none"/>
          <w:lang w:val="zh-CN" w:eastAsia="zh-CN"/>
        </w:rPr>
        <w:t>，</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w:t>
      </w:r>
      <w:r>
        <w:rPr>
          <w:rFonts w:hint="eastAsia" w:eastAsia="仿宋_GB2312" w:cs="仿宋_GB2312"/>
          <w:color w:val="auto"/>
          <w:sz w:val="32"/>
          <w:szCs w:val="32"/>
          <w:highlight w:val="none"/>
          <w:lang w:val="en-US" w:eastAsia="zh-CN"/>
        </w:rPr>
        <w:t>一是</w:t>
      </w:r>
      <w:r>
        <w:rPr>
          <w:rFonts w:hint="eastAsia" w:ascii="Times New Roman" w:hAnsi="Times New Roman" w:eastAsia="仿宋_GB2312" w:cs="仿宋_GB2312"/>
          <w:color w:val="auto"/>
          <w:sz w:val="32"/>
          <w:szCs w:val="32"/>
          <w:highlight w:val="none"/>
          <w:lang w:val="en-US" w:eastAsia="zh-CN"/>
        </w:rPr>
        <w:t>在职人员工资标准提高</w:t>
      </w:r>
      <w:r>
        <w:rPr>
          <w:rFonts w:hint="eastAsia" w:eastAsia="仿宋_GB2312" w:cs="仿宋_GB2312"/>
          <w:color w:val="auto"/>
          <w:sz w:val="32"/>
          <w:szCs w:val="32"/>
          <w:highlight w:val="none"/>
          <w:lang w:val="en-US" w:eastAsia="zh-CN"/>
        </w:rPr>
        <w:t>；二是</w:t>
      </w:r>
      <w:r>
        <w:rPr>
          <w:rFonts w:hint="eastAsia" w:ascii="Times New Roman" w:hAnsi="Times New Roman" w:eastAsia="仿宋_GB2312" w:cs="仿宋_GB2312"/>
          <w:color w:val="auto"/>
          <w:sz w:val="32"/>
          <w:szCs w:val="32"/>
          <w:highlight w:val="none"/>
          <w:lang w:val="en-US" w:eastAsia="zh-CN"/>
        </w:rPr>
        <w:t>7月退休1人</w:t>
      </w:r>
      <w:r>
        <w:rPr>
          <w:rFonts w:hint="eastAsia" w:eastAsia="仿宋_GB2312" w:cs="仿宋_GB2312"/>
          <w:color w:val="auto"/>
          <w:sz w:val="32"/>
          <w:szCs w:val="32"/>
          <w:highlight w:val="none"/>
          <w:lang w:val="en-US" w:eastAsia="zh-CN"/>
        </w:rPr>
        <w:t>，</w:t>
      </w:r>
      <w:r>
        <w:rPr>
          <w:rFonts w:hint="eastAsia" w:ascii="Times New Roman" w:hAnsi="Times New Roman" w:eastAsia="仿宋_GB2312" w:cs="仿宋_GB2312"/>
          <w:color w:val="auto"/>
          <w:sz w:val="32"/>
          <w:szCs w:val="32"/>
          <w:highlight w:val="none"/>
          <w:lang w:val="en-US" w:eastAsia="zh-CN"/>
        </w:rPr>
        <w:t>财政核拨职业年金缴费</w:t>
      </w:r>
      <w:r>
        <w:rPr>
          <w:rFonts w:hint="eastAsia" w:eastAsia="仿宋_GB2312" w:cs="仿宋_GB2312"/>
          <w:color w:val="auto"/>
          <w:sz w:val="32"/>
          <w:szCs w:val="32"/>
          <w:highlight w:val="none"/>
          <w:lang w:val="en-US" w:eastAsia="zh-CN"/>
        </w:rPr>
        <w:t>，职业年金缴费增加</w:t>
      </w:r>
      <w:r>
        <w:rPr>
          <w:rFonts w:hint="eastAsia" w:ascii="仿宋_GB2312" w:eastAsia="仿宋_GB2312"/>
          <w:sz w:val="32"/>
          <w:szCs w:val="32"/>
          <w:highlight w:val="none"/>
        </w:rPr>
        <w:t>。</w:t>
      </w:r>
      <w:r>
        <w:rPr>
          <w:rFonts w:hint="eastAsia" w:ascii="仿宋_GB2312" w:eastAsia="仿宋_GB2312"/>
          <w:b/>
          <w:bCs/>
          <w:sz w:val="32"/>
          <w:szCs w:val="32"/>
          <w:highlight w:val="none"/>
        </w:rPr>
        <w:t>与</w:t>
      </w:r>
      <w:r>
        <w:rPr>
          <w:rFonts w:hint="eastAsia" w:ascii="仿宋_GB2312" w:eastAsia="仿宋_GB2312"/>
          <w:b/>
          <w:bCs/>
          <w:sz w:val="32"/>
          <w:szCs w:val="32"/>
          <w:highlight w:val="none"/>
          <w:lang w:eastAsia="zh-CN"/>
        </w:rPr>
        <w:t>年初预算</w:t>
      </w:r>
      <w:r>
        <w:rPr>
          <w:rFonts w:hint="eastAsia" w:ascii="仿宋_GB2312" w:eastAsia="仿宋_GB2312"/>
          <w:b/>
          <w:bCs/>
          <w:sz w:val="32"/>
          <w:szCs w:val="32"/>
          <w:highlight w:val="none"/>
        </w:rPr>
        <w:t>相比</w:t>
      </w:r>
      <w:r>
        <w:rPr>
          <w:rFonts w:hint="eastAsia" w:ascii="仿宋_GB2312" w:eastAsia="仿宋_GB2312"/>
          <w:b/>
          <w:bCs/>
          <w:sz w:val="32"/>
          <w:szCs w:val="32"/>
          <w:highlight w:val="none"/>
          <w:lang w:eastAsia="zh-CN"/>
        </w:rPr>
        <w:t>，</w:t>
      </w:r>
      <w:r>
        <w:rPr>
          <w:rFonts w:hint="eastAsia" w:ascii="仿宋_GB2312" w:eastAsia="仿宋_GB2312"/>
          <w:color w:val="auto"/>
          <w:spacing w:val="0"/>
          <w:sz w:val="32"/>
          <w:szCs w:val="32"/>
          <w:highlight w:val="none"/>
          <w:lang w:eastAsia="zh-CN"/>
        </w:rPr>
        <w:t>年初预算数</w:t>
      </w:r>
      <w:r>
        <w:rPr>
          <w:rFonts w:hint="eastAsia" w:ascii="Times New Roman" w:hAnsi="Times New Roman" w:eastAsia="仿宋_GB2312" w:cs="Times New Roman"/>
          <w:color w:val="auto"/>
          <w:kern w:val="2"/>
          <w:sz w:val="32"/>
          <w:szCs w:val="32"/>
          <w:highlight w:val="none"/>
          <w:lang w:val="zh-CN" w:eastAsia="zh-CN" w:bidi="ar-SA"/>
        </w:rPr>
        <w:t>489.30</w:t>
      </w:r>
      <w:r>
        <w:rPr>
          <w:rFonts w:hint="eastAsia" w:ascii="仿宋_GB2312" w:eastAsia="仿宋_GB2312"/>
          <w:color w:val="auto"/>
          <w:spacing w:val="0"/>
          <w:sz w:val="32"/>
          <w:szCs w:val="32"/>
          <w:highlight w:val="none"/>
          <w:lang w:eastAsia="zh-CN"/>
        </w:rPr>
        <w:t>万元，决算数</w:t>
      </w:r>
      <w:r>
        <w:rPr>
          <w:rFonts w:hint="eastAsia" w:ascii="Times New Roman" w:hAnsi="Times New Roman" w:eastAsia="仿宋_GB2312" w:cs="Times New Roman"/>
          <w:color w:val="auto"/>
          <w:kern w:val="2"/>
          <w:sz w:val="32"/>
          <w:szCs w:val="32"/>
          <w:highlight w:val="none"/>
          <w:lang w:val="zh-CN" w:eastAsia="zh-CN" w:bidi="ar-SA"/>
        </w:rPr>
        <w:t>506.09</w:t>
      </w:r>
      <w:r>
        <w:rPr>
          <w:rFonts w:hint="eastAsia" w:ascii="仿宋_GB2312" w:eastAsia="仿宋_GB2312"/>
          <w:color w:val="auto"/>
          <w:spacing w:val="0"/>
          <w:sz w:val="32"/>
          <w:szCs w:val="32"/>
          <w:highlight w:val="none"/>
          <w:lang w:eastAsia="zh-CN"/>
        </w:rPr>
        <w:t>万元，预决算差异率</w:t>
      </w:r>
      <w:r>
        <w:rPr>
          <w:rFonts w:hint="eastAsia" w:ascii="Times New Roman" w:hAnsi="Times New Roman" w:eastAsia="仿宋_GB2312" w:cs="Times New Roman"/>
          <w:color w:val="auto"/>
          <w:kern w:val="2"/>
          <w:sz w:val="32"/>
          <w:szCs w:val="32"/>
          <w:highlight w:val="none"/>
          <w:lang w:val="zh-CN" w:eastAsia="zh-CN" w:bidi="ar-SA"/>
        </w:rPr>
        <w:t>3.43%</w:t>
      </w:r>
      <w:r>
        <w:rPr>
          <w:rFonts w:hint="eastAsia" w:ascii="仿宋_GB2312" w:eastAsia="仿宋_GB2312"/>
          <w:color w:val="auto"/>
          <w:spacing w:val="0"/>
          <w:sz w:val="32"/>
          <w:szCs w:val="32"/>
          <w:highlight w:val="none"/>
          <w:lang w:eastAsia="zh-CN"/>
        </w:rPr>
        <w:t>，</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lang w:val="en-US" w:eastAsia="zh-CN"/>
        </w:rPr>
        <w:t>一是</w:t>
      </w:r>
      <w:r>
        <w:rPr>
          <w:rFonts w:hint="eastAsia" w:ascii="仿宋_GB2312" w:eastAsia="仿宋_GB2312"/>
          <w:sz w:val="32"/>
          <w:szCs w:val="32"/>
        </w:rPr>
        <w:t>追加基本支出人员类预算</w:t>
      </w:r>
      <w:r>
        <w:rPr>
          <w:rFonts w:hint="eastAsia" w:ascii="仿宋_GB2312" w:eastAsia="仿宋_GB2312"/>
          <w:sz w:val="32"/>
          <w:szCs w:val="32"/>
          <w:lang w:val="en-US" w:eastAsia="zh-CN"/>
        </w:rPr>
        <w:t>如考核奖等，二是退休1人，追加职业年金缴费支出等</w:t>
      </w:r>
      <w:r>
        <w:rPr>
          <w:rFonts w:hint="eastAsia" w:ascii="仿宋_GB2312" w:eastAsia="仿宋_GB2312"/>
          <w:sz w:val="32"/>
          <w:szCs w:val="32"/>
          <w:highlight w:val="none"/>
        </w:rPr>
        <w:t>。</w:t>
      </w:r>
    </w:p>
    <w:p w14:paraId="3004AC1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20AEAF5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42D95FBB">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Times New Roman" w:hAnsi="Times New Roman" w:eastAsia="仿宋_GB2312" w:cs="Times New Roman"/>
          <w:b/>
          <w:bCs/>
          <w:color w:val="auto"/>
          <w:kern w:val="2"/>
          <w:sz w:val="32"/>
          <w:szCs w:val="32"/>
          <w:highlight w:val="none"/>
          <w:lang w:val="zh-CN" w:eastAsia="zh-CN" w:bidi="ar-SA"/>
        </w:rPr>
        <w:t>2023</w:t>
      </w:r>
      <w:r>
        <w:rPr>
          <w:rFonts w:hint="eastAsia" w:ascii="仿宋_GB2312" w:eastAsia="仿宋_GB2312"/>
          <w:b/>
          <w:bCs/>
          <w:color w:val="auto"/>
          <w:spacing w:val="0"/>
          <w:sz w:val="32"/>
          <w:szCs w:val="32"/>
          <w:highlight w:val="none"/>
          <w:lang w:eastAsia="zh-CN"/>
        </w:rPr>
        <w:t>年度一般公共预算财政拨款支出</w:t>
      </w:r>
      <w:r>
        <w:rPr>
          <w:rFonts w:hint="eastAsia" w:ascii="Times New Roman" w:hAnsi="Times New Roman" w:eastAsia="仿宋_GB2312" w:cs="Times New Roman"/>
          <w:b/>
          <w:bCs/>
          <w:color w:val="auto"/>
          <w:kern w:val="2"/>
          <w:sz w:val="32"/>
          <w:szCs w:val="32"/>
          <w:highlight w:val="none"/>
          <w:lang w:val="zh-CN" w:eastAsia="zh-CN" w:bidi="ar-SA"/>
        </w:rPr>
        <w:t>506.09</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eastAsia="zh-CN"/>
        </w:rPr>
        <w:t>占本年支出合计的</w:t>
      </w:r>
      <w:r>
        <w:rPr>
          <w:rFonts w:hint="eastAsia" w:ascii="仿宋_GB2312" w:eastAsia="仿宋_GB2312"/>
          <w:color w:val="auto"/>
          <w:spacing w:val="0"/>
          <w:sz w:val="32"/>
          <w:szCs w:val="32"/>
          <w:highlight w:val="none"/>
          <w:lang w:val="zh-CN" w:eastAsia="zh-CN"/>
        </w:rPr>
        <w:t>46.49%</w:t>
      </w:r>
      <w:r>
        <w:rPr>
          <w:rFonts w:hint="eastAsia" w:ascii="仿宋_GB2312" w:eastAsia="仿宋_GB2312"/>
          <w:color w:val="auto"/>
          <w:spacing w:val="0"/>
          <w:sz w:val="32"/>
          <w:szCs w:val="32"/>
          <w:highlight w:val="none"/>
          <w:lang w:eastAsia="zh-CN"/>
        </w:rPr>
        <w:t>。</w:t>
      </w:r>
      <w:r>
        <w:rPr>
          <w:rFonts w:hint="eastAsia" w:ascii="仿宋_GB2312" w:eastAsia="仿宋_GB2312"/>
          <w:b/>
          <w:bCs/>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w:t>
      </w:r>
      <w:r>
        <w:rPr>
          <w:rFonts w:hint="eastAsia" w:ascii="Times New Roman" w:hAnsi="Times New Roman" w:eastAsia="仿宋_GB2312" w:cs="Times New Roman"/>
          <w:color w:val="auto"/>
          <w:kern w:val="2"/>
          <w:sz w:val="32"/>
          <w:szCs w:val="32"/>
          <w:highlight w:val="none"/>
          <w:lang w:val="zh-CN" w:eastAsia="zh-CN" w:bidi="ar-SA"/>
        </w:rPr>
        <w:t>16.55</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w:t>
      </w:r>
      <w:r>
        <w:rPr>
          <w:rFonts w:hint="eastAsia" w:ascii="Times New Roman" w:hAnsi="Times New Roman" w:eastAsia="仿宋_GB2312" w:cs="Times New Roman"/>
          <w:color w:val="auto"/>
          <w:kern w:val="2"/>
          <w:sz w:val="32"/>
          <w:szCs w:val="32"/>
          <w:highlight w:val="none"/>
          <w:lang w:val="zh-CN" w:eastAsia="zh-CN" w:bidi="ar-SA"/>
        </w:rPr>
        <w:t>3.38%</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highlight w:val="none"/>
          <w:lang w:val="en-US" w:eastAsia="zh-CN"/>
        </w:rPr>
        <w:t>一是</w:t>
      </w:r>
      <w:r>
        <w:rPr>
          <w:rFonts w:hint="eastAsia" w:ascii="仿宋_GB2312" w:eastAsia="仿宋_GB2312"/>
          <w:sz w:val="32"/>
          <w:szCs w:val="32"/>
        </w:rPr>
        <w:t>追加基本支出人员类预算</w:t>
      </w:r>
      <w:r>
        <w:rPr>
          <w:rFonts w:hint="eastAsia" w:ascii="仿宋_GB2312" w:eastAsia="仿宋_GB2312"/>
          <w:sz w:val="32"/>
          <w:szCs w:val="32"/>
          <w:lang w:val="en-US" w:eastAsia="zh-CN"/>
        </w:rPr>
        <w:t>如考核奖等，二是退休1人，追加职业年金缴费支出等</w:t>
      </w:r>
      <w:r>
        <w:rPr>
          <w:rFonts w:hint="eastAsia" w:ascii="仿宋_GB2312" w:eastAsia="仿宋_GB2312"/>
          <w:sz w:val="32"/>
          <w:szCs w:val="32"/>
          <w:highlight w:val="none"/>
        </w:rPr>
        <w:t>。</w:t>
      </w: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Times New Roman" w:hAnsi="Times New Roman" w:eastAsia="仿宋_GB2312" w:cs="Times New Roman"/>
          <w:color w:val="auto"/>
          <w:kern w:val="2"/>
          <w:sz w:val="32"/>
          <w:szCs w:val="32"/>
          <w:highlight w:val="none"/>
          <w:lang w:val="zh-CN" w:eastAsia="zh-CN" w:bidi="ar-SA"/>
        </w:rPr>
        <w:t>489.30</w:t>
      </w:r>
      <w:r>
        <w:rPr>
          <w:rFonts w:hint="eastAsia" w:ascii="仿宋_GB2312" w:eastAsia="仿宋_GB2312"/>
          <w:color w:val="auto"/>
          <w:spacing w:val="0"/>
          <w:sz w:val="32"/>
          <w:szCs w:val="32"/>
          <w:highlight w:val="none"/>
          <w:lang w:eastAsia="zh-CN"/>
        </w:rPr>
        <w:t>万元，决算数</w:t>
      </w:r>
      <w:r>
        <w:rPr>
          <w:rFonts w:hint="eastAsia" w:ascii="Times New Roman" w:hAnsi="Times New Roman" w:eastAsia="仿宋_GB2312" w:cs="Times New Roman"/>
          <w:color w:val="auto"/>
          <w:kern w:val="2"/>
          <w:sz w:val="32"/>
          <w:szCs w:val="32"/>
          <w:highlight w:val="none"/>
          <w:lang w:val="zh-CN" w:eastAsia="zh-CN" w:bidi="ar-SA"/>
        </w:rPr>
        <w:t>506.09</w:t>
      </w:r>
      <w:r>
        <w:rPr>
          <w:rFonts w:hint="eastAsia" w:ascii="仿宋_GB2312" w:eastAsia="仿宋_GB2312"/>
          <w:color w:val="auto"/>
          <w:spacing w:val="0"/>
          <w:sz w:val="32"/>
          <w:szCs w:val="32"/>
          <w:highlight w:val="none"/>
          <w:lang w:eastAsia="zh-CN"/>
        </w:rPr>
        <w:t>万元，预决算差异率</w:t>
      </w:r>
      <w:r>
        <w:rPr>
          <w:rFonts w:hint="eastAsia" w:ascii="Times New Roman" w:hAnsi="Times New Roman" w:eastAsia="仿宋_GB2312" w:cs="Times New Roman"/>
          <w:color w:val="auto"/>
          <w:kern w:val="2"/>
          <w:sz w:val="32"/>
          <w:szCs w:val="32"/>
          <w:highlight w:val="none"/>
          <w:lang w:val="zh-CN" w:eastAsia="zh-CN" w:bidi="ar-SA"/>
        </w:rPr>
        <w:t>3.43%</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highlight w:val="none"/>
          <w:lang w:val="en-US" w:eastAsia="zh-CN"/>
        </w:rPr>
        <w:t>一是</w:t>
      </w:r>
      <w:r>
        <w:rPr>
          <w:rFonts w:hint="eastAsia" w:ascii="仿宋_GB2312" w:eastAsia="仿宋_GB2312"/>
          <w:sz w:val="32"/>
          <w:szCs w:val="32"/>
        </w:rPr>
        <w:t>追加基本支出人员类预算</w:t>
      </w:r>
      <w:r>
        <w:rPr>
          <w:rFonts w:hint="eastAsia" w:ascii="仿宋_GB2312" w:eastAsia="仿宋_GB2312"/>
          <w:sz w:val="32"/>
          <w:szCs w:val="32"/>
          <w:lang w:val="en-US" w:eastAsia="zh-CN"/>
        </w:rPr>
        <w:t>如考核奖等，二是退休1人，追加职业年金缴费支出等</w:t>
      </w:r>
      <w:r>
        <w:rPr>
          <w:rFonts w:hint="eastAsia" w:ascii="仿宋_GB2312" w:eastAsia="仿宋_GB2312"/>
          <w:sz w:val="32"/>
          <w:szCs w:val="32"/>
          <w:highlight w:val="none"/>
        </w:rPr>
        <w:t>。</w:t>
      </w:r>
    </w:p>
    <w:p w14:paraId="3A8CF3AF">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5495683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Times New Roman" w:hAnsi="Times New Roman" w:eastAsia="仿宋_GB2312" w:cs="Times New Roman"/>
          <w:color w:val="auto"/>
          <w:kern w:val="2"/>
          <w:sz w:val="32"/>
          <w:szCs w:val="32"/>
          <w:highlight w:val="none"/>
          <w:lang w:val="zh-CN" w:eastAsia="zh-CN" w:bidi="ar-SA"/>
        </w:rPr>
        <w:t>20.38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Times New Roman" w:hAnsi="Times New Roman" w:eastAsia="仿宋_GB2312" w:cs="Times New Roman"/>
          <w:color w:val="auto"/>
          <w:kern w:val="2"/>
          <w:sz w:val="32"/>
          <w:szCs w:val="32"/>
          <w:highlight w:val="none"/>
          <w:lang w:val="zh-CN" w:eastAsia="zh-CN" w:bidi="ar-SA"/>
        </w:rPr>
        <w:t>4.03</w:t>
      </w:r>
      <w:r>
        <w:rPr>
          <w:rFonts w:hint="default" w:ascii="Times New Roman" w:hAnsi="Times New Roman" w:eastAsia="仿宋_GB2312" w:cs="Times New Roman"/>
          <w:color w:val="auto"/>
          <w:kern w:val="2"/>
          <w:sz w:val="32"/>
          <w:szCs w:val="32"/>
          <w:highlight w:val="none"/>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w:t>
      </w:r>
    </w:p>
    <w:p w14:paraId="7B05BFDE">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en-US" w:eastAsia="zh-CN" w:bidi="ar-SA"/>
        </w:rPr>
      </w:pPr>
      <w:r>
        <w:rPr>
          <w:rFonts w:hint="default" w:ascii="仿宋_GB2312" w:hAnsi="Times New Roman"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Times New Roman" w:hAnsi="Times New Roman" w:eastAsia="仿宋_GB2312" w:cs="Times New Roman"/>
          <w:color w:val="auto"/>
          <w:kern w:val="2"/>
          <w:sz w:val="32"/>
          <w:szCs w:val="32"/>
          <w:highlight w:val="none"/>
          <w:lang w:val="zh-CN" w:eastAsia="zh-CN" w:bidi="ar-SA"/>
        </w:rPr>
        <w:t>14.07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Times New Roman" w:hAnsi="Times New Roman" w:eastAsia="仿宋_GB2312" w:cs="Times New Roman"/>
          <w:color w:val="auto"/>
          <w:kern w:val="2"/>
          <w:sz w:val="32"/>
          <w:szCs w:val="32"/>
          <w:highlight w:val="none"/>
          <w:lang w:val="zh-CN" w:eastAsia="zh-CN" w:bidi="ar-SA"/>
        </w:rPr>
        <w:t>2.78</w:t>
      </w:r>
      <w:r>
        <w:rPr>
          <w:rFonts w:hint="default" w:ascii="Times New Roman" w:hAnsi="Times New Roman" w:eastAsia="仿宋_GB2312" w:cs="Times New Roman"/>
          <w:color w:val="auto"/>
          <w:kern w:val="2"/>
          <w:sz w:val="32"/>
          <w:szCs w:val="32"/>
          <w:highlight w:val="none"/>
          <w:lang w:val="zh-CN" w:eastAsia="zh-CN" w:bidi="ar-SA"/>
        </w:rPr>
        <w:t>%</w:t>
      </w:r>
      <w:r>
        <w:rPr>
          <w:rFonts w:hint="default" w:ascii="仿宋_GB2312" w:hAnsi="Times New Roman" w:eastAsia="仿宋_GB2312" w:cs="Times New Roman"/>
          <w:color w:val="auto"/>
          <w:spacing w:val="0"/>
          <w:kern w:val="2"/>
          <w:sz w:val="32"/>
          <w:szCs w:val="32"/>
          <w:highlight w:val="none"/>
          <w:lang w:val="en-US" w:eastAsia="zh-CN" w:bidi="ar-SA"/>
        </w:rPr>
        <w:t>；</w:t>
      </w:r>
    </w:p>
    <w:p w14:paraId="2FE3F34C">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资源勘探信息等支出（类）</w:t>
      </w:r>
      <w:r>
        <w:rPr>
          <w:rFonts w:hint="eastAsia" w:ascii="Times New Roman" w:hAnsi="Times New Roman" w:eastAsia="仿宋_GB2312" w:cs="Times New Roman"/>
          <w:color w:val="auto"/>
          <w:kern w:val="2"/>
          <w:sz w:val="32"/>
          <w:szCs w:val="32"/>
          <w:highlight w:val="none"/>
          <w:lang w:val="zh-CN" w:eastAsia="zh-CN" w:bidi="ar-SA"/>
        </w:rPr>
        <w:t>457.15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Times New Roman" w:hAnsi="Times New Roman" w:eastAsia="仿宋_GB2312" w:cs="Times New Roman"/>
          <w:color w:val="auto"/>
          <w:kern w:val="2"/>
          <w:sz w:val="32"/>
          <w:szCs w:val="32"/>
          <w:highlight w:val="none"/>
          <w:lang w:val="zh-CN" w:eastAsia="zh-CN" w:bidi="ar-SA"/>
        </w:rPr>
        <w:t>90.33</w:t>
      </w:r>
      <w:r>
        <w:rPr>
          <w:rFonts w:hint="default" w:ascii="Times New Roman" w:hAnsi="Times New Roman" w:eastAsia="仿宋_GB2312" w:cs="Times New Roman"/>
          <w:color w:val="auto"/>
          <w:kern w:val="2"/>
          <w:sz w:val="32"/>
          <w:szCs w:val="32"/>
          <w:highlight w:val="none"/>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w:t>
      </w:r>
    </w:p>
    <w:p w14:paraId="09578190">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Times New Roman" w:hAnsi="Times New Roman" w:eastAsia="仿宋_GB2312" w:cs="Times New Roman"/>
          <w:color w:val="auto"/>
          <w:kern w:val="2"/>
          <w:sz w:val="32"/>
          <w:szCs w:val="32"/>
          <w:highlight w:val="none"/>
          <w:lang w:val="zh-CN" w:eastAsia="zh-CN" w:bidi="ar-SA"/>
        </w:rPr>
        <w:t>14.50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Times New Roman" w:hAnsi="Times New Roman" w:eastAsia="仿宋_GB2312" w:cs="Times New Roman"/>
          <w:color w:val="auto"/>
          <w:kern w:val="2"/>
          <w:sz w:val="32"/>
          <w:szCs w:val="32"/>
          <w:highlight w:val="none"/>
          <w:lang w:val="zh-CN" w:eastAsia="zh-CN" w:bidi="ar-SA"/>
        </w:rPr>
        <w:t>2.87</w:t>
      </w:r>
      <w:r>
        <w:rPr>
          <w:rFonts w:hint="default" w:ascii="Times New Roman" w:hAnsi="Times New Roman" w:eastAsia="仿宋_GB2312" w:cs="Times New Roman"/>
          <w:color w:val="auto"/>
          <w:kern w:val="2"/>
          <w:sz w:val="32"/>
          <w:szCs w:val="32"/>
          <w:highlight w:val="none"/>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w:t>
      </w:r>
    </w:p>
    <w:p w14:paraId="0B422FE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00A38A7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1.资源勘探工业信息等支出（类）工业和信息产业监管（款）事业运行（项）:支出决算数为157.15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0.88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0.55%，主要原因是：</w:t>
      </w:r>
      <w:r>
        <w:rPr>
          <w:rFonts w:hint="eastAsia" w:eastAsia="仿宋_GB2312" w:cs="Times New Roman"/>
          <w:color w:val="auto"/>
          <w:kern w:val="2"/>
          <w:sz w:val="32"/>
          <w:szCs w:val="32"/>
          <w:highlight w:val="none"/>
          <w:lang w:val="en-US" w:eastAsia="zh-CN" w:bidi="ar-SA"/>
        </w:rPr>
        <w:t>2023年7月退休1人，导致事业运行经费减少。</w:t>
      </w:r>
    </w:p>
    <w:p w14:paraId="39B6EE5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2.卫生健康支出（类）行政事业单位医疗（款）事业单位医疗（项）:支出决算数为7.62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1.35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21.</w:t>
      </w:r>
      <w:r>
        <w:rPr>
          <w:rFonts w:hint="eastAsia" w:eastAsia="仿宋_GB2312" w:cs="Times New Roman"/>
          <w:color w:val="auto"/>
          <w:kern w:val="2"/>
          <w:sz w:val="32"/>
          <w:szCs w:val="32"/>
          <w:highlight w:val="none"/>
          <w:lang w:val="en-US" w:eastAsia="zh-CN" w:bidi="ar-SA"/>
        </w:rPr>
        <w:t>53</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在职人员工资标准大幅提高，导致缴费基数提高</w:t>
      </w:r>
      <w:r>
        <w:rPr>
          <w:rFonts w:hint="eastAsia" w:eastAsia="仿宋_GB2312" w:cs="Times New Roman"/>
          <w:color w:val="auto"/>
          <w:kern w:val="2"/>
          <w:sz w:val="32"/>
          <w:szCs w:val="32"/>
          <w:highlight w:val="none"/>
          <w:lang w:val="zh-CN" w:eastAsia="zh-CN" w:bidi="ar-SA"/>
        </w:rPr>
        <w:t>。</w:t>
      </w:r>
    </w:p>
    <w:p w14:paraId="516FCEC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3.卫生健康支出（类）行政事业单位医疗（款）公务员医疗补助（项）:支出决算数为6.45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1.57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32.</w:t>
      </w:r>
      <w:r>
        <w:rPr>
          <w:rFonts w:hint="eastAsia" w:eastAsia="仿宋_GB2312" w:cs="Times New Roman"/>
          <w:color w:val="auto"/>
          <w:kern w:val="2"/>
          <w:sz w:val="32"/>
          <w:szCs w:val="32"/>
          <w:highlight w:val="none"/>
          <w:lang w:val="en-US" w:eastAsia="zh-CN" w:bidi="ar-SA"/>
        </w:rPr>
        <w:t>17</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在职人员工资标准大幅提高，导致缴费基数提高</w:t>
      </w:r>
      <w:r>
        <w:rPr>
          <w:rFonts w:hint="eastAsia" w:eastAsia="仿宋_GB2312" w:cs="Times New Roman"/>
          <w:color w:val="auto"/>
          <w:kern w:val="2"/>
          <w:sz w:val="32"/>
          <w:szCs w:val="32"/>
          <w:highlight w:val="none"/>
          <w:lang w:val="zh-CN" w:eastAsia="zh-CN" w:bidi="ar-SA"/>
        </w:rPr>
        <w:t>。</w:t>
      </w:r>
    </w:p>
    <w:p w14:paraId="4A1D348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4.住房保障支出（类）住房改革支出（款）住房公积金（项）:支出决算数为14.50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5.77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66.</w:t>
      </w:r>
      <w:r>
        <w:rPr>
          <w:rFonts w:hint="eastAsia" w:eastAsia="仿宋_GB2312" w:cs="Times New Roman"/>
          <w:color w:val="auto"/>
          <w:kern w:val="2"/>
          <w:sz w:val="32"/>
          <w:szCs w:val="32"/>
          <w:highlight w:val="none"/>
          <w:lang w:val="en-US" w:eastAsia="zh-CN" w:bidi="ar-SA"/>
        </w:rPr>
        <w:t>09</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在职人员工资标准大幅提高，导致缴费基数提高</w:t>
      </w:r>
      <w:r>
        <w:rPr>
          <w:rFonts w:hint="eastAsia" w:eastAsia="仿宋_GB2312" w:cs="Times New Roman"/>
          <w:color w:val="auto"/>
          <w:kern w:val="2"/>
          <w:sz w:val="32"/>
          <w:szCs w:val="32"/>
          <w:highlight w:val="none"/>
          <w:lang w:val="zh-CN" w:eastAsia="zh-CN" w:bidi="ar-SA"/>
        </w:rPr>
        <w:t>。</w:t>
      </w:r>
    </w:p>
    <w:p w14:paraId="5E706F97">
      <w:pPr>
        <w:ind w:firstLine="640" w:firstLineChars="200"/>
        <w:outlineLvl w:val="1"/>
        <w:rPr>
          <w:rFonts w:ascii="黑体" w:hAnsi="黑体" w:eastAsia="黑体" w:cs="宋体"/>
          <w:bCs/>
          <w:kern w:val="0"/>
          <w:sz w:val="32"/>
          <w:szCs w:val="32"/>
        </w:rPr>
      </w:pPr>
      <w:r>
        <w:rPr>
          <w:rFonts w:hint="eastAsia" w:ascii="Times New Roman" w:hAnsi="Times New Roman" w:eastAsia="仿宋_GB2312" w:cs="Times New Roman"/>
          <w:color w:val="auto"/>
          <w:kern w:val="2"/>
          <w:sz w:val="32"/>
          <w:szCs w:val="32"/>
          <w:highlight w:val="none"/>
          <w:lang w:val="en-US" w:eastAsia="zh-CN" w:bidi="ar-SA"/>
        </w:rPr>
        <w:t>5.资源勘探工业信息等支出（类）工业和信息产业监管（款）其他工业和信息产业监管支出（项）:支出决算数为300.00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300.00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w:t>
      </w:r>
      <w:r>
        <w:rPr>
          <w:rFonts w:hint="eastAsia" w:ascii="仿宋_GB2312" w:eastAsia="仿宋_GB2312"/>
          <w:sz w:val="32"/>
          <w:szCs w:val="32"/>
        </w:rPr>
        <w:t>年异地灾备运维成本经费在“其他工业和信息产业监管支出”项目中列支，</w:t>
      </w:r>
      <w:r>
        <w:rPr>
          <w:rFonts w:hint="eastAsia" w:eastAsia="仿宋_GB2312" w:cs="Times New Roman"/>
          <w:color w:val="auto"/>
          <w:kern w:val="2"/>
          <w:sz w:val="32"/>
          <w:szCs w:val="32"/>
          <w:highlight w:val="none"/>
          <w:lang w:val="en-US" w:eastAsia="zh-CN" w:bidi="ar-SA"/>
        </w:rPr>
        <w:t>2022</w:t>
      </w:r>
      <w:r>
        <w:rPr>
          <w:rFonts w:hint="eastAsia" w:ascii="仿宋_GB2312" w:eastAsia="仿宋_GB2312"/>
          <w:sz w:val="32"/>
          <w:szCs w:val="32"/>
        </w:rPr>
        <w:t>年异地灾备运维成本经费在此“</w:t>
      </w:r>
      <w:r>
        <w:rPr>
          <w:rFonts w:hint="eastAsia" w:ascii="Times New Roman" w:hAnsi="Times New Roman" w:eastAsia="仿宋_GB2312" w:cs="Times New Roman"/>
          <w:color w:val="auto"/>
          <w:kern w:val="2"/>
          <w:sz w:val="32"/>
          <w:szCs w:val="32"/>
          <w:highlight w:val="none"/>
          <w:lang w:val="en-US" w:eastAsia="zh-CN" w:bidi="ar-SA"/>
        </w:rPr>
        <w:t>工程建设及运行维护</w:t>
      </w:r>
      <w:r>
        <w:rPr>
          <w:rFonts w:hint="default" w:eastAsia="仿宋_GB2312" w:cs="Times New Roman"/>
          <w:color w:val="auto"/>
          <w:kern w:val="2"/>
          <w:sz w:val="32"/>
          <w:szCs w:val="32"/>
          <w:highlight w:val="none"/>
          <w:lang w:val="en-US" w:eastAsia="zh-CN" w:bidi="ar-SA"/>
        </w:rPr>
        <w:t>”</w:t>
      </w:r>
      <w:r>
        <w:rPr>
          <w:rFonts w:hint="eastAsia" w:ascii="仿宋_GB2312" w:eastAsia="仿宋_GB2312"/>
          <w:sz w:val="32"/>
          <w:szCs w:val="32"/>
        </w:rPr>
        <w:t>项目中列支，无上年对比数据。</w:t>
      </w:r>
    </w:p>
    <w:p w14:paraId="507D10B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6.社会保障和就业支出（类）行政事业单位养老支出（款）机关事业单位职业年金缴费支出（项）:支出决算数为6.08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6.08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2023年退休1人，财政核拨退休人员职业年金，2022年未发生此类事项，无上年对比数据</w:t>
      </w:r>
      <w:r>
        <w:rPr>
          <w:rFonts w:hint="eastAsia" w:eastAsia="仿宋_GB2312" w:cs="Times New Roman"/>
          <w:color w:val="auto"/>
          <w:kern w:val="2"/>
          <w:sz w:val="32"/>
          <w:szCs w:val="32"/>
          <w:highlight w:val="none"/>
          <w:lang w:val="zh-CN" w:eastAsia="zh-CN" w:bidi="ar-SA"/>
        </w:rPr>
        <w:t>。</w:t>
      </w:r>
    </w:p>
    <w:p w14:paraId="45FAA7D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w:t>
      </w:r>
      <w:r>
        <w:rPr>
          <w:rFonts w:hint="eastAsia" w:ascii="Times New Roman" w:hAnsi="Times New Roman" w:eastAsia="仿宋_GB2312" w:cs="Times New Roman"/>
          <w:color w:val="auto"/>
          <w:sz w:val="32"/>
          <w:szCs w:val="32"/>
          <w:highlight w:val="none"/>
          <w:lang w:val="en-US" w:eastAsia="zh-CN"/>
        </w:rPr>
        <w:t>14.29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sz w:val="32"/>
          <w:szCs w:val="32"/>
          <w:highlight w:val="none"/>
          <w:lang w:val="en-US" w:eastAsia="zh-CN"/>
        </w:rPr>
        <w:t>2.65万</w:t>
      </w:r>
      <w:r>
        <w:rPr>
          <w:rFonts w:hint="eastAsia" w:eastAsia="仿宋_GB2312" w:cs="Times New Roman"/>
          <w:color w:val="auto"/>
          <w:kern w:val="2"/>
          <w:sz w:val="32"/>
          <w:szCs w:val="32"/>
          <w:highlight w:val="none"/>
          <w:lang w:val="en-US" w:eastAsia="zh-CN" w:bidi="ar-SA"/>
        </w:rPr>
        <w:t>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sz w:val="32"/>
          <w:szCs w:val="32"/>
          <w:highlight w:val="none"/>
          <w:lang w:val="en-US" w:eastAsia="zh-CN"/>
        </w:rPr>
        <w:t>22.76%</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在职人员工资标准大幅提高，导致缴费基数提高</w:t>
      </w:r>
      <w:r>
        <w:rPr>
          <w:rFonts w:hint="eastAsia" w:eastAsia="仿宋_GB2312" w:cs="Times New Roman"/>
          <w:color w:val="auto"/>
          <w:kern w:val="2"/>
          <w:sz w:val="32"/>
          <w:szCs w:val="32"/>
          <w:highlight w:val="none"/>
          <w:lang w:val="zh-CN" w:eastAsia="zh-CN" w:bidi="ar-SA"/>
        </w:rPr>
        <w:t>。</w:t>
      </w:r>
    </w:p>
    <w:p w14:paraId="61E519E9">
      <w:pPr>
        <w:ind w:firstLine="640" w:firstLineChars="200"/>
        <w:outlineLvl w:val="1"/>
        <w:rPr>
          <w:rFonts w:ascii="黑体" w:hAnsi="黑体" w:eastAsia="黑体" w:cs="宋体"/>
          <w:bCs/>
          <w:kern w:val="0"/>
          <w:sz w:val="32"/>
          <w:szCs w:val="32"/>
        </w:rPr>
      </w:pPr>
      <w:r>
        <w:rPr>
          <w:rFonts w:hint="eastAsia" w:ascii="Times New Roman" w:hAnsi="Times New Roman" w:eastAsia="仿宋_GB2312" w:cs="Times New Roman"/>
          <w:color w:val="auto"/>
          <w:kern w:val="2"/>
          <w:sz w:val="32"/>
          <w:szCs w:val="32"/>
          <w:highlight w:val="none"/>
          <w:lang w:val="en-US" w:eastAsia="zh-CN" w:bidi="ar-SA"/>
        </w:rPr>
        <w:t>8.资源勘探工业信息等支出（类）工业和信息产业监管（款）工程建设及运行维护（项）:支出决算数为</w:t>
      </w:r>
      <w:r>
        <w:rPr>
          <w:rFonts w:hint="eastAsia" w:ascii="Times New Roman" w:hAnsi="Times New Roman" w:eastAsia="仿宋_GB2312" w:cs="Times New Roman"/>
          <w:color w:val="auto"/>
          <w:sz w:val="32"/>
          <w:szCs w:val="32"/>
          <w:highlight w:val="none"/>
          <w:lang w:val="en-US" w:eastAsia="zh-CN"/>
        </w:rPr>
        <w:t>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sz w:val="32"/>
          <w:szCs w:val="32"/>
          <w:highlight w:val="none"/>
          <w:lang w:val="en-US" w:eastAsia="zh-CN"/>
        </w:rPr>
        <w:t>300.00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sz w:val="32"/>
          <w:szCs w:val="32"/>
          <w:highlight w:val="none"/>
          <w:lang w:val="en-US" w:eastAsia="zh-CN"/>
        </w:rPr>
        <w:t>100%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Times New Roman" w:hAnsi="Times New Roman" w:eastAsia="仿宋_GB2312" w:cs="Times New Roman"/>
          <w:color w:val="auto"/>
          <w:sz w:val="32"/>
          <w:szCs w:val="32"/>
          <w:highlight w:val="none"/>
          <w:lang w:val="en-US" w:eastAsia="zh-CN"/>
        </w:rPr>
        <w:t>2023</w:t>
      </w:r>
      <w:r>
        <w:rPr>
          <w:rFonts w:hint="eastAsia" w:ascii="仿宋_GB2312" w:eastAsia="仿宋_GB2312"/>
          <w:sz w:val="32"/>
          <w:szCs w:val="32"/>
        </w:rPr>
        <w:t>年异地灾备运维成本经费在“其他工业和信息产业监管支出”项目中列支，</w:t>
      </w:r>
      <w:r>
        <w:rPr>
          <w:rFonts w:hint="eastAsia" w:ascii="Times New Roman" w:hAnsi="Times New Roman" w:eastAsia="仿宋_GB2312" w:cs="Times New Roman"/>
          <w:color w:val="auto"/>
          <w:sz w:val="32"/>
          <w:szCs w:val="32"/>
          <w:highlight w:val="none"/>
          <w:lang w:val="zh-CN" w:eastAsia="zh-CN"/>
        </w:rPr>
        <w:t>2022</w:t>
      </w:r>
      <w:r>
        <w:rPr>
          <w:rFonts w:hint="eastAsia" w:ascii="仿宋_GB2312" w:eastAsia="仿宋_GB2312"/>
          <w:sz w:val="32"/>
          <w:szCs w:val="32"/>
        </w:rPr>
        <w:t>年异地灾备运维成本经费在此项目中列支，无上年对比数据。</w:t>
      </w:r>
    </w:p>
    <w:p w14:paraId="17BEFC0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74C91E6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2023</w:t>
      </w:r>
      <w:r>
        <w:rPr>
          <w:rFonts w:hint="eastAsia" w:ascii="仿宋_GB2312" w:eastAsia="仿宋_GB2312"/>
          <w:color w:val="auto"/>
          <w:spacing w:val="0"/>
          <w:sz w:val="32"/>
          <w:szCs w:val="32"/>
          <w:highlight w:val="none"/>
          <w:lang w:eastAsia="zh-CN"/>
        </w:rPr>
        <w:t>年度</w:t>
      </w:r>
      <w:r>
        <w:rPr>
          <w:rFonts w:hint="eastAsia" w:ascii="仿宋_GB2312" w:eastAsia="仿宋_GB2312"/>
          <w:color w:val="auto"/>
          <w:sz w:val="32"/>
          <w:szCs w:val="32"/>
          <w:highlight w:val="none"/>
        </w:rPr>
        <w:t>一般公共预算财政拨款基本支出</w:t>
      </w:r>
      <w:r>
        <w:rPr>
          <w:rFonts w:hint="eastAsia" w:ascii="Times New Roman" w:hAnsi="Times New Roman" w:eastAsia="仿宋_GB2312" w:cs="Times New Roman"/>
          <w:color w:val="auto"/>
          <w:sz w:val="32"/>
          <w:szCs w:val="32"/>
          <w:highlight w:val="none"/>
          <w:lang w:val="zh-CN" w:eastAsia="zh-CN"/>
        </w:rPr>
        <w:t>206.09</w:t>
      </w:r>
      <w:r>
        <w:rPr>
          <w:rFonts w:hint="eastAsia" w:ascii="仿宋_GB2312" w:eastAsia="仿宋_GB2312"/>
          <w:color w:val="auto"/>
          <w:sz w:val="32"/>
          <w:szCs w:val="32"/>
          <w:highlight w:val="none"/>
        </w:rPr>
        <w:t>万元，其中：</w:t>
      </w:r>
      <w:r>
        <w:rPr>
          <w:rFonts w:hint="eastAsia" w:ascii="仿宋_GB2312" w:eastAsia="仿宋_GB2312"/>
          <w:b/>
          <w:bCs/>
          <w:color w:val="auto"/>
          <w:sz w:val="32"/>
          <w:szCs w:val="32"/>
          <w:highlight w:val="none"/>
        </w:rPr>
        <w:t>人员经费</w:t>
      </w:r>
      <w:r>
        <w:rPr>
          <w:rFonts w:hint="eastAsia" w:ascii="Times New Roman" w:hAnsi="Times New Roman" w:eastAsia="仿宋_GB2312" w:cs="Times New Roman"/>
          <w:b/>
          <w:bCs/>
          <w:color w:val="auto"/>
          <w:sz w:val="32"/>
          <w:szCs w:val="32"/>
          <w:highlight w:val="none"/>
          <w:lang w:val="zh-CN" w:eastAsia="zh-CN"/>
        </w:rPr>
        <w:t>158.09</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w:t>
      </w:r>
    </w:p>
    <w:p w14:paraId="4B05D229">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仿宋_GB2312" w:hAnsi="宋体" w:eastAsia="仿宋_GB2312" w:cs="宋体"/>
          <w:color w:val="auto"/>
          <w:kern w:val="0"/>
          <w:sz w:val="32"/>
          <w:szCs w:val="32"/>
          <w:highlight w:val="none"/>
        </w:rPr>
      </w:pPr>
      <w:r>
        <w:rPr>
          <w:rFonts w:hint="eastAsia" w:ascii="仿宋_GB2312" w:eastAsia="仿宋_GB2312"/>
          <w:b/>
          <w:bCs/>
          <w:color w:val="auto"/>
          <w:sz w:val="32"/>
          <w:szCs w:val="32"/>
          <w:highlight w:val="none"/>
        </w:rPr>
        <w:t>公用经费</w:t>
      </w:r>
      <w:r>
        <w:rPr>
          <w:rFonts w:hint="eastAsia" w:ascii="Times New Roman" w:hAnsi="Times New Roman" w:eastAsia="仿宋_GB2312" w:cs="Times New Roman"/>
          <w:b/>
          <w:bCs/>
          <w:color w:val="auto"/>
          <w:sz w:val="32"/>
          <w:szCs w:val="32"/>
          <w:highlight w:val="none"/>
          <w:lang w:val="zh-CN" w:eastAsia="zh-CN"/>
        </w:rPr>
        <w:t>48.00</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办公费、水费、电费、邮电费、取暖费、差旅费、工会经费、福利费。</w:t>
      </w:r>
    </w:p>
    <w:p w14:paraId="3E601D0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6A3C4B36">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2023年度</w:t>
      </w:r>
      <w:r>
        <w:rPr>
          <w:rFonts w:hint="eastAsia" w:ascii="仿宋_GB2312" w:eastAsia="仿宋_GB2312"/>
          <w:b/>
          <w:bCs/>
          <w:color w:val="auto"/>
          <w:sz w:val="32"/>
          <w:szCs w:val="32"/>
          <w:highlight w:val="none"/>
          <w:lang w:val="en-US" w:eastAsia="zh-CN"/>
        </w:rPr>
        <w:t>财政拨款</w:t>
      </w:r>
      <w:r>
        <w:rPr>
          <w:rFonts w:hint="eastAsia" w:ascii="仿宋_GB2312" w:eastAsia="仿宋_GB2312"/>
          <w:b/>
          <w:bCs/>
          <w:color w:val="auto"/>
          <w:sz w:val="32"/>
          <w:szCs w:val="32"/>
          <w:highlight w:val="none"/>
          <w:lang w:val="zh-CN" w:eastAsia="zh-CN"/>
        </w:rPr>
        <w:t>“三公”经费支出</w:t>
      </w:r>
      <w:r>
        <w:rPr>
          <w:rFonts w:hint="eastAsia" w:ascii="Times New Roman" w:hAnsi="Times New Roman" w:eastAsia="仿宋_GB2312" w:cs="Times New Roman"/>
          <w:b/>
          <w:bCs/>
          <w:color w:val="auto"/>
          <w:sz w:val="32"/>
          <w:szCs w:val="32"/>
          <w:highlight w:val="none"/>
          <w:lang w:val="zh-CN" w:eastAsia="zh-CN"/>
        </w:rPr>
        <w:t>0.00</w:t>
      </w:r>
      <w:r>
        <w:rPr>
          <w:rFonts w:hint="eastAsia" w:ascii="仿宋_GB2312" w:eastAsia="仿宋_GB2312"/>
          <w:b/>
          <w:bCs/>
          <w:color w:val="auto"/>
          <w:sz w:val="32"/>
          <w:szCs w:val="32"/>
          <w:highlight w:val="none"/>
          <w:lang w:val="zh-CN" w:eastAsia="zh-CN"/>
        </w:rPr>
        <w:t>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万元，增长</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rPr>
        <w:t>我单位无财政拨款“三公”经费支出</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其中：因公出国（境）费支出</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万元，占</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，比上年增加</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万元，增长</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；公务用车购置及运行维护费支出</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万元，占</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，比上年增加</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万元，增长</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rPr>
        <w:t>我单位无公务用车购置及运行维护费</w:t>
      </w:r>
      <w:r>
        <w:rPr>
          <w:rFonts w:hint="eastAsia" w:ascii="仿宋_GB2312" w:eastAsia="仿宋_GB2312"/>
          <w:color w:val="auto"/>
          <w:sz w:val="32"/>
          <w:szCs w:val="32"/>
          <w:highlight w:val="none"/>
          <w:lang w:val="zh-CN" w:eastAsia="zh-CN"/>
        </w:rPr>
        <w:t>；公务接待费支出</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万元，占</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，比上年增加</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万元，增长</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rPr>
        <w:t>我单位无公务接待费</w:t>
      </w:r>
      <w:r>
        <w:rPr>
          <w:rFonts w:hint="eastAsia" w:ascii="仿宋_GB2312" w:eastAsia="仿宋_GB2312"/>
          <w:sz w:val="32"/>
          <w:szCs w:val="32"/>
        </w:rPr>
        <w:t>。</w:t>
      </w:r>
    </w:p>
    <w:p w14:paraId="1DCB3BF0">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仿宋_GB2312" w:eastAsia="仿宋_GB2312"/>
          <w:b/>
          <w:bCs/>
          <w:color w:val="auto"/>
          <w:sz w:val="32"/>
          <w:szCs w:val="32"/>
          <w:highlight w:val="none"/>
          <w:lang w:val="zh-CN" w:eastAsia="zh-CN"/>
        </w:rPr>
      </w:pPr>
      <w:r>
        <w:rPr>
          <w:rFonts w:hint="eastAsia" w:ascii="仿宋_GB2312" w:eastAsia="仿宋_GB2312"/>
          <w:b/>
          <w:bCs/>
          <w:color w:val="auto"/>
          <w:sz w:val="32"/>
          <w:szCs w:val="32"/>
          <w:highlight w:val="none"/>
          <w:lang w:val="zh-CN" w:eastAsia="zh-CN"/>
        </w:rPr>
        <w:t>具体情况如下：</w:t>
      </w:r>
    </w:p>
    <w:p w14:paraId="261B0D9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w:t>
      </w:r>
      <w:r>
        <w:rPr>
          <w:rFonts w:hint="eastAsia"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个，因公出国（境）</w:t>
      </w:r>
      <w:r>
        <w:rPr>
          <w:rFonts w:hint="eastAsia"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人次。</w:t>
      </w:r>
    </w:p>
    <w:p w14:paraId="13D6918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万元，其中：公务用车购置费</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万元，公务用车运行维护费</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万元。公务用车运行维护费开支内容包括</w:t>
      </w:r>
      <w:r>
        <w:rPr>
          <w:rFonts w:ascii="仿宋_GB2312" w:eastAsia="仿宋_GB2312"/>
          <w:sz w:val="32"/>
          <w:szCs w:val="32"/>
        </w:rPr>
        <w:t>我单位无公务用车购置及运行维护费</w:t>
      </w:r>
      <w:r>
        <w:rPr>
          <w:rFonts w:hint="eastAsia" w:ascii="仿宋_GB2312" w:eastAsia="仿宋_GB2312"/>
          <w:color w:val="auto"/>
          <w:sz w:val="32"/>
          <w:szCs w:val="32"/>
          <w:highlight w:val="none"/>
          <w:lang w:val="zh-CN" w:eastAsia="zh-CN"/>
        </w:rPr>
        <w:t>。公务用车购置数</w:t>
      </w:r>
      <w:r>
        <w:rPr>
          <w:rFonts w:hint="eastAsia"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辆，公务用车保有量</w:t>
      </w:r>
      <w:r>
        <w:rPr>
          <w:rFonts w:hint="eastAsia"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辆。国有资产占用情况</w:t>
      </w:r>
      <w:r>
        <w:rPr>
          <w:rFonts w:hint="eastAsia" w:ascii="仿宋_GB2312" w:eastAsia="仿宋_GB2312"/>
          <w:color w:val="auto"/>
          <w:sz w:val="32"/>
          <w:szCs w:val="32"/>
          <w:highlight w:val="none"/>
          <w:lang w:val="en-US" w:eastAsia="zh-CN"/>
        </w:rPr>
        <w:t>中固定资产车辆</w:t>
      </w:r>
      <w:r>
        <w:rPr>
          <w:rFonts w:hint="eastAsia"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保有量无差异</w:t>
      </w:r>
      <w:r>
        <w:rPr>
          <w:rFonts w:hint="eastAsia" w:ascii="仿宋_GB2312" w:eastAsia="仿宋_GB2312"/>
          <w:color w:val="auto"/>
          <w:sz w:val="32"/>
          <w:szCs w:val="32"/>
          <w:highlight w:val="none"/>
          <w:lang w:val="zh-CN" w:eastAsia="zh-CN"/>
        </w:rPr>
        <w:t>。</w:t>
      </w:r>
    </w:p>
    <w:p w14:paraId="53EF8D8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万元，开支内容包括</w:t>
      </w:r>
      <w:r>
        <w:rPr>
          <w:rFonts w:ascii="仿宋_GB2312" w:eastAsia="仿宋_GB2312"/>
          <w:sz w:val="32"/>
          <w:szCs w:val="32"/>
        </w:rPr>
        <w:t>我单位无公务接待费</w:t>
      </w:r>
      <w:r>
        <w:rPr>
          <w:rFonts w:hint="eastAsia" w:ascii="仿宋_GB2312" w:eastAsia="仿宋_GB2312"/>
          <w:color w:val="auto"/>
          <w:sz w:val="32"/>
          <w:szCs w:val="32"/>
          <w:highlight w:val="none"/>
          <w:lang w:val="zh-CN" w:eastAsia="zh-CN"/>
        </w:rPr>
        <w:t>。单位全年安排的国内公务接待</w:t>
      </w:r>
      <w:r>
        <w:rPr>
          <w:rFonts w:hint="eastAsia"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批次，</w:t>
      </w:r>
      <w:r>
        <w:rPr>
          <w:rFonts w:hint="eastAsia"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人次。</w:t>
      </w:r>
    </w:p>
    <w:p w14:paraId="04259190">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与</w:t>
      </w:r>
      <w:r>
        <w:rPr>
          <w:rFonts w:hint="eastAsia" w:ascii="仿宋_GB2312" w:eastAsia="仿宋_GB2312"/>
          <w:b/>
          <w:bCs/>
          <w:color w:val="auto"/>
          <w:sz w:val="32"/>
          <w:szCs w:val="32"/>
          <w:highlight w:val="none"/>
          <w:lang w:val="en-US" w:eastAsia="zh-CN"/>
        </w:rPr>
        <w:t>全年</w:t>
      </w:r>
      <w:r>
        <w:rPr>
          <w:rFonts w:hint="eastAsia" w:ascii="仿宋_GB2312" w:eastAsia="仿宋_GB2312"/>
          <w:b/>
          <w:bCs/>
          <w:color w:val="auto"/>
          <w:sz w:val="32"/>
          <w:szCs w:val="32"/>
          <w:highlight w:val="none"/>
          <w:lang w:val="zh-CN" w:eastAsia="zh-CN"/>
        </w:rPr>
        <w:t>预算相比</w:t>
      </w:r>
      <w:r>
        <w:rPr>
          <w:rFonts w:hint="eastAsia" w:ascii="仿宋_GB2312" w:eastAsia="仿宋_GB2312"/>
          <w:b/>
          <w:bCs/>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万元，决算数</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万元，预决算差异率</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财政拨款“三公”经费支出。其中：因公出国（境）费</w:t>
      </w:r>
      <w:r>
        <w:rPr>
          <w:rFonts w:hint="eastAsia" w:ascii="仿宋_GB2312" w:eastAsia="仿宋_GB2312"/>
          <w:color w:val="auto"/>
          <w:sz w:val="32"/>
          <w:szCs w:val="32"/>
          <w:highlight w:val="none"/>
          <w:lang w:val="en-US" w:eastAsia="zh-CN"/>
        </w:rPr>
        <w:t>全年预算数</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万元，决算数</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万元，预决算差异率</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因公出国（境）费；公务用车购置费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万元，决算数</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万元，预决算差异率</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公务用车购置费；公务用车运行费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eastAsia" w:ascii="Times New Roman" w:hAnsi="Times New Roman" w:eastAsia="仿宋_GB2312" w:cs="Times New Roman"/>
          <w:color w:val="auto"/>
          <w:sz w:val="32"/>
          <w:szCs w:val="32"/>
          <w:highlight w:val="none"/>
          <w:lang w:val="zh-CN" w:eastAsia="zh-CN"/>
        </w:rPr>
        <w:t>0.00万</w:t>
      </w:r>
      <w:r>
        <w:rPr>
          <w:rFonts w:hint="eastAsia" w:ascii="仿宋_GB2312" w:eastAsia="仿宋_GB2312"/>
          <w:color w:val="auto"/>
          <w:sz w:val="32"/>
          <w:szCs w:val="32"/>
          <w:highlight w:val="none"/>
          <w:lang w:val="zh-CN" w:eastAsia="zh-CN"/>
        </w:rPr>
        <w:t>元，决算数</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万元，预决算差异率</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公务用车运行费；公务接待费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万元，决算数</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万元，预决算差异率</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公务接待费。</w:t>
      </w:r>
    </w:p>
    <w:p w14:paraId="763515B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26AA465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50EE8B7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4A9D3FC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32C0D7B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2E163CD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2AF56782">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新疆维吾尔自治区重要信息系统灾难备份中心</w:t>
      </w:r>
      <w:r>
        <w:rPr>
          <w:rFonts w:hint="eastAsia" w:ascii="Times New Roman" w:hAnsi="Times New Roman" w:eastAsia="仿宋_GB2312" w:cs="Times New Roman"/>
          <w:color w:val="auto"/>
          <w:sz w:val="32"/>
          <w:szCs w:val="32"/>
          <w:highlight w:val="none"/>
          <w:lang w:val="zh-CN" w:eastAsia="zh-CN"/>
        </w:rPr>
        <w:t>（事业单位）公用经费支出48.00万元，比上年增加1.83万元，增长3.97%，主要原因是：</w:t>
      </w:r>
      <w:r>
        <w:rPr>
          <w:rFonts w:hint="eastAsia" w:ascii="Times New Roman" w:hAnsi="Times New Roman" w:eastAsia="仿宋_GB2312" w:cs="Times New Roman"/>
          <w:color w:val="auto"/>
          <w:sz w:val="32"/>
          <w:szCs w:val="32"/>
          <w:highlight w:val="none"/>
          <w:lang w:val="en-US" w:eastAsia="zh-CN"/>
        </w:rPr>
        <w:t>2022</w:t>
      </w:r>
      <w:r>
        <w:rPr>
          <w:rFonts w:hint="eastAsia" w:eastAsia="仿宋_GB2312" w:cs="Times New Roman"/>
          <w:color w:val="auto"/>
          <w:sz w:val="32"/>
          <w:szCs w:val="32"/>
          <w:highlight w:val="none"/>
          <w:lang w:val="en-US" w:eastAsia="zh-CN"/>
        </w:rPr>
        <w:t>年公用经费财政核拨预算数减少，2023年人员经费增长导致公用经费增加，一增一减导致涨幅较大。</w:t>
      </w:r>
    </w:p>
    <w:p w14:paraId="0A52F11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34A46C4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774.71万元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其中：政府采购货物支出6.21万元、政府采购工程支出0.00万元、政府采购服务支出768.50万元。</w:t>
      </w:r>
    </w:p>
    <w:p w14:paraId="37D363A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授予中小企业合同金额224.84万元，占政府采购支出总额的29.02</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，其中：授予小微企业合同金额224.84万元，占政府采购支出总额的29.02</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72E052C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2008C96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eastAsia="Times New Roman" w:cs="Times New Roman"/>
          <w:color w:val="auto"/>
          <w:sz w:val="32"/>
          <w:szCs w:val="32"/>
          <w:highlight w:val="none"/>
          <w:lang w:val="zh-CN" w:eastAsia="zh-CN"/>
        </w:rPr>
        <w:t>19,802.66</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w:t>
      </w:r>
      <w:r>
        <w:rPr>
          <w:rFonts w:hint="eastAsia" w:eastAsia="Times New Roman" w:cs="Times New Roman"/>
          <w:color w:val="auto"/>
          <w:sz w:val="32"/>
          <w:szCs w:val="32"/>
          <w:highlight w:val="none"/>
          <w:lang w:val="zh-CN" w:eastAsia="zh-CN"/>
        </w:rPr>
        <w:t>17556.76</w:t>
      </w:r>
      <w:r>
        <w:rPr>
          <w:rFonts w:hint="eastAsia" w:ascii="Times New Roman" w:hAnsi="Times New Roman" w:eastAsia="仿宋_GB2312" w:cs="Times New Roman"/>
          <w:color w:val="auto"/>
          <w:sz w:val="32"/>
          <w:szCs w:val="32"/>
          <w:highlight w:val="none"/>
          <w:lang w:val="zh-CN" w:eastAsia="zh-CN"/>
        </w:rPr>
        <w:t>平方米，价值</w:t>
      </w:r>
      <w:r>
        <w:rPr>
          <w:rFonts w:hint="eastAsia" w:eastAsia="Times New Roman" w:cs="Times New Roman"/>
          <w:color w:val="auto"/>
          <w:sz w:val="32"/>
          <w:szCs w:val="32"/>
          <w:highlight w:val="none"/>
          <w:lang w:val="zh-CN" w:eastAsia="zh-CN"/>
        </w:rPr>
        <w:t>10,235.49</w:t>
      </w:r>
      <w:r>
        <w:rPr>
          <w:rFonts w:hint="eastAsia" w:ascii="Times New Roman" w:hAnsi="Times New Roman" w:eastAsia="仿宋_GB2312" w:cs="Times New Roman"/>
          <w:color w:val="auto"/>
          <w:sz w:val="32"/>
          <w:szCs w:val="32"/>
          <w:highlight w:val="none"/>
          <w:lang w:val="zh-CN" w:eastAsia="zh-CN"/>
        </w:rPr>
        <w:t>万元。车辆</w:t>
      </w:r>
      <w:r>
        <w:rPr>
          <w:rFonts w:hint="eastAsia" w:eastAsia="Times New Roman" w:cs="Times New Roman"/>
          <w:color w:val="auto"/>
          <w:sz w:val="32"/>
          <w:szCs w:val="32"/>
          <w:highlight w:val="none"/>
          <w:lang w:val="zh-CN" w:eastAsia="zh-CN"/>
        </w:rPr>
        <w:t>0</w:t>
      </w:r>
      <w:r>
        <w:rPr>
          <w:rFonts w:hint="eastAsia" w:ascii="Times New Roman" w:hAnsi="Times New Roman" w:eastAsia="仿宋_GB2312" w:cs="Times New Roman"/>
          <w:color w:val="auto"/>
          <w:sz w:val="32"/>
          <w:szCs w:val="32"/>
          <w:highlight w:val="none"/>
          <w:lang w:val="zh-CN" w:eastAsia="zh-CN"/>
        </w:rPr>
        <w:t>辆，价值</w:t>
      </w:r>
      <w:r>
        <w:rPr>
          <w:rFonts w:hint="eastAsia" w:eastAsia="Times New Roman" w:cs="Times New Roman"/>
          <w:color w:val="auto"/>
          <w:sz w:val="32"/>
          <w:szCs w:val="32"/>
          <w:highlight w:val="none"/>
          <w:lang w:val="zh-CN" w:eastAsia="zh-CN"/>
        </w:rPr>
        <w:t>0.00</w:t>
      </w:r>
      <w:r>
        <w:rPr>
          <w:rFonts w:hint="eastAsia" w:ascii="Times New Roman" w:hAnsi="Times New Roman" w:eastAsia="仿宋_GB2312" w:cs="Times New Roman"/>
          <w:color w:val="auto"/>
          <w:sz w:val="32"/>
          <w:szCs w:val="32"/>
          <w:highlight w:val="none"/>
          <w:lang w:val="zh-CN" w:eastAsia="zh-CN"/>
        </w:rPr>
        <w:t>万元，其中：副部（省）级及以上领导用车</w:t>
      </w:r>
      <w:r>
        <w:rPr>
          <w:rFonts w:hint="eastAsia" w:eastAsia="Times New Roman" w:cs="Times New Roman"/>
          <w:color w:val="auto"/>
          <w:sz w:val="32"/>
          <w:szCs w:val="32"/>
          <w:highlight w:val="none"/>
          <w:lang w:val="zh-CN" w:eastAsia="zh-CN"/>
        </w:rPr>
        <w:t>0</w:t>
      </w:r>
      <w:r>
        <w:rPr>
          <w:rFonts w:hint="eastAsia" w:ascii="Times New Roman" w:hAnsi="Times New Roman" w:eastAsia="仿宋_GB2312" w:cs="Times New Roman"/>
          <w:color w:val="auto"/>
          <w:sz w:val="32"/>
          <w:szCs w:val="32"/>
          <w:highlight w:val="none"/>
          <w:lang w:val="zh-CN" w:eastAsia="zh-CN"/>
        </w:rPr>
        <w:t>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w:t>
      </w:r>
      <w:r>
        <w:rPr>
          <w:rFonts w:hint="eastAsia" w:eastAsia="Times New Roman" w:cs="Times New Roman"/>
          <w:color w:val="auto"/>
          <w:sz w:val="32"/>
          <w:szCs w:val="32"/>
          <w:highlight w:val="none"/>
          <w:lang w:val="zh-CN" w:eastAsia="zh-CN"/>
        </w:rPr>
        <w:t>0</w:t>
      </w:r>
      <w:r>
        <w:rPr>
          <w:rFonts w:hint="eastAsia" w:ascii="Times New Roman" w:hAnsi="Times New Roman" w:eastAsia="仿宋_GB2312" w:cs="Times New Roman"/>
          <w:color w:val="auto"/>
          <w:sz w:val="32"/>
          <w:szCs w:val="32"/>
          <w:highlight w:val="none"/>
          <w:lang w:val="zh-CN" w:eastAsia="zh-CN"/>
        </w:rPr>
        <w:t>辆、机要通信用车</w:t>
      </w:r>
      <w:r>
        <w:rPr>
          <w:rFonts w:hint="eastAsia" w:eastAsia="Times New Roman" w:cs="Times New Roman"/>
          <w:color w:val="auto"/>
          <w:sz w:val="32"/>
          <w:szCs w:val="32"/>
          <w:highlight w:val="none"/>
          <w:lang w:val="zh-CN" w:eastAsia="zh-CN"/>
        </w:rPr>
        <w:t>0</w:t>
      </w:r>
      <w:r>
        <w:rPr>
          <w:rFonts w:hint="eastAsia" w:ascii="Times New Roman" w:hAnsi="Times New Roman" w:eastAsia="仿宋_GB2312" w:cs="Times New Roman"/>
          <w:color w:val="auto"/>
          <w:sz w:val="32"/>
          <w:szCs w:val="32"/>
          <w:highlight w:val="none"/>
          <w:lang w:val="zh-CN" w:eastAsia="zh-CN"/>
        </w:rPr>
        <w:t>辆、应急保障用车</w:t>
      </w:r>
      <w:r>
        <w:rPr>
          <w:rFonts w:hint="eastAsia" w:eastAsia="Times New Roman" w:cs="Times New Roman"/>
          <w:color w:val="auto"/>
          <w:sz w:val="32"/>
          <w:szCs w:val="32"/>
          <w:highlight w:val="none"/>
          <w:lang w:val="zh-CN" w:eastAsia="zh-CN"/>
        </w:rPr>
        <w:t>0</w:t>
      </w:r>
      <w:r>
        <w:rPr>
          <w:rFonts w:hint="eastAsia" w:ascii="Times New Roman" w:hAnsi="Times New Roman" w:eastAsia="仿宋_GB2312" w:cs="Times New Roman"/>
          <w:color w:val="auto"/>
          <w:sz w:val="32"/>
          <w:szCs w:val="32"/>
          <w:highlight w:val="none"/>
          <w:lang w:val="zh-CN" w:eastAsia="zh-CN"/>
        </w:rPr>
        <w:t>辆、执法执勤用车</w:t>
      </w:r>
      <w:r>
        <w:rPr>
          <w:rFonts w:hint="eastAsia" w:eastAsia="Times New Roman" w:cs="Times New Roman"/>
          <w:color w:val="auto"/>
          <w:sz w:val="32"/>
          <w:szCs w:val="32"/>
          <w:highlight w:val="none"/>
          <w:lang w:val="zh-CN" w:eastAsia="zh-CN"/>
        </w:rPr>
        <w:t>0</w:t>
      </w:r>
      <w:r>
        <w:rPr>
          <w:rFonts w:hint="eastAsia" w:ascii="Times New Roman" w:hAnsi="Times New Roman" w:eastAsia="仿宋_GB2312" w:cs="Times New Roman"/>
          <w:color w:val="auto"/>
          <w:sz w:val="32"/>
          <w:szCs w:val="32"/>
          <w:highlight w:val="none"/>
          <w:lang w:val="zh-CN" w:eastAsia="zh-CN"/>
        </w:rPr>
        <w:t>辆、特种专业技术用车</w:t>
      </w:r>
      <w:r>
        <w:rPr>
          <w:rFonts w:hint="eastAsia" w:eastAsia="Times New Roman" w:cs="Times New Roman"/>
          <w:color w:val="auto"/>
          <w:sz w:val="32"/>
          <w:szCs w:val="32"/>
          <w:highlight w:val="none"/>
          <w:lang w:val="zh-CN" w:eastAsia="zh-CN"/>
        </w:rPr>
        <w:t>0</w:t>
      </w:r>
      <w:r>
        <w:rPr>
          <w:rFonts w:hint="eastAsia" w:ascii="Times New Roman" w:hAnsi="Times New Roman" w:eastAsia="仿宋_GB2312" w:cs="Times New Roman"/>
          <w:color w:val="auto"/>
          <w:sz w:val="32"/>
          <w:szCs w:val="32"/>
          <w:highlight w:val="none"/>
          <w:lang w:val="zh-CN" w:eastAsia="zh-CN"/>
        </w:rPr>
        <w:t>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w:t>
      </w:r>
      <w:r>
        <w:rPr>
          <w:rFonts w:hint="eastAsia" w:eastAsia="Times New Roman" w:cs="Times New Roman"/>
          <w:color w:val="auto"/>
          <w:sz w:val="32"/>
          <w:szCs w:val="32"/>
          <w:highlight w:val="none"/>
          <w:lang w:val="zh-CN" w:eastAsia="zh-CN"/>
        </w:rPr>
        <w:t>0</w:t>
      </w:r>
      <w:r>
        <w:rPr>
          <w:rFonts w:hint="eastAsia" w:ascii="Times New Roman" w:hAnsi="Times New Roman" w:eastAsia="仿宋_GB2312" w:cs="Times New Roman"/>
          <w:color w:val="auto"/>
          <w:sz w:val="32"/>
          <w:szCs w:val="32"/>
          <w:highlight w:val="none"/>
          <w:lang w:val="zh-CN" w:eastAsia="zh-CN"/>
        </w:rPr>
        <w:t>辆、其他用车0辆，其他用车主要是：</w:t>
      </w:r>
      <w:r>
        <w:rPr>
          <w:rFonts w:hint="eastAsia" w:ascii="仿宋_GB2312" w:eastAsia="仿宋_GB2312"/>
          <w:sz w:val="32"/>
          <w:szCs w:val="32"/>
        </w:rPr>
        <w:t>我单位无其他用车</w:t>
      </w:r>
      <w:r>
        <w:rPr>
          <w:rFonts w:hint="eastAsia" w:ascii="Times New Roman" w:hAnsi="Times New Roman" w:eastAsia="仿宋_GB2312" w:cs="Times New Roman"/>
          <w:color w:val="auto"/>
          <w:sz w:val="32"/>
          <w:szCs w:val="32"/>
          <w:highlight w:val="none"/>
          <w:lang w:val="zh-CN" w:eastAsia="zh-CN"/>
        </w:rPr>
        <w:t>；单价100万元（含）以上设备（不含车辆）9</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3182EF7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57C370FE">
      <w:pPr>
        <w:ind w:firstLine="640" w:firstLineChars="200"/>
        <w:rPr>
          <w:rFonts w:hint="eastAsia" w:ascii="仿宋_GB2312" w:eastAsia="仿宋_GB2312"/>
          <w:color w:val="auto"/>
          <w:sz w:val="32"/>
          <w:szCs w:val="32"/>
          <w:highlight w:val="none"/>
        </w:rPr>
      </w:pPr>
      <w:bookmarkStart w:id="48" w:name="_GoBack"/>
      <w:bookmarkEnd w:id="48"/>
      <w:r>
        <w:rPr>
          <w:rFonts w:hint="eastAsia" w:ascii="仿宋_GB2312" w:eastAsia="仿宋_GB2312"/>
          <w:sz w:val="32"/>
          <w:szCs w:val="32"/>
          <w:lang w:eastAsia="zh-CN"/>
        </w:rPr>
        <w:t>根据预算绩效管理要求，我</w:t>
      </w:r>
      <w:r>
        <w:rPr>
          <w:rFonts w:hint="eastAsia" w:ascii="仿宋_GB2312" w:eastAsia="仿宋_GB2312"/>
          <w:sz w:val="32"/>
          <w:szCs w:val="32"/>
          <w:lang w:val="en-US" w:eastAsia="zh-CN"/>
        </w:rPr>
        <w:t>单位2023</w:t>
      </w:r>
      <w:r>
        <w:rPr>
          <w:rFonts w:hint="eastAsia" w:ascii="仿宋_GB2312" w:eastAsia="仿宋_GB2312"/>
          <w:sz w:val="32"/>
          <w:szCs w:val="32"/>
          <w:lang w:eastAsia="zh-CN"/>
        </w:rPr>
        <w:t>年度</w:t>
      </w:r>
      <w:r>
        <w:rPr>
          <w:rFonts w:hint="eastAsia" w:ascii="仿宋_GB2312" w:eastAsia="仿宋_GB2312"/>
          <w:sz w:val="32"/>
          <w:szCs w:val="32"/>
        </w:rPr>
        <w:t>预算绩效管理整体</w:t>
      </w:r>
      <w:r>
        <w:rPr>
          <w:rFonts w:hint="eastAsia" w:ascii="仿宋_GB2312" w:eastAsia="仿宋_GB2312"/>
          <w:sz w:val="32"/>
          <w:szCs w:val="32"/>
          <w:lang w:val="en-US" w:eastAsia="zh-CN"/>
        </w:rPr>
        <w:t>支出</w:t>
      </w:r>
      <w:r>
        <w:rPr>
          <w:rFonts w:hint="eastAsia" w:ascii="仿宋_GB2312" w:eastAsia="仿宋_GB2312"/>
          <w:sz w:val="32"/>
          <w:szCs w:val="32"/>
        </w:rPr>
        <w:t>绩效自评表</w:t>
      </w:r>
      <w:r>
        <w:rPr>
          <w:rFonts w:hint="eastAsia" w:ascii="仿宋_GB2312" w:eastAsia="仿宋_GB2312"/>
          <w:sz w:val="32"/>
          <w:szCs w:val="32"/>
          <w:lang w:val="en-US" w:eastAsia="zh-CN"/>
        </w:rPr>
        <w:t>0个，全年预算总额0</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实际执行总额0</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color w:val="auto"/>
          <w:sz w:val="32"/>
          <w:szCs w:val="32"/>
          <w:highlight w:val="none"/>
          <w:lang w:val="en-US" w:eastAsia="zh-CN"/>
        </w:rPr>
        <w:t>我单位整体支出绩效自评表由主管部门编报并公开</w:t>
      </w:r>
      <w:r>
        <w:rPr>
          <w:rFonts w:hint="eastAsia" w:ascii="仿宋_GB2312" w:eastAsia="仿宋_GB2312"/>
          <w:sz w:val="32"/>
          <w:szCs w:val="32"/>
          <w:lang w:val="en-US" w:eastAsia="zh-CN"/>
        </w:rPr>
        <w:t>；</w:t>
      </w:r>
      <w:r>
        <w:rPr>
          <w:rFonts w:hint="eastAsia" w:ascii="仿宋_GB2312" w:eastAsia="仿宋_GB2312"/>
          <w:sz w:val="32"/>
          <w:szCs w:val="32"/>
          <w:lang w:eastAsia="zh-CN"/>
        </w:rPr>
        <w:t>预算绩效评价项目</w:t>
      </w:r>
      <w:r>
        <w:rPr>
          <w:rFonts w:hint="eastAsia" w:ascii="仿宋_GB2312" w:eastAsia="仿宋_GB2312"/>
          <w:sz w:val="32"/>
          <w:szCs w:val="32"/>
          <w:lang w:val="en-US" w:eastAsia="zh-CN"/>
        </w:rPr>
        <w:t>3</w:t>
      </w:r>
      <w:r>
        <w:rPr>
          <w:rFonts w:hint="eastAsia" w:ascii="仿宋_GB2312" w:eastAsia="仿宋_GB2312"/>
          <w:sz w:val="32"/>
          <w:szCs w:val="32"/>
          <w:lang w:eastAsia="zh-CN"/>
        </w:rPr>
        <w:t>个，</w:t>
      </w:r>
      <w:r>
        <w:rPr>
          <w:rFonts w:hint="eastAsia" w:ascii="仿宋_GB2312" w:eastAsia="仿宋_GB2312"/>
          <w:sz w:val="32"/>
          <w:szCs w:val="32"/>
          <w:lang w:val="en-US" w:eastAsia="zh-CN"/>
        </w:rPr>
        <w:t>全年预算数882.45万元，全年执行数882.45万</w:t>
      </w:r>
      <w:r>
        <w:rPr>
          <w:rFonts w:hint="eastAsia" w:ascii="仿宋_GB2312" w:eastAsia="仿宋_GB2312"/>
          <w:sz w:val="32"/>
          <w:szCs w:val="32"/>
        </w:rPr>
        <w:t>元</w:t>
      </w:r>
      <w:r>
        <w:rPr>
          <w:rFonts w:hint="eastAsia" w:ascii="仿宋_GB2312" w:eastAsia="仿宋_GB2312"/>
          <w:sz w:val="32"/>
          <w:szCs w:val="32"/>
          <w:lang w:eastAsia="zh-CN"/>
        </w:rPr>
        <w:t>。</w:t>
      </w:r>
      <w:r>
        <w:rPr>
          <w:rFonts w:hint="eastAsia" w:ascii="仿宋_GB2312" w:eastAsia="仿宋_GB2312"/>
          <w:sz w:val="32"/>
          <w:szCs w:val="32"/>
        </w:rPr>
        <w:t>预算绩效管理取得的成效：</w:t>
      </w:r>
      <w:r>
        <w:rPr>
          <w:rFonts w:ascii="仿宋_GB2312" w:eastAsia="仿宋_GB2312"/>
          <w:sz w:val="32"/>
          <w:szCs w:val="32"/>
        </w:rPr>
        <w:t>一是严格执行《工信厅全面预算绩效管理办法》，规范和加快预算执行,积极做好绩效监控和绩效评价工作，确保预算执行的准确性、及时性和规范性,切实发挥财政资金最大效用；二是各项工作实施及资金使用情况均在绩效目标设定时限完成，在项目经费的使用上,在保证各项任务顺利完成的同时,严格落实厉行节约原则</w:t>
      </w:r>
      <w:r>
        <w:rPr>
          <w:rFonts w:hint="eastAsia" w:ascii="仿宋_GB2312" w:eastAsia="仿宋_GB2312"/>
          <w:sz w:val="32"/>
          <w:szCs w:val="32"/>
        </w:rPr>
        <w:t>。发现的问题及原因：</w:t>
      </w:r>
      <w:r>
        <w:rPr>
          <w:rFonts w:ascii="仿宋_GB2312" w:eastAsia="仿宋_GB2312"/>
          <w:sz w:val="32"/>
          <w:szCs w:val="32"/>
        </w:rPr>
        <w:t>一是预算绩效申报存在绩效目标设置不科学、不合理的问题；二是绩效目标不够具体、未完全细化，分解任务不够明确，部分绩效指标不够清晰，在经费支出过程中，功能精确度有待提高</w:t>
      </w:r>
      <w:r>
        <w:rPr>
          <w:rFonts w:hint="eastAsia" w:ascii="仿宋_GB2312" w:eastAsia="仿宋_GB2312"/>
          <w:sz w:val="32"/>
          <w:szCs w:val="32"/>
        </w:rPr>
        <w:t>。下一步改进措施：</w:t>
      </w:r>
      <w:r>
        <w:rPr>
          <w:rFonts w:ascii="仿宋_GB2312" w:eastAsia="仿宋_GB2312"/>
          <w:sz w:val="32"/>
          <w:szCs w:val="32"/>
        </w:rPr>
        <w:t>一是完善各项内控制度，建立上下协调、科室联动、层层抓落实的工作责任制，将绩效管理责任分解落实到具体科室、 明确到具体责任人，确保每一笔资金花得安全、用得高效；二是加强对专项资金预算绩效监控力度，加强对专项资金预算执行力度的考核，确保项目执行按期完成；三是建立健全绩效管理与预算管理有机结合的工作机制，落实绩效评价结果成为预算编制的重要参考因素</w:t>
      </w:r>
      <w:r>
        <w:rPr>
          <w:rFonts w:hint="eastAsia" w:ascii="仿宋_GB2312" w:eastAsia="仿宋_GB2312"/>
          <w:sz w:val="32"/>
          <w:szCs w:val="32"/>
        </w:rPr>
        <w:t>。</w:t>
      </w:r>
      <w:r>
        <w:rPr>
          <w:rFonts w:hint="eastAsia" w:ascii="仿宋_GB2312" w:eastAsia="仿宋_GB2312"/>
          <w:color w:val="auto"/>
          <w:sz w:val="32"/>
          <w:szCs w:val="32"/>
          <w:highlight w:val="none"/>
          <w:lang w:val="en-US" w:eastAsia="zh-CN"/>
        </w:rPr>
        <w:t>具体项目自评情况附绩效自评表及自评报告。</w:t>
      </w:r>
    </w:p>
    <w:p w14:paraId="0027B68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497EBED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14:paraId="5B988CC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6F92FC6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544AC3A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5168C95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393C489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4F30535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0D9AD10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0B09951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6E03C1B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5B6A88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16963D2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097A795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7C7DEAC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5C1654B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10293743">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4309FAF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51BD080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14:paraId="788A840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14:paraId="25C540B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2C923AC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14:paraId="7BDEC22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65670C5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4DD02E9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15086A6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4FD97A6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6025E8B1">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13FA587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C62FA6">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2C0AAE8">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42C0AAE8">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MWQxY2Y3MjlmMzc2NDQxNjk3MWFiYmYzMzA1NmU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6CB1C92"/>
    <w:rsid w:val="07082E1A"/>
    <w:rsid w:val="07093795"/>
    <w:rsid w:val="07804730"/>
    <w:rsid w:val="079052BE"/>
    <w:rsid w:val="08145C21"/>
    <w:rsid w:val="08422688"/>
    <w:rsid w:val="085854ED"/>
    <w:rsid w:val="0879188F"/>
    <w:rsid w:val="08A0354D"/>
    <w:rsid w:val="08CD4C49"/>
    <w:rsid w:val="09114954"/>
    <w:rsid w:val="095A5B83"/>
    <w:rsid w:val="096466E3"/>
    <w:rsid w:val="0968304D"/>
    <w:rsid w:val="09AF3D17"/>
    <w:rsid w:val="09E648CB"/>
    <w:rsid w:val="0A3B1C8C"/>
    <w:rsid w:val="0A7809B7"/>
    <w:rsid w:val="0A7B4867"/>
    <w:rsid w:val="0A840954"/>
    <w:rsid w:val="0A9928ED"/>
    <w:rsid w:val="0B61769D"/>
    <w:rsid w:val="0B7A324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0366C6"/>
    <w:rsid w:val="112E58D0"/>
    <w:rsid w:val="11656D8A"/>
    <w:rsid w:val="11731CAC"/>
    <w:rsid w:val="119500A0"/>
    <w:rsid w:val="11C0733B"/>
    <w:rsid w:val="11D50D17"/>
    <w:rsid w:val="11FA4A9E"/>
    <w:rsid w:val="120E0809"/>
    <w:rsid w:val="122E5465"/>
    <w:rsid w:val="127F665A"/>
    <w:rsid w:val="12F7068C"/>
    <w:rsid w:val="1340744D"/>
    <w:rsid w:val="14207DC0"/>
    <w:rsid w:val="14B932DA"/>
    <w:rsid w:val="150A66AF"/>
    <w:rsid w:val="154C1139"/>
    <w:rsid w:val="158C5B77"/>
    <w:rsid w:val="15E12509"/>
    <w:rsid w:val="160D1149"/>
    <w:rsid w:val="163563C0"/>
    <w:rsid w:val="164315EF"/>
    <w:rsid w:val="16557DFE"/>
    <w:rsid w:val="167268FB"/>
    <w:rsid w:val="16D50C50"/>
    <w:rsid w:val="16E120E1"/>
    <w:rsid w:val="17385A05"/>
    <w:rsid w:val="173B3901"/>
    <w:rsid w:val="176747F9"/>
    <w:rsid w:val="17954A6E"/>
    <w:rsid w:val="180059E9"/>
    <w:rsid w:val="18064D24"/>
    <w:rsid w:val="181B0922"/>
    <w:rsid w:val="184510FD"/>
    <w:rsid w:val="190648B0"/>
    <w:rsid w:val="19071D6C"/>
    <w:rsid w:val="19D26CD4"/>
    <w:rsid w:val="19E60D19"/>
    <w:rsid w:val="1A3E3450"/>
    <w:rsid w:val="1AD807E5"/>
    <w:rsid w:val="1B39345B"/>
    <w:rsid w:val="1BE16D28"/>
    <w:rsid w:val="1BFB2A1F"/>
    <w:rsid w:val="1C015D4A"/>
    <w:rsid w:val="1C290ED5"/>
    <w:rsid w:val="1C317E4F"/>
    <w:rsid w:val="1C472464"/>
    <w:rsid w:val="1D22799A"/>
    <w:rsid w:val="1D5C1A72"/>
    <w:rsid w:val="1DAF458D"/>
    <w:rsid w:val="1E086ACE"/>
    <w:rsid w:val="1E62130A"/>
    <w:rsid w:val="1E97358B"/>
    <w:rsid w:val="1EAA4A5F"/>
    <w:rsid w:val="1EE869A7"/>
    <w:rsid w:val="1EF85A41"/>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4AF698A"/>
    <w:rsid w:val="25292727"/>
    <w:rsid w:val="252E5CA9"/>
    <w:rsid w:val="256F7692"/>
    <w:rsid w:val="25A65E65"/>
    <w:rsid w:val="25BA2154"/>
    <w:rsid w:val="25C8773F"/>
    <w:rsid w:val="264A7253"/>
    <w:rsid w:val="26F0170C"/>
    <w:rsid w:val="27201D62"/>
    <w:rsid w:val="27286E73"/>
    <w:rsid w:val="27CF2642"/>
    <w:rsid w:val="27E777F5"/>
    <w:rsid w:val="27EA1D4C"/>
    <w:rsid w:val="27EA2E41"/>
    <w:rsid w:val="27F615F1"/>
    <w:rsid w:val="282459E2"/>
    <w:rsid w:val="283A7FE5"/>
    <w:rsid w:val="285F51FF"/>
    <w:rsid w:val="28DF2665"/>
    <w:rsid w:val="29072599"/>
    <w:rsid w:val="291029F3"/>
    <w:rsid w:val="29CB58F0"/>
    <w:rsid w:val="2A053397"/>
    <w:rsid w:val="2A145E96"/>
    <w:rsid w:val="2AF5378F"/>
    <w:rsid w:val="2BB94DBF"/>
    <w:rsid w:val="2BBC4689"/>
    <w:rsid w:val="2C6F314E"/>
    <w:rsid w:val="2CC206BE"/>
    <w:rsid w:val="2D1136DF"/>
    <w:rsid w:val="2D20606D"/>
    <w:rsid w:val="2DB87198"/>
    <w:rsid w:val="2DB93C54"/>
    <w:rsid w:val="2E3D144C"/>
    <w:rsid w:val="2E891204"/>
    <w:rsid w:val="2EC21EC0"/>
    <w:rsid w:val="2F3F0A28"/>
    <w:rsid w:val="2FBF7029"/>
    <w:rsid w:val="2FC358E7"/>
    <w:rsid w:val="2FD0187F"/>
    <w:rsid w:val="2FD27414"/>
    <w:rsid w:val="2FD84ABA"/>
    <w:rsid w:val="2FFE4BB0"/>
    <w:rsid w:val="300E7B60"/>
    <w:rsid w:val="300F6E18"/>
    <w:rsid w:val="30862F5F"/>
    <w:rsid w:val="30D528C2"/>
    <w:rsid w:val="314029C9"/>
    <w:rsid w:val="31C63837"/>
    <w:rsid w:val="31C82E39"/>
    <w:rsid w:val="32601BAD"/>
    <w:rsid w:val="329F6389"/>
    <w:rsid w:val="3389023A"/>
    <w:rsid w:val="33CB74FA"/>
    <w:rsid w:val="343642F2"/>
    <w:rsid w:val="343F3010"/>
    <w:rsid w:val="345D0A00"/>
    <w:rsid w:val="34713BFD"/>
    <w:rsid w:val="34C13589"/>
    <w:rsid w:val="34D62D69"/>
    <w:rsid w:val="353369E3"/>
    <w:rsid w:val="357D0419"/>
    <w:rsid w:val="35E00D72"/>
    <w:rsid w:val="36965B9D"/>
    <w:rsid w:val="36C549FD"/>
    <w:rsid w:val="36C96BC2"/>
    <w:rsid w:val="3760733E"/>
    <w:rsid w:val="37A755DD"/>
    <w:rsid w:val="37F94FA0"/>
    <w:rsid w:val="380D3381"/>
    <w:rsid w:val="38115B1F"/>
    <w:rsid w:val="385E3AC3"/>
    <w:rsid w:val="387D6B9E"/>
    <w:rsid w:val="38B75FF0"/>
    <w:rsid w:val="38D45016"/>
    <w:rsid w:val="38D90432"/>
    <w:rsid w:val="3914510A"/>
    <w:rsid w:val="3926770B"/>
    <w:rsid w:val="398D3668"/>
    <w:rsid w:val="39DA0497"/>
    <w:rsid w:val="3A7770A3"/>
    <w:rsid w:val="3A893816"/>
    <w:rsid w:val="3A893B6D"/>
    <w:rsid w:val="3AB44162"/>
    <w:rsid w:val="3AD1763A"/>
    <w:rsid w:val="3B6716E3"/>
    <w:rsid w:val="3B6C6B2D"/>
    <w:rsid w:val="3C242659"/>
    <w:rsid w:val="3C796833"/>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2C130C"/>
    <w:rsid w:val="3FB77A1D"/>
    <w:rsid w:val="3FDC3674"/>
    <w:rsid w:val="3FED7F8A"/>
    <w:rsid w:val="40094AEF"/>
    <w:rsid w:val="405470BD"/>
    <w:rsid w:val="40794A29"/>
    <w:rsid w:val="40834692"/>
    <w:rsid w:val="413F25AA"/>
    <w:rsid w:val="41431AD5"/>
    <w:rsid w:val="414B3C0F"/>
    <w:rsid w:val="417C1CE7"/>
    <w:rsid w:val="41900018"/>
    <w:rsid w:val="41944406"/>
    <w:rsid w:val="41CE128F"/>
    <w:rsid w:val="41DA6F12"/>
    <w:rsid w:val="41E1318A"/>
    <w:rsid w:val="42171FB1"/>
    <w:rsid w:val="425D2703"/>
    <w:rsid w:val="434E6957"/>
    <w:rsid w:val="43BA0E31"/>
    <w:rsid w:val="43C15147"/>
    <w:rsid w:val="43E14DD2"/>
    <w:rsid w:val="43F800E9"/>
    <w:rsid w:val="443A7E4B"/>
    <w:rsid w:val="445F1CC4"/>
    <w:rsid w:val="452F5B3A"/>
    <w:rsid w:val="454E7FD2"/>
    <w:rsid w:val="45A57B6D"/>
    <w:rsid w:val="45B30F5D"/>
    <w:rsid w:val="46061BDC"/>
    <w:rsid w:val="461404F8"/>
    <w:rsid w:val="46413018"/>
    <w:rsid w:val="464B7E04"/>
    <w:rsid w:val="468041AA"/>
    <w:rsid w:val="468123C6"/>
    <w:rsid w:val="46901EEE"/>
    <w:rsid w:val="469C74D2"/>
    <w:rsid w:val="47445515"/>
    <w:rsid w:val="474B4782"/>
    <w:rsid w:val="47D90D14"/>
    <w:rsid w:val="47FE2B12"/>
    <w:rsid w:val="48387FB0"/>
    <w:rsid w:val="483A6114"/>
    <w:rsid w:val="488727DB"/>
    <w:rsid w:val="48B82268"/>
    <w:rsid w:val="48C354B3"/>
    <w:rsid w:val="493D58B5"/>
    <w:rsid w:val="494A7A04"/>
    <w:rsid w:val="4A0A26D2"/>
    <w:rsid w:val="4A2019A5"/>
    <w:rsid w:val="4A241A0B"/>
    <w:rsid w:val="4A7B2875"/>
    <w:rsid w:val="4A934476"/>
    <w:rsid w:val="4AAA220A"/>
    <w:rsid w:val="4AE12E67"/>
    <w:rsid w:val="4B3A595A"/>
    <w:rsid w:val="4B4C0111"/>
    <w:rsid w:val="4B8553A9"/>
    <w:rsid w:val="4BDB3730"/>
    <w:rsid w:val="4C200F7A"/>
    <w:rsid w:val="4CEE3180"/>
    <w:rsid w:val="4D0F4AF6"/>
    <w:rsid w:val="4DF94F37"/>
    <w:rsid w:val="4E0A1DD5"/>
    <w:rsid w:val="4E3160E5"/>
    <w:rsid w:val="4E4D37AF"/>
    <w:rsid w:val="4E8C6496"/>
    <w:rsid w:val="4EFD18DE"/>
    <w:rsid w:val="4F144236"/>
    <w:rsid w:val="4F530677"/>
    <w:rsid w:val="4F663C87"/>
    <w:rsid w:val="4F7E29A8"/>
    <w:rsid w:val="4F9E1FFC"/>
    <w:rsid w:val="50447CC2"/>
    <w:rsid w:val="50874A7C"/>
    <w:rsid w:val="50895EE7"/>
    <w:rsid w:val="50921B9D"/>
    <w:rsid w:val="50D16158"/>
    <w:rsid w:val="50DB5F45"/>
    <w:rsid w:val="50FE0AB7"/>
    <w:rsid w:val="51025EB1"/>
    <w:rsid w:val="51141503"/>
    <w:rsid w:val="51606891"/>
    <w:rsid w:val="518D0ED5"/>
    <w:rsid w:val="525C687F"/>
    <w:rsid w:val="5294273E"/>
    <w:rsid w:val="52F647F7"/>
    <w:rsid w:val="52F92565"/>
    <w:rsid w:val="539F0DC3"/>
    <w:rsid w:val="53D03877"/>
    <w:rsid w:val="542F73CA"/>
    <w:rsid w:val="5430786D"/>
    <w:rsid w:val="54C811C0"/>
    <w:rsid w:val="54E764A8"/>
    <w:rsid w:val="556A442D"/>
    <w:rsid w:val="55DA564E"/>
    <w:rsid w:val="5604127D"/>
    <w:rsid w:val="56166703"/>
    <w:rsid w:val="56510474"/>
    <w:rsid w:val="56861525"/>
    <w:rsid w:val="56A93273"/>
    <w:rsid w:val="56BD550C"/>
    <w:rsid w:val="56E07045"/>
    <w:rsid w:val="56FF28AF"/>
    <w:rsid w:val="570C4661"/>
    <w:rsid w:val="57363F80"/>
    <w:rsid w:val="57540E7D"/>
    <w:rsid w:val="577B4878"/>
    <w:rsid w:val="57926973"/>
    <w:rsid w:val="58175352"/>
    <w:rsid w:val="581F2200"/>
    <w:rsid w:val="583059FA"/>
    <w:rsid w:val="584A0929"/>
    <w:rsid w:val="58CD2491"/>
    <w:rsid w:val="591B41B2"/>
    <w:rsid w:val="59254A26"/>
    <w:rsid w:val="59326325"/>
    <w:rsid w:val="595C505B"/>
    <w:rsid w:val="595E55C3"/>
    <w:rsid w:val="596E7E20"/>
    <w:rsid w:val="59AB2151"/>
    <w:rsid w:val="5A60780B"/>
    <w:rsid w:val="5AB34579"/>
    <w:rsid w:val="5AFC6609"/>
    <w:rsid w:val="5B113480"/>
    <w:rsid w:val="5BD456CE"/>
    <w:rsid w:val="5C0D1F49"/>
    <w:rsid w:val="5CBB0CE2"/>
    <w:rsid w:val="5CC17177"/>
    <w:rsid w:val="5CF306BC"/>
    <w:rsid w:val="5D0C5B1F"/>
    <w:rsid w:val="5D3F3D64"/>
    <w:rsid w:val="5D833043"/>
    <w:rsid w:val="5DD92690"/>
    <w:rsid w:val="5DDB1CFD"/>
    <w:rsid w:val="5E7E6D93"/>
    <w:rsid w:val="5ED44800"/>
    <w:rsid w:val="5F0A0612"/>
    <w:rsid w:val="5F350BDE"/>
    <w:rsid w:val="5F61632C"/>
    <w:rsid w:val="5FA17648"/>
    <w:rsid w:val="5FE705CB"/>
    <w:rsid w:val="603D5080"/>
    <w:rsid w:val="60D0261B"/>
    <w:rsid w:val="618E3791"/>
    <w:rsid w:val="61947DCA"/>
    <w:rsid w:val="61A46A97"/>
    <w:rsid w:val="61D1382F"/>
    <w:rsid w:val="61F114A2"/>
    <w:rsid w:val="61F920B1"/>
    <w:rsid w:val="62512BB4"/>
    <w:rsid w:val="625D7D1A"/>
    <w:rsid w:val="62824AD6"/>
    <w:rsid w:val="62DD7D21"/>
    <w:rsid w:val="636E73D6"/>
    <w:rsid w:val="637D586B"/>
    <w:rsid w:val="63A5560B"/>
    <w:rsid w:val="63E9091F"/>
    <w:rsid w:val="64322AF9"/>
    <w:rsid w:val="64487C27"/>
    <w:rsid w:val="64D6010D"/>
    <w:rsid w:val="64D82665"/>
    <w:rsid w:val="64E47C96"/>
    <w:rsid w:val="651E5741"/>
    <w:rsid w:val="656C203B"/>
    <w:rsid w:val="658A4877"/>
    <w:rsid w:val="65A00902"/>
    <w:rsid w:val="65AC6EDD"/>
    <w:rsid w:val="65D97752"/>
    <w:rsid w:val="66085536"/>
    <w:rsid w:val="66105BF7"/>
    <w:rsid w:val="66150023"/>
    <w:rsid w:val="661C4E32"/>
    <w:rsid w:val="6628010D"/>
    <w:rsid w:val="669B4528"/>
    <w:rsid w:val="66CC12D7"/>
    <w:rsid w:val="67134CEF"/>
    <w:rsid w:val="671F1ABD"/>
    <w:rsid w:val="67521A59"/>
    <w:rsid w:val="67C304AB"/>
    <w:rsid w:val="67C55AFF"/>
    <w:rsid w:val="683F0658"/>
    <w:rsid w:val="689C6793"/>
    <w:rsid w:val="68C2148F"/>
    <w:rsid w:val="68DB0208"/>
    <w:rsid w:val="68FB170C"/>
    <w:rsid w:val="691B3D98"/>
    <w:rsid w:val="693748F0"/>
    <w:rsid w:val="69846A0E"/>
    <w:rsid w:val="69AD798C"/>
    <w:rsid w:val="69D005C0"/>
    <w:rsid w:val="69D80B96"/>
    <w:rsid w:val="6A582B8E"/>
    <w:rsid w:val="6B68175F"/>
    <w:rsid w:val="6B803FD5"/>
    <w:rsid w:val="6BFD799F"/>
    <w:rsid w:val="6C4A2E5A"/>
    <w:rsid w:val="6C6464CA"/>
    <w:rsid w:val="6C8138D0"/>
    <w:rsid w:val="6CEF0725"/>
    <w:rsid w:val="6D4B2604"/>
    <w:rsid w:val="6D5A3863"/>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DF7AAA"/>
    <w:rsid w:val="73FB6630"/>
    <w:rsid w:val="748D790E"/>
    <w:rsid w:val="749820CC"/>
    <w:rsid w:val="74CE04EC"/>
    <w:rsid w:val="74E76DCD"/>
    <w:rsid w:val="751D7C0A"/>
    <w:rsid w:val="75722D56"/>
    <w:rsid w:val="75DB5477"/>
    <w:rsid w:val="75FC6AC3"/>
    <w:rsid w:val="7616619B"/>
    <w:rsid w:val="76660D7C"/>
    <w:rsid w:val="766C5968"/>
    <w:rsid w:val="76BE0C8F"/>
    <w:rsid w:val="76CD53B2"/>
    <w:rsid w:val="76D97FC2"/>
    <w:rsid w:val="770519A8"/>
    <w:rsid w:val="770719AC"/>
    <w:rsid w:val="776526CC"/>
    <w:rsid w:val="77A262E1"/>
    <w:rsid w:val="77B13C33"/>
    <w:rsid w:val="77ED6F44"/>
    <w:rsid w:val="77F45548"/>
    <w:rsid w:val="784E7CA6"/>
    <w:rsid w:val="78574801"/>
    <w:rsid w:val="7873527F"/>
    <w:rsid w:val="7888545F"/>
    <w:rsid w:val="790A6425"/>
    <w:rsid w:val="790E2D96"/>
    <w:rsid w:val="791B54B2"/>
    <w:rsid w:val="795A0A34"/>
    <w:rsid w:val="797339C3"/>
    <w:rsid w:val="79D57D57"/>
    <w:rsid w:val="79F00650"/>
    <w:rsid w:val="7A6242BF"/>
    <w:rsid w:val="7A794513"/>
    <w:rsid w:val="7AE952D2"/>
    <w:rsid w:val="7C307268"/>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5686</Words>
  <Characters>6357</Characters>
  <Lines>0</Lines>
  <Paragraphs>0</Paragraphs>
  <TotalTime>0</TotalTime>
  <ScaleCrop>false</ScaleCrop>
  <LinksUpToDate>false</LinksUpToDate>
  <CharactersWithSpaces>6371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岁月无痕</cp:lastModifiedBy>
  <dcterms:modified xsi:type="dcterms:W3CDTF">2024-08-27T08:10:37Z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A8A22799F36644EB9A9C01FC3CF86A1B_13</vt:lpwstr>
  </property>
</Properties>
</file>