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奎屯市无线电管理局</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4" w:name="_Toc31238"/>
      <w:bookmarkStart w:id="5" w:name="_Toc2151"/>
      <w:r>
        <w:rPr>
          <w:rFonts w:ascii="仿宋_GB2312" w:eastAsia="仿宋_GB2312"/>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奎屯市无线电管理局是新疆维吾尔自治区工业和信息化厅派驻奎屯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rPr>
        <w:t>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奎屯市无线电管理局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个处室，分别是：综合科、业务科、监测站</w:t>
      </w:r>
      <w:r>
        <w:rPr>
          <w:rFonts w:hint="eastAsia" w:ascii="仿宋_GB2312" w:hAnsi="宋体" w:eastAsia="仿宋_GB2312" w:cs="宋体"/>
          <w:kern w:val="0"/>
          <w:sz w:val="32"/>
          <w:szCs w:val="32"/>
        </w:rPr>
        <w:t>。</w:t>
      </w:r>
    </w:p>
    <w:p>
      <w:pPr>
        <w:pStyle w:val="3"/>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1"/>
        <w:rPr>
          <w:rFonts w:hint="eastAsia" w:ascii="黑体" w:hAnsi="黑体" w:eastAsia="黑体" w:cs="黑体"/>
          <w:bCs/>
          <w:color w:val="auto"/>
          <w:kern w:val="0"/>
          <w:sz w:val="32"/>
          <w:szCs w:val="32"/>
          <w:highlight w:val="none"/>
        </w:rPr>
      </w:pPr>
      <w:bookmarkStart w:id="8" w:name="_Toc12566"/>
      <w:bookmarkStart w:id="9" w:name="_Toc25314"/>
      <w:r>
        <w:rPr>
          <w:rFonts w:hint="eastAsia" w:ascii="黑体" w:hAnsi="黑体" w:eastAsia="黑体" w:cs="黑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eastAsia="zh-CN"/>
        </w:rPr>
        <w:t>2023年度</w:t>
      </w:r>
      <w:r>
        <w:rPr>
          <w:rFonts w:hint="eastAsia" w:ascii="仿宋_GB2312" w:hAnsi="仿宋_GB2312" w:eastAsia="仿宋_GB2312" w:cs="仿宋_GB2312"/>
          <w:b/>
          <w:bCs/>
          <w:color w:val="auto"/>
          <w:spacing w:val="0"/>
          <w:sz w:val="32"/>
          <w:szCs w:val="32"/>
          <w:highlight w:val="none"/>
          <w:lang w:val="en-US" w:eastAsia="zh-CN"/>
        </w:rPr>
        <w:t>收入总计</w:t>
      </w:r>
      <w:r>
        <w:rPr>
          <w:rFonts w:hint="eastAsia" w:ascii="仿宋_GB2312" w:hAnsi="仿宋_GB2312" w:eastAsia="仿宋_GB2312" w:cs="仿宋_GB2312"/>
          <w:b/>
          <w:bCs/>
          <w:color w:val="auto"/>
          <w:spacing w:val="0"/>
          <w:sz w:val="32"/>
          <w:szCs w:val="32"/>
          <w:highlight w:val="none"/>
          <w:lang w:eastAsia="zh-CN"/>
        </w:rPr>
        <w:t>280.00万元，</w:t>
      </w:r>
      <w:r>
        <w:rPr>
          <w:rFonts w:hint="eastAsia" w:ascii="仿宋_GB2312" w:hAnsi="仿宋_GB2312" w:eastAsia="仿宋_GB2312" w:cs="仿宋_GB2312"/>
          <w:color w:val="auto"/>
          <w:spacing w:val="0"/>
          <w:sz w:val="32"/>
          <w:szCs w:val="32"/>
          <w:highlight w:val="none"/>
          <w:lang w:val="en-US" w:eastAsia="zh-CN"/>
        </w:rPr>
        <w:t>其中：本年收入合计</w:t>
      </w:r>
      <w:r>
        <w:rPr>
          <w:rFonts w:hint="eastAsia" w:ascii="仿宋_GB2312" w:hAnsi="仿宋_GB2312" w:eastAsia="仿宋_GB2312" w:cs="仿宋_GB2312"/>
          <w:color w:val="auto"/>
          <w:spacing w:val="0"/>
          <w:sz w:val="32"/>
          <w:szCs w:val="32"/>
          <w:highlight w:val="none"/>
          <w:lang w:eastAsia="zh-CN"/>
        </w:rPr>
        <w:t>176.10万元，使用非财政拨款结余0.00万元，年初结转和结余103.90万元。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val="en-US" w:eastAsia="zh-CN"/>
        </w:rPr>
        <w:t>2023</w:t>
      </w:r>
      <w:r>
        <w:rPr>
          <w:rFonts w:hint="eastAsia" w:ascii="仿宋_GB2312" w:hAnsi="仿宋_GB2312" w:eastAsia="仿宋_GB2312" w:cs="仿宋_GB2312"/>
          <w:b/>
          <w:bCs/>
          <w:color w:val="auto"/>
          <w:spacing w:val="0"/>
          <w:sz w:val="32"/>
          <w:szCs w:val="32"/>
          <w:highlight w:val="none"/>
          <w:lang w:eastAsia="zh-CN"/>
        </w:rPr>
        <w:t>年</w:t>
      </w:r>
      <w:r>
        <w:rPr>
          <w:rFonts w:hint="eastAsia" w:ascii="仿宋_GB2312" w:hAnsi="仿宋_GB2312" w:eastAsia="仿宋_GB2312" w:cs="仿宋_GB2312"/>
          <w:b/>
          <w:bCs/>
          <w:color w:val="auto"/>
          <w:spacing w:val="0"/>
          <w:sz w:val="32"/>
          <w:szCs w:val="32"/>
          <w:highlight w:val="none"/>
          <w:lang w:val="en-US" w:eastAsia="zh-CN"/>
        </w:rPr>
        <w:t>度</w:t>
      </w:r>
      <w:r>
        <w:rPr>
          <w:rFonts w:hint="eastAsia" w:ascii="仿宋_GB2312" w:hAnsi="仿宋_GB2312" w:eastAsia="仿宋_GB2312" w:cs="仿宋_GB2312"/>
          <w:b/>
          <w:bCs/>
          <w:color w:val="auto"/>
          <w:spacing w:val="0"/>
          <w:sz w:val="32"/>
          <w:szCs w:val="32"/>
          <w:highlight w:val="none"/>
          <w:lang w:eastAsia="zh-CN"/>
        </w:rPr>
        <w:t>支出</w:t>
      </w:r>
      <w:r>
        <w:rPr>
          <w:rFonts w:hint="eastAsia" w:ascii="仿宋_GB2312" w:hAnsi="仿宋_GB2312" w:eastAsia="仿宋_GB2312" w:cs="仿宋_GB2312"/>
          <w:b/>
          <w:bCs/>
          <w:color w:val="auto"/>
          <w:spacing w:val="0"/>
          <w:sz w:val="32"/>
          <w:szCs w:val="32"/>
          <w:highlight w:val="none"/>
          <w:lang w:val="en-US" w:eastAsia="zh-CN"/>
        </w:rPr>
        <w:t>总计</w:t>
      </w:r>
      <w:r>
        <w:rPr>
          <w:rFonts w:hint="eastAsia" w:ascii="仿宋_GB2312" w:hAnsi="仿宋_GB2312" w:eastAsia="仿宋_GB2312" w:cs="仿宋_GB2312"/>
          <w:b/>
          <w:bCs/>
          <w:color w:val="auto"/>
          <w:spacing w:val="0"/>
          <w:sz w:val="32"/>
          <w:szCs w:val="32"/>
          <w:highlight w:val="none"/>
          <w:lang w:eastAsia="zh-CN"/>
        </w:rPr>
        <w:t>280.00万元，</w:t>
      </w:r>
      <w:r>
        <w:rPr>
          <w:rFonts w:hint="eastAsia" w:ascii="仿宋_GB2312" w:hAnsi="仿宋_GB2312" w:eastAsia="仿宋_GB2312" w:cs="仿宋_GB2312"/>
          <w:color w:val="auto"/>
          <w:spacing w:val="0"/>
          <w:sz w:val="32"/>
          <w:szCs w:val="32"/>
          <w:highlight w:val="none"/>
          <w:lang w:val="en-US" w:eastAsia="zh-CN"/>
        </w:rPr>
        <w:t>其中：本年支出合计</w:t>
      </w:r>
      <w:r>
        <w:rPr>
          <w:rFonts w:hint="eastAsia" w:ascii="仿宋_GB2312" w:hAnsi="仿宋_GB2312" w:eastAsia="仿宋_GB2312" w:cs="仿宋_GB2312"/>
          <w:color w:val="auto"/>
          <w:spacing w:val="0"/>
          <w:sz w:val="32"/>
          <w:szCs w:val="32"/>
          <w:highlight w:val="none"/>
          <w:lang w:eastAsia="zh-CN"/>
        </w:rPr>
        <w:t>243.56万元，</w:t>
      </w:r>
      <w:r>
        <w:rPr>
          <w:rFonts w:hint="eastAsia" w:ascii="仿宋_GB2312" w:hAnsi="仿宋_GB2312" w:eastAsia="仿宋_GB2312" w:cs="仿宋_GB2312"/>
          <w:color w:val="auto"/>
          <w:spacing w:val="0"/>
          <w:sz w:val="32"/>
          <w:szCs w:val="32"/>
          <w:highlight w:val="none"/>
          <w:lang w:val="en-US" w:eastAsia="zh-CN"/>
        </w:rPr>
        <w:t>结余分配</w:t>
      </w:r>
      <w:r>
        <w:rPr>
          <w:rFonts w:hint="eastAsia" w:ascii="仿宋_GB2312" w:hAnsi="仿宋_GB2312" w:eastAsia="仿宋_GB2312" w:cs="仿宋_GB2312"/>
          <w:color w:val="auto"/>
          <w:spacing w:val="0"/>
          <w:sz w:val="32"/>
          <w:szCs w:val="32"/>
          <w:highlight w:val="none"/>
          <w:lang w:eastAsia="zh-CN"/>
        </w:rPr>
        <w:t>0.00万元，年末结转和结余36.44万元。</w:t>
      </w:r>
    </w:p>
    <w:p>
      <w:pPr>
        <w:keepNext w:val="0"/>
        <w:keepLines w:val="0"/>
        <w:pageBreakBefore w:val="0"/>
        <w:kinsoku/>
        <w:wordWrap/>
        <w:overflowPunct/>
        <w:topLinePunct w:val="0"/>
        <w:bidi w:val="0"/>
        <w:adjustRightInd/>
        <w:snapToGrid/>
        <w:spacing w:line="560" w:lineRule="exact"/>
        <w:ind w:left="0" w:leftChars="0" w:right="0" w:rightChars="0" w:firstLine="642" w:firstLineChars="200"/>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val="en-US" w:eastAsia="zh-CN"/>
        </w:rPr>
        <w:t>收入支出总体与上年相比</w:t>
      </w:r>
      <w:r>
        <w:rPr>
          <w:rFonts w:hint="eastAsia" w:ascii="仿宋_GB2312" w:hAnsi="仿宋_GB2312" w:eastAsia="仿宋_GB2312" w:cs="仿宋_GB2312"/>
          <w:b/>
          <w:bCs/>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增加8.1</w:t>
      </w:r>
      <w:r>
        <w:rPr>
          <w:rFonts w:hint="eastAsia" w:ascii="仿宋_GB2312" w:hAnsi="仿宋_GB2312" w:eastAsia="仿宋_GB2312" w:cs="仿宋_GB2312"/>
          <w:color w:val="auto"/>
          <w:spacing w:val="0"/>
          <w:sz w:val="32"/>
          <w:szCs w:val="32"/>
          <w:highlight w:val="none"/>
          <w:lang w:val="en-US" w:eastAsia="zh-CN"/>
        </w:rPr>
        <w:t>9</w:t>
      </w:r>
      <w:r>
        <w:rPr>
          <w:rFonts w:hint="eastAsia" w:ascii="仿宋_GB2312" w:hAnsi="仿宋_GB2312" w:eastAsia="仿宋_GB2312" w:cs="仿宋_GB2312"/>
          <w:color w:val="auto"/>
          <w:spacing w:val="0"/>
          <w:sz w:val="32"/>
          <w:szCs w:val="32"/>
          <w:highlight w:val="none"/>
          <w:lang w:val="zh-CN" w:eastAsia="zh-CN"/>
        </w:rPr>
        <w:t>万元</w:t>
      </w:r>
      <w:r>
        <w:rPr>
          <w:rFonts w:hint="eastAsia" w:ascii="仿宋_GB2312" w:hAnsi="仿宋_GB2312" w:eastAsia="仿宋_GB2312" w:cs="仿宋_GB2312"/>
          <w:color w:val="auto"/>
          <w:spacing w:val="0"/>
          <w:sz w:val="32"/>
          <w:szCs w:val="32"/>
          <w:highlight w:val="none"/>
          <w:lang w:eastAsia="zh-CN"/>
        </w:rPr>
        <w:t>，增长3.01%，主要原因是：</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color w:val="auto"/>
          <w:sz w:val="32"/>
          <w:szCs w:val="32"/>
        </w:rPr>
        <w:t>一般公共预算财政拨款收入较上年增加</w:t>
      </w:r>
      <w:r>
        <w:rPr>
          <w:rFonts w:hint="eastAsia" w:ascii="仿宋_GB2312" w:hAnsi="仿宋_GB2312" w:eastAsia="仿宋_GB2312" w:cs="仿宋_GB2312"/>
          <w:color w:val="auto"/>
          <w:sz w:val="32"/>
          <w:szCs w:val="32"/>
          <w:lang w:val="en-US" w:eastAsia="zh-CN"/>
        </w:rPr>
        <w:t>7.96</w:t>
      </w:r>
      <w:r>
        <w:rPr>
          <w:rFonts w:hint="eastAsia" w:ascii="仿宋_GB2312" w:hAnsi="仿宋_GB2312" w:eastAsia="仿宋_GB2312" w:cs="仿宋_GB2312"/>
          <w:color w:val="auto"/>
          <w:sz w:val="32"/>
          <w:szCs w:val="32"/>
        </w:rPr>
        <w:t>万元，（1）基本支出收入较上年增加，</w:t>
      </w:r>
      <w:r>
        <w:rPr>
          <w:rFonts w:hint="eastAsia" w:ascii="仿宋_GB2312" w:hAnsi="仿宋_GB2312" w:eastAsia="仿宋_GB2312" w:cs="仿宋_GB2312"/>
          <w:color w:val="auto"/>
          <w:sz w:val="32"/>
          <w:szCs w:val="32"/>
          <w:lang w:eastAsia="zh-CN"/>
        </w:rPr>
        <w:t>主要为单位调入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人及</w:t>
      </w:r>
      <w:r>
        <w:rPr>
          <w:rFonts w:hint="eastAsia" w:ascii="仿宋_GB2312" w:hAnsi="仿宋_GB2312" w:eastAsia="仿宋_GB2312" w:cs="仿宋_GB2312"/>
          <w:color w:val="auto"/>
          <w:sz w:val="32"/>
          <w:szCs w:val="32"/>
          <w:lang w:val="en-US" w:eastAsia="zh-CN"/>
        </w:rPr>
        <w:t>社保缴费基数上调，造成</w:t>
      </w:r>
      <w:r>
        <w:rPr>
          <w:rFonts w:hint="eastAsia" w:ascii="仿宋_GB2312" w:hAnsi="仿宋_GB2312" w:eastAsia="仿宋_GB2312" w:cs="仿宋_GB2312"/>
          <w:color w:val="auto"/>
          <w:sz w:val="32"/>
          <w:szCs w:val="32"/>
        </w:rPr>
        <w:t>机关事业单位基本养老保险缴费收入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事业单位医疗收入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公务员医疗补助收入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住房公积金收入较上年</w:t>
      </w:r>
      <w:r>
        <w:rPr>
          <w:rFonts w:hint="eastAsia" w:ascii="仿宋_GB2312" w:hAnsi="仿宋_GB2312" w:eastAsia="仿宋_GB2312" w:cs="仿宋_GB2312"/>
          <w:color w:val="auto"/>
          <w:sz w:val="32"/>
          <w:szCs w:val="32"/>
          <w:lang w:eastAsia="zh-CN"/>
        </w:rPr>
        <w:t>有所</w:t>
      </w:r>
      <w:r>
        <w:rPr>
          <w:rFonts w:hint="eastAsia" w:ascii="仿宋_GB2312" w:hAnsi="仿宋_GB2312" w:eastAsia="仿宋_GB2312" w:cs="仿宋_GB2312"/>
          <w:color w:val="auto"/>
          <w:sz w:val="32"/>
          <w:szCs w:val="32"/>
        </w:rPr>
        <w:t>增加。（2）项目支出收入较上年</w:t>
      </w:r>
      <w:r>
        <w:rPr>
          <w:rFonts w:hint="eastAsia" w:ascii="仿宋_GB2312" w:hAnsi="仿宋_GB2312" w:eastAsia="仿宋_GB2312" w:cs="仿宋_GB2312"/>
          <w:color w:val="auto"/>
          <w:sz w:val="32"/>
          <w:szCs w:val="32"/>
          <w:lang w:val="en-US" w:eastAsia="zh-CN"/>
        </w:rPr>
        <w:t>增加4.39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pacing w:val="0"/>
          <w:sz w:val="32"/>
          <w:szCs w:val="32"/>
          <w:highlight w:val="none"/>
          <w:lang w:eastAsia="zh-CN"/>
        </w:rPr>
        <w:t>为</w:t>
      </w:r>
      <w:r>
        <w:rPr>
          <w:rFonts w:hint="eastAsia" w:ascii="仿宋_GB2312" w:hAnsi="仿宋_GB2312" w:eastAsia="仿宋_GB2312" w:cs="仿宋_GB2312"/>
          <w:color w:val="auto"/>
          <w:sz w:val="32"/>
          <w:szCs w:val="32"/>
        </w:rPr>
        <w:t>“中央无线电管理经费”项目</w:t>
      </w:r>
      <w:r>
        <w:rPr>
          <w:rFonts w:hint="eastAsia" w:ascii="仿宋_GB2312" w:hAnsi="仿宋_GB2312" w:eastAsia="仿宋_GB2312" w:cs="仿宋_GB2312"/>
          <w:color w:val="auto"/>
          <w:sz w:val="32"/>
          <w:szCs w:val="32"/>
          <w:lang w:eastAsia="zh-CN"/>
        </w:rPr>
        <w:t>经费增加</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rPr>
        <w:t>使用非财政拨款结余较上年无变化。</w:t>
      </w:r>
      <w:r>
        <w:rPr>
          <w:rFonts w:hint="eastAsia" w:ascii="仿宋_GB2312" w:hAnsi="仿宋_GB2312" w:eastAsia="仿宋_GB2312" w:cs="仿宋_GB2312"/>
          <w:b/>
          <w:bCs/>
          <w:color w:val="auto"/>
          <w:sz w:val="32"/>
          <w:szCs w:val="32"/>
        </w:rPr>
        <w:t>三是</w:t>
      </w:r>
      <w:r>
        <w:rPr>
          <w:rFonts w:hint="eastAsia" w:ascii="仿宋_GB2312" w:hAnsi="仿宋_GB2312" w:eastAsia="仿宋_GB2312" w:cs="仿宋_GB2312"/>
          <w:color w:val="auto"/>
          <w:sz w:val="32"/>
          <w:szCs w:val="32"/>
        </w:rPr>
        <w:t>年初结转和结余较上年</w:t>
      </w:r>
      <w:r>
        <w:rPr>
          <w:rFonts w:hint="eastAsia" w:ascii="仿宋_GB2312" w:hAnsi="仿宋_GB2312" w:eastAsia="仿宋_GB2312" w:cs="仿宋_GB2312"/>
          <w:color w:val="auto"/>
          <w:sz w:val="32"/>
          <w:szCs w:val="32"/>
          <w:lang w:eastAsia="zh-CN"/>
        </w:rPr>
        <w:t>增加</w:t>
      </w:r>
      <w:r>
        <w:rPr>
          <w:rFonts w:hint="eastAsia" w:ascii="仿宋_GB2312" w:hAnsi="仿宋_GB2312" w:eastAsia="仿宋_GB2312" w:cs="仿宋_GB2312"/>
          <w:color w:val="auto"/>
          <w:sz w:val="32"/>
          <w:szCs w:val="32"/>
          <w:lang w:val="en-US" w:eastAsia="zh-CN"/>
        </w:rPr>
        <w:t>0.23万元</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银行利息收入</w:t>
      </w:r>
      <w:r>
        <w:rPr>
          <w:rFonts w:hint="eastAsia" w:ascii="仿宋_GB2312" w:hAnsi="仿宋_GB2312" w:eastAsia="仿宋_GB2312" w:cs="仿宋_GB2312"/>
          <w:color w:val="auto"/>
          <w:sz w:val="32"/>
          <w:szCs w:val="32"/>
        </w:rPr>
        <w:t>结转。</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rPr>
      </w:pPr>
      <w:bookmarkStart w:id="10" w:name="_Toc12142"/>
      <w:bookmarkStart w:id="11" w:name="_Toc1979"/>
      <w:r>
        <w:rPr>
          <w:rFonts w:hint="eastAsia" w:ascii="黑体" w:hAnsi="黑体" w:eastAsia="黑体" w:cs="黑体"/>
          <w:bCs/>
          <w:color w:val="auto"/>
          <w:kern w:val="0"/>
          <w:sz w:val="32"/>
          <w:szCs w:val="32"/>
          <w:highlight w:val="none"/>
          <w:lang w:eastAsia="zh-CN"/>
        </w:rPr>
        <w:t>二、</w:t>
      </w:r>
      <w:r>
        <w:rPr>
          <w:rFonts w:hint="eastAsia" w:ascii="黑体" w:hAnsi="黑体" w:eastAsia="黑体" w:cs="黑体"/>
          <w:bCs/>
          <w:color w:val="auto"/>
          <w:kern w:val="0"/>
          <w:sz w:val="32"/>
          <w:szCs w:val="32"/>
          <w:highlight w:val="none"/>
        </w:rPr>
        <w:t>收入</w:t>
      </w:r>
      <w:r>
        <w:rPr>
          <w:rFonts w:hint="eastAsia" w:ascii="黑体" w:hAnsi="黑体" w:eastAsia="黑体" w:cs="黑体"/>
          <w:bCs/>
          <w:color w:val="auto"/>
          <w:kern w:val="0"/>
          <w:sz w:val="32"/>
          <w:szCs w:val="32"/>
          <w:highlight w:val="none"/>
          <w:lang w:eastAsia="zh-CN"/>
        </w:rPr>
        <w:t>决算</w:t>
      </w:r>
      <w:r>
        <w:rPr>
          <w:rFonts w:hint="eastAsia" w:ascii="黑体" w:hAnsi="黑体" w:eastAsia="黑体" w:cs="黑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本年收入</w:t>
      </w:r>
      <w:r>
        <w:rPr>
          <w:rFonts w:hint="eastAsia" w:ascii="仿宋_GB2312" w:hAnsi="仿宋_GB2312" w:eastAsia="仿宋_GB2312" w:cs="仿宋_GB2312"/>
          <w:b/>
          <w:bCs/>
          <w:color w:val="auto"/>
          <w:sz w:val="32"/>
          <w:szCs w:val="32"/>
          <w:highlight w:val="none"/>
          <w:lang w:eastAsia="zh-CN"/>
        </w:rPr>
        <w:t>176.10</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其中：财政拨款收入</w:t>
      </w:r>
      <w:r>
        <w:rPr>
          <w:rFonts w:hint="eastAsia" w:ascii="仿宋_GB2312" w:hAnsi="仿宋_GB2312" w:eastAsia="仿宋_GB2312" w:cs="仿宋_GB2312"/>
          <w:color w:val="auto"/>
          <w:sz w:val="32"/>
          <w:szCs w:val="32"/>
          <w:highlight w:val="none"/>
          <w:lang w:val="zh-CN"/>
        </w:rPr>
        <w:t>175.87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99.87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；上级补助收入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；事业收入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zh-CN"/>
        </w:rPr>
        <w:t>0.23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0.13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bookmarkStart w:id="12" w:name="_Toc27961"/>
      <w:bookmarkStart w:id="13" w:name="_Toc13201"/>
      <w:r>
        <w:rPr>
          <w:rFonts w:hint="eastAsia" w:ascii="黑体" w:hAnsi="黑体" w:eastAsia="黑体" w:cs="黑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本年支出243.56万元，</w:t>
      </w:r>
      <w:r>
        <w:rPr>
          <w:rFonts w:hint="eastAsia" w:ascii="仿宋_GB2312" w:hAnsi="仿宋_GB2312" w:eastAsia="仿宋_GB2312" w:cs="仿宋_GB2312"/>
          <w:color w:val="auto"/>
          <w:sz w:val="32"/>
          <w:szCs w:val="32"/>
          <w:highlight w:val="none"/>
          <w:lang w:val="zh-CN" w:eastAsia="zh-CN"/>
        </w:rPr>
        <w:t>其中：基本支出129.87万元，占53.32%；项目支出113.69万元，占46.68%；上缴上级支出0.00万元，占0.00%；经营支出0.00万元，占0.00%；对附属单位补助支出0.00万元，占0.00%。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bookmarkStart w:id="14" w:name="_Toc4393"/>
      <w:bookmarkStart w:id="15" w:name="_Toc26564"/>
      <w:r>
        <w:rPr>
          <w:rFonts w:hint="eastAsia" w:ascii="黑体" w:hAnsi="黑体" w:eastAsia="黑体" w:cs="黑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eastAsia="zh-CN"/>
        </w:rPr>
        <w:t>2023年度财政拨款收入</w:t>
      </w:r>
      <w:r>
        <w:rPr>
          <w:rFonts w:hint="eastAsia" w:ascii="仿宋_GB2312" w:hAnsi="仿宋_GB2312" w:eastAsia="仿宋_GB2312" w:cs="仿宋_GB2312"/>
          <w:b/>
          <w:bCs/>
          <w:color w:val="auto"/>
          <w:spacing w:val="0"/>
          <w:sz w:val="32"/>
          <w:szCs w:val="32"/>
          <w:highlight w:val="none"/>
          <w:lang w:val="en-US" w:eastAsia="zh-CN"/>
        </w:rPr>
        <w:t>总计</w:t>
      </w:r>
      <w:r>
        <w:rPr>
          <w:rFonts w:hint="eastAsia" w:ascii="仿宋_GB2312" w:hAnsi="仿宋_GB2312" w:eastAsia="仿宋_GB2312" w:cs="仿宋_GB2312"/>
          <w:b/>
          <w:bCs/>
          <w:color w:val="auto"/>
          <w:spacing w:val="0"/>
          <w:sz w:val="32"/>
          <w:szCs w:val="32"/>
          <w:highlight w:val="none"/>
          <w:lang w:val="zh-CN" w:eastAsia="zh-CN"/>
        </w:rPr>
        <w:t>279.47</w:t>
      </w:r>
      <w:r>
        <w:rPr>
          <w:rFonts w:hint="eastAsia" w:ascii="仿宋_GB2312" w:hAnsi="仿宋_GB2312" w:eastAsia="仿宋_GB2312" w:cs="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其中：年初财政拨款结转和结余</w:t>
      </w:r>
      <w:r>
        <w:rPr>
          <w:rFonts w:hint="eastAsia" w:ascii="仿宋_GB2312" w:hAnsi="仿宋_GB2312" w:eastAsia="仿宋_GB2312" w:cs="仿宋_GB2312"/>
          <w:color w:val="auto"/>
          <w:spacing w:val="0"/>
          <w:sz w:val="32"/>
          <w:szCs w:val="32"/>
          <w:highlight w:val="none"/>
          <w:lang w:val="zh-CN" w:eastAsia="zh-CN"/>
        </w:rPr>
        <w:t>103.60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本年财政拨款收入</w:t>
      </w:r>
      <w:r>
        <w:rPr>
          <w:rFonts w:hint="eastAsia" w:ascii="仿宋_GB2312" w:hAnsi="仿宋_GB2312" w:eastAsia="仿宋_GB2312" w:cs="仿宋_GB2312"/>
          <w:color w:val="auto"/>
          <w:spacing w:val="0"/>
          <w:sz w:val="32"/>
          <w:szCs w:val="32"/>
          <w:highlight w:val="none"/>
          <w:lang w:val="zh-CN" w:eastAsia="zh-CN"/>
        </w:rPr>
        <w:t>175.87</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b/>
          <w:bCs/>
          <w:color w:val="auto"/>
          <w:spacing w:val="0"/>
          <w:sz w:val="32"/>
          <w:szCs w:val="32"/>
          <w:highlight w:val="none"/>
          <w:lang w:eastAsia="zh-CN"/>
        </w:rPr>
        <w:t>财政拨款支出</w:t>
      </w:r>
      <w:r>
        <w:rPr>
          <w:rFonts w:hint="eastAsia" w:ascii="仿宋_GB2312" w:hAnsi="仿宋_GB2312" w:eastAsia="仿宋_GB2312" w:cs="仿宋_GB2312"/>
          <w:b/>
          <w:bCs/>
          <w:color w:val="auto"/>
          <w:spacing w:val="0"/>
          <w:sz w:val="32"/>
          <w:szCs w:val="32"/>
          <w:highlight w:val="none"/>
          <w:lang w:val="en-US" w:eastAsia="zh-CN"/>
        </w:rPr>
        <w:t>总计</w:t>
      </w:r>
      <w:r>
        <w:rPr>
          <w:rFonts w:hint="eastAsia" w:ascii="仿宋_GB2312" w:hAnsi="仿宋_GB2312" w:eastAsia="仿宋_GB2312" w:cs="仿宋_GB2312"/>
          <w:b/>
          <w:bCs/>
          <w:color w:val="auto"/>
          <w:spacing w:val="0"/>
          <w:sz w:val="32"/>
          <w:szCs w:val="32"/>
          <w:highlight w:val="none"/>
          <w:lang w:val="zh-CN" w:eastAsia="zh-CN"/>
        </w:rPr>
        <w:t>279.47</w:t>
      </w:r>
      <w:r>
        <w:rPr>
          <w:rFonts w:hint="eastAsia" w:ascii="仿宋_GB2312" w:hAnsi="仿宋_GB2312" w:eastAsia="仿宋_GB2312" w:cs="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其中：年末财政拨款结转和结余</w:t>
      </w:r>
      <w:r>
        <w:rPr>
          <w:rFonts w:hint="eastAsia" w:ascii="仿宋_GB2312" w:hAnsi="仿宋_GB2312" w:eastAsia="仿宋_GB2312" w:cs="仿宋_GB2312"/>
          <w:color w:val="auto"/>
          <w:spacing w:val="0"/>
          <w:sz w:val="32"/>
          <w:szCs w:val="32"/>
          <w:highlight w:val="none"/>
          <w:lang w:val="zh-CN" w:eastAsia="zh-CN"/>
        </w:rPr>
        <w:t>35.91</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本年财政拨款支出</w:t>
      </w:r>
      <w:r>
        <w:rPr>
          <w:rFonts w:hint="eastAsia" w:ascii="仿宋_GB2312" w:hAnsi="仿宋_GB2312" w:eastAsia="仿宋_GB2312" w:cs="仿宋_GB2312"/>
          <w:color w:val="auto"/>
          <w:spacing w:val="0"/>
          <w:sz w:val="32"/>
          <w:szCs w:val="32"/>
          <w:highlight w:val="none"/>
          <w:lang w:val="zh-CN" w:eastAsia="zh-CN"/>
        </w:rPr>
        <w:t>243.56</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pacing w:val="0"/>
          <w:sz w:val="32"/>
          <w:szCs w:val="32"/>
          <w:highlight w:val="none"/>
          <w:lang w:eastAsia="zh-CN"/>
        </w:rPr>
        <w:t>财政拨款收入支出总体与上年相比</w:t>
      </w:r>
      <w:r>
        <w:rPr>
          <w:rFonts w:hint="eastAsia" w:ascii="仿宋_GB2312" w:hAnsi="仿宋_GB2312" w:eastAsia="仿宋_GB2312" w:cs="仿宋_GB2312"/>
          <w:b/>
          <w:bCs/>
          <w:color w:val="auto"/>
          <w:spacing w:val="0"/>
          <w:sz w:val="32"/>
          <w:szCs w:val="32"/>
          <w:highlight w:val="none"/>
          <w:lang w:val="en-US" w:eastAsia="zh-CN"/>
        </w:rPr>
        <w:t>,</w:t>
      </w:r>
      <w:r>
        <w:rPr>
          <w:rFonts w:hint="eastAsia" w:ascii="仿宋_GB2312" w:hAnsi="仿宋_GB2312" w:eastAsia="仿宋_GB2312" w:cs="仿宋_GB2312"/>
          <w:color w:val="auto"/>
          <w:spacing w:val="0"/>
          <w:sz w:val="32"/>
          <w:szCs w:val="32"/>
          <w:highlight w:val="none"/>
          <w:lang w:val="zh-CN" w:eastAsia="zh-CN"/>
        </w:rPr>
        <w:t>增加7.9</w:t>
      </w:r>
      <w:r>
        <w:rPr>
          <w:rFonts w:hint="eastAsia" w:ascii="仿宋_GB2312" w:hAnsi="仿宋_GB2312" w:eastAsia="仿宋_GB2312" w:cs="仿宋_GB2312"/>
          <w:color w:val="auto"/>
          <w:spacing w:val="0"/>
          <w:sz w:val="32"/>
          <w:szCs w:val="32"/>
          <w:highlight w:val="none"/>
          <w:lang w:val="en-US" w:eastAsia="zh-CN"/>
        </w:rPr>
        <w:t>6</w:t>
      </w:r>
      <w:r>
        <w:rPr>
          <w:rFonts w:hint="eastAsia" w:ascii="仿宋_GB2312" w:hAnsi="仿宋_GB2312" w:eastAsia="仿宋_GB2312" w:cs="仿宋_GB2312"/>
          <w:color w:val="auto"/>
          <w:spacing w:val="0"/>
          <w:sz w:val="32"/>
          <w:szCs w:val="32"/>
          <w:highlight w:val="none"/>
          <w:lang w:val="zh-CN" w:eastAsia="zh-CN"/>
        </w:rPr>
        <w:t>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增长2.93%,</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color w:val="auto"/>
          <w:sz w:val="32"/>
          <w:szCs w:val="32"/>
        </w:rPr>
        <w:t>基本支出收入较上年增加，</w:t>
      </w:r>
      <w:r>
        <w:rPr>
          <w:rFonts w:hint="eastAsia" w:ascii="仿宋_GB2312" w:hAnsi="仿宋_GB2312" w:eastAsia="仿宋_GB2312" w:cs="仿宋_GB2312"/>
          <w:color w:val="auto"/>
          <w:sz w:val="32"/>
          <w:szCs w:val="32"/>
          <w:lang w:eastAsia="zh-CN"/>
        </w:rPr>
        <w:t>主要为单位调入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人及</w:t>
      </w:r>
      <w:r>
        <w:rPr>
          <w:rFonts w:hint="eastAsia" w:ascii="仿宋_GB2312" w:hAnsi="仿宋_GB2312" w:eastAsia="仿宋_GB2312" w:cs="仿宋_GB2312"/>
          <w:color w:val="auto"/>
          <w:sz w:val="32"/>
          <w:szCs w:val="32"/>
          <w:lang w:val="en-US" w:eastAsia="zh-CN"/>
        </w:rPr>
        <w:t>社保缴费基数上调，造成</w:t>
      </w:r>
      <w:r>
        <w:rPr>
          <w:rFonts w:hint="eastAsia" w:ascii="仿宋_GB2312" w:hAnsi="仿宋_GB2312" w:eastAsia="仿宋_GB2312" w:cs="仿宋_GB2312"/>
          <w:color w:val="auto"/>
          <w:sz w:val="32"/>
          <w:szCs w:val="32"/>
        </w:rPr>
        <w:t>机关事业单位基本养老保险缴费收入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事业单位医疗收入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公务员医疗补助收入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住房公积金收入较上年</w:t>
      </w:r>
      <w:r>
        <w:rPr>
          <w:rFonts w:hint="eastAsia" w:ascii="仿宋_GB2312" w:hAnsi="仿宋_GB2312" w:eastAsia="仿宋_GB2312" w:cs="仿宋_GB2312"/>
          <w:color w:val="auto"/>
          <w:sz w:val="32"/>
          <w:szCs w:val="32"/>
          <w:lang w:eastAsia="zh-CN"/>
        </w:rPr>
        <w:t>有所</w:t>
      </w:r>
      <w:r>
        <w:rPr>
          <w:rFonts w:hint="eastAsia" w:ascii="仿宋_GB2312" w:hAnsi="仿宋_GB2312" w:eastAsia="仿宋_GB2312" w:cs="仿宋_GB2312"/>
          <w:color w:val="auto"/>
          <w:sz w:val="32"/>
          <w:szCs w:val="32"/>
        </w:rPr>
        <w:t>增加。（2）项目支出收入较上年</w:t>
      </w:r>
      <w:r>
        <w:rPr>
          <w:rFonts w:hint="eastAsia" w:ascii="仿宋_GB2312" w:hAnsi="仿宋_GB2312" w:eastAsia="仿宋_GB2312" w:cs="仿宋_GB2312"/>
          <w:color w:val="auto"/>
          <w:sz w:val="32"/>
          <w:szCs w:val="32"/>
          <w:lang w:val="en-US" w:eastAsia="zh-CN"/>
        </w:rPr>
        <w:t>增加4.39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pacing w:val="0"/>
          <w:sz w:val="32"/>
          <w:szCs w:val="32"/>
          <w:highlight w:val="none"/>
          <w:lang w:eastAsia="zh-CN"/>
        </w:rPr>
        <w:t>为</w:t>
      </w:r>
      <w:r>
        <w:rPr>
          <w:rFonts w:hint="eastAsia" w:ascii="仿宋_GB2312" w:hAnsi="仿宋_GB2312" w:eastAsia="仿宋_GB2312" w:cs="仿宋_GB2312"/>
          <w:color w:val="auto"/>
          <w:sz w:val="32"/>
          <w:szCs w:val="32"/>
        </w:rPr>
        <w:t>“中央无线电管理经费”项目</w:t>
      </w:r>
      <w:r>
        <w:rPr>
          <w:rFonts w:hint="eastAsia" w:ascii="仿宋_GB2312" w:hAnsi="仿宋_GB2312" w:eastAsia="仿宋_GB2312" w:cs="仿宋_GB2312"/>
          <w:color w:val="auto"/>
          <w:sz w:val="32"/>
          <w:szCs w:val="32"/>
          <w:lang w:eastAsia="zh-CN"/>
        </w:rPr>
        <w:t>经费增加</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b/>
          <w:bCs/>
          <w:color w:val="auto"/>
          <w:spacing w:val="0"/>
          <w:sz w:val="32"/>
          <w:szCs w:val="32"/>
          <w:highlight w:val="none"/>
          <w:lang w:eastAsia="zh-CN"/>
        </w:rPr>
        <w:t>与年初预算相比，</w:t>
      </w:r>
      <w:r>
        <w:rPr>
          <w:rFonts w:hint="eastAsia" w:ascii="仿宋_GB2312" w:hAnsi="仿宋_GB2312" w:eastAsia="仿宋_GB2312" w:cs="仿宋_GB2312"/>
          <w:color w:val="auto"/>
          <w:spacing w:val="0"/>
          <w:sz w:val="32"/>
          <w:szCs w:val="32"/>
          <w:highlight w:val="none"/>
          <w:lang w:eastAsia="zh-CN"/>
        </w:rPr>
        <w:t>年初预算数</w:t>
      </w:r>
      <w:r>
        <w:rPr>
          <w:rFonts w:hint="eastAsia" w:ascii="仿宋_GB2312" w:hAnsi="仿宋_GB2312" w:eastAsia="仿宋_GB2312" w:cs="仿宋_GB2312"/>
          <w:color w:val="auto"/>
          <w:spacing w:val="0"/>
          <w:sz w:val="32"/>
          <w:szCs w:val="32"/>
          <w:highlight w:val="none"/>
          <w:lang w:val="zh-CN" w:eastAsia="zh-CN"/>
        </w:rPr>
        <w:t>191.46</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279.47</w:t>
      </w:r>
      <w:r>
        <w:rPr>
          <w:rFonts w:hint="eastAsia" w:ascii="仿宋_GB2312" w:hAnsi="仿宋_GB2312" w:eastAsia="仿宋_GB2312" w:cs="仿宋_GB2312"/>
          <w:color w:val="auto"/>
          <w:spacing w:val="0"/>
          <w:sz w:val="32"/>
          <w:szCs w:val="32"/>
          <w:highlight w:val="none"/>
          <w:lang w:eastAsia="zh-CN"/>
        </w:rPr>
        <w:t>万元，预决算差异率45.97%，主要原因是：</w:t>
      </w:r>
      <w:r>
        <w:rPr>
          <w:rFonts w:hint="eastAsia" w:ascii="仿宋_GB2312" w:hAnsi="仿宋_GB2312" w:eastAsia="仿宋_GB2312" w:cs="仿宋_GB2312"/>
          <w:color w:val="auto"/>
          <w:sz w:val="32"/>
          <w:szCs w:val="32"/>
        </w:rPr>
        <w:t>在年度执行中，根据自治区财政厅下达文件</w:t>
      </w:r>
      <w:r>
        <w:rPr>
          <w:rFonts w:hint="eastAsia" w:ascii="仿宋_GB2312" w:hAnsi="仿宋_GB2312" w:eastAsia="仿宋_GB2312" w:cs="仿宋_GB2312"/>
          <w:color w:val="auto"/>
          <w:sz w:val="32"/>
          <w:szCs w:val="32"/>
          <w:lang w:val="en-US" w:eastAsia="zh-CN"/>
        </w:rPr>
        <w:t>及实际情况</w:t>
      </w:r>
      <w:r>
        <w:rPr>
          <w:rFonts w:hint="eastAsia" w:ascii="仿宋_GB2312" w:hAnsi="仿宋_GB2312" w:eastAsia="仿宋_GB2312" w:cs="仿宋_GB2312"/>
          <w:color w:val="auto"/>
          <w:sz w:val="32"/>
          <w:szCs w:val="32"/>
        </w:rPr>
        <w:t>追加及调减预算，</w:t>
      </w:r>
      <w:r>
        <w:rPr>
          <w:rFonts w:hint="eastAsia" w:ascii="仿宋_GB2312" w:hAnsi="仿宋_GB2312" w:eastAsia="仿宋_GB2312" w:cs="仿宋_GB2312"/>
          <w:b/>
          <w:bCs/>
          <w:color w:val="auto"/>
          <w:sz w:val="32"/>
          <w:szCs w:val="32"/>
        </w:rPr>
        <w:t>一是</w:t>
      </w:r>
      <w:r>
        <w:rPr>
          <w:rFonts w:hint="eastAsia" w:ascii="仿宋_GB2312" w:hAnsi="仿宋_GB2312" w:eastAsia="仿宋_GB2312" w:cs="仿宋_GB2312"/>
          <w:color w:val="auto"/>
          <w:sz w:val="32"/>
          <w:szCs w:val="32"/>
          <w:lang w:val="en-US" w:eastAsia="zh-CN"/>
        </w:rPr>
        <w:t>调整</w:t>
      </w:r>
      <w:r>
        <w:rPr>
          <w:rFonts w:hint="eastAsia" w:ascii="仿宋_GB2312" w:hAnsi="仿宋_GB2312" w:eastAsia="仿宋_GB2312" w:cs="仿宋_GB2312"/>
          <w:color w:val="auto"/>
          <w:sz w:val="32"/>
          <w:szCs w:val="32"/>
        </w:rPr>
        <w:t>一般公共预算财政拨款基本支出预算</w:t>
      </w:r>
      <w:r>
        <w:rPr>
          <w:rFonts w:hint="eastAsia" w:ascii="仿宋_GB2312" w:hAnsi="仿宋_GB2312" w:eastAsia="仿宋_GB2312" w:cs="仿宋_GB2312"/>
          <w:color w:val="auto"/>
          <w:sz w:val="32"/>
          <w:szCs w:val="32"/>
          <w:lang w:val="en-US" w:eastAsia="zh-CN"/>
        </w:rPr>
        <w:t>12.61</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zCs w:val="32"/>
          <w:highlight w:val="none"/>
          <w:lang w:val="en-US" w:eastAsia="zh-CN"/>
        </w:rPr>
        <w:t>追加</w:t>
      </w:r>
      <w:r>
        <w:rPr>
          <w:rFonts w:hint="eastAsia" w:ascii="仿宋_GB2312" w:hAnsi="仿宋_GB2312" w:eastAsia="仿宋_GB2312" w:cs="仿宋_GB2312"/>
          <w:color w:val="auto"/>
          <w:sz w:val="32"/>
          <w:szCs w:val="32"/>
        </w:rPr>
        <w:t>事业单位离退休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提高退休人员基础绩效奖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0.21万元、追加</w:t>
      </w:r>
      <w:r>
        <w:rPr>
          <w:rFonts w:hint="eastAsia" w:ascii="仿宋_GB2312" w:hAnsi="仿宋_GB2312" w:eastAsia="仿宋_GB2312" w:cs="仿宋_GB2312"/>
          <w:color w:val="auto"/>
          <w:sz w:val="32"/>
          <w:szCs w:val="32"/>
        </w:rPr>
        <w:t>无线电及信息通信监管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提高在职人员基础绩效奖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5.82万元、“</w:t>
      </w:r>
      <w:r>
        <w:rPr>
          <w:rFonts w:hint="eastAsia" w:ascii="仿宋_GB2312" w:hAnsi="仿宋_GB2312" w:eastAsia="仿宋_GB2312" w:cs="仿宋_GB2312"/>
          <w:color w:val="auto"/>
          <w:sz w:val="32"/>
          <w:szCs w:val="32"/>
          <w:lang w:val="en-US" w:eastAsia="zh-CN"/>
        </w:rPr>
        <w:t>提高绩效资金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提高艰苦边远地区津贴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1.42万元；</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lang w:val="en-US" w:eastAsia="zh-CN"/>
        </w:rPr>
        <w:t>调整</w:t>
      </w:r>
      <w:r>
        <w:rPr>
          <w:rFonts w:hint="eastAsia" w:ascii="仿宋_GB2312" w:hAnsi="仿宋_GB2312" w:eastAsia="仿宋_GB2312" w:cs="仿宋_GB2312"/>
          <w:i w:val="0"/>
          <w:iCs w:val="0"/>
          <w:color w:val="auto"/>
          <w:kern w:val="0"/>
          <w:sz w:val="32"/>
          <w:szCs w:val="32"/>
          <w:u w:val="none"/>
          <w:lang w:val="en-US" w:eastAsia="zh-CN" w:bidi="ar"/>
        </w:rPr>
        <w:t>年初结转结余资金增加75.4万元。</w:t>
      </w:r>
      <w:r>
        <w:rPr>
          <w:rFonts w:hint="eastAsia" w:ascii="仿宋_GB2312" w:hAnsi="仿宋_GB2312" w:eastAsia="仿宋_GB2312" w:cs="仿宋_GB2312"/>
          <w:color w:val="auto"/>
          <w:sz w:val="32"/>
          <w:szCs w:val="32"/>
        </w:rPr>
        <w:t>由于以上事项，财政拨款收入</w:t>
      </w:r>
      <w:r>
        <w:rPr>
          <w:rFonts w:hint="eastAsia" w:ascii="仿宋_GB2312" w:hAnsi="仿宋_GB2312" w:eastAsia="仿宋_GB2312" w:cs="仿宋_GB2312"/>
          <w:color w:val="auto"/>
          <w:sz w:val="32"/>
          <w:szCs w:val="32"/>
          <w:lang w:val="en-US" w:eastAsia="zh-CN"/>
        </w:rPr>
        <w:t>支出</w:t>
      </w:r>
      <w:r>
        <w:rPr>
          <w:rFonts w:hint="eastAsia" w:ascii="仿宋_GB2312" w:hAnsi="仿宋_GB2312" w:eastAsia="仿宋_GB2312" w:cs="仿宋_GB2312"/>
          <w:color w:val="auto"/>
          <w:sz w:val="32"/>
          <w:szCs w:val="32"/>
        </w:rPr>
        <w:t>决算数与年初预算数存在差异。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bookmarkStart w:id="16" w:name="_Toc13833"/>
      <w:bookmarkStart w:id="17" w:name="_Toc20360"/>
      <w:r>
        <w:rPr>
          <w:rFonts w:hint="eastAsia" w:ascii="黑体" w:hAnsi="黑体" w:eastAsia="黑体" w:cs="黑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2"/>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pacing w:val="0"/>
          <w:sz w:val="32"/>
          <w:szCs w:val="32"/>
          <w:highlight w:val="none"/>
          <w:lang w:eastAsia="zh-CN"/>
        </w:rPr>
        <w:t>2023年度一般公共预算财政拨款支出243.56万元</w:t>
      </w:r>
      <w:r>
        <w:rPr>
          <w:rFonts w:hint="eastAsia" w:ascii="仿宋_GB2312" w:hAnsi="仿宋_GB2312" w:eastAsia="仿宋_GB2312" w:cs="仿宋_GB2312"/>
          <w:color w:val="auto"/>
          <w:spacing w:val="0"/>
          <w:sz w:val="32"/>
          <w:szCs w:val="32"/>
          <w:highlight w:val="none"/>
          <w:lang w:eastAsia="zh-CN"/>
        </w:rPr>
        <w:t>，占本年支出合计的</w:t>
      </w:r>
      <w:r>
        <w:rPr>
          <w:rFonts w:hint="eastAsia" w:ascii="仿宋_GB2312" w:hAnsi="仿宋_GB2312" w:eastAsia="仿宋_GB2312" w:cs="仿宋_GB2312"/>
          <w:color w:val="auto"/>
          <w:spacing w:val="0"/>
          <w:sz w:val="32"/>
          <w:szCs w:val="32"/>
          <w:highlight w:val="none"/>
          <w:lang w:val="zh-CN" w:eastAsia="zh-CN"/>
        </w:rPr>
        <w:t>100.00%</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b/>
          <w:bCs/>
          <w:color w:val="auto"/>
          <w:spacing w:val="0"/>
          <w:sz w:val="32"/>
          <w:szCs w:val="32"/>
          <w:highlight w:val="none"/>
          <w:lang w:eastAsia="zh-CN"/>
        </w:rPr>
        <w:t>与上年相比，</w:t>
      </w:r>
      <w:r>
        <w:rPr>
          <w:rFonts w:hint="eastAsia" w:ascii="仿宋_GB2312" w:hAnsi="仿宋_GB2312" w:eastAsia="仿宋_GB2312" w:cs="仿宋_GB2312"/>
          <w:color w:val="auto"/>
          <w:spacing w:val="0"/>
          <w:sz w:val="32"/>
          <w:szCs w:val="32"/>
          <w:highlight w:val="none"/>
          <w:lang w:val="zh-CN" w:eastAsia="zh-CN"/>
        </w:rPr>
        <w:t>增加75.65万元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增长45.05%,</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color w:val="auto"/>
          <w:sz w:val="32"/>
          <w:szCs w:val="32"/>
        </w:rPr>
        <w:t>一般公共预算财政拨款</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rPr>
        <w:t>较上年增加</w:t>
      </w:r>
      <w:r>
        <w:rPr>
          <w:rFonts w:hint="eastAsia" w:ascii="仿宋_GB2312" w:hAnsi="仿宋_GB2312" w:eastAsia="仿宋_GB2312" w:cs="仿宋_GB2312"/>
          <w:color w:val="auto"/>
          <w:sz w:val="32"/>
          <w:szCs w:val="32"/>
          <w:lang w:val="en-US" w:eastAsia="zh-CN"/>
        </w:rPr>
        <w:t>7.96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主要为单位调入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人及</w:t>
      </w:r>
      <w:r>
        <w:rPr>
          <w:rFonts w:hint="eastAsia" w:ascii="仿宋_GB2312" w:hAnsi="仿宋_GB2312" w:eastAsia="仿宋_GB2312" w:cs="仿宋_GB2312"/>
          <w:color w:val="auto"/>
          <w:sz w:val="32"/>
          <w:szCs w:val="32"/>
          <w:lang w:val="en-US" w:eastAsia="zh-CN"/>
        </w:rPr>
        <w:t>社保缴费基数上调，造成</w:t>
      </w:r>
      <w:r>
        <w:rPr>
          <w:rFonts w:hint="eastAsia" w:ascii="仿宋_GB2312" w:hAnsi="仿宋_GB2312" w:eastAsia="仿宋_GB2312" w:cs="仿宋_GB2312"/>
          <w:color w:val="auto"/>
          <w:sz w:val="32"/>
          <w:szCs w:val="32"/>
        </w:rPr>
        <w:t>机关事业单位基本养老保险缴费收入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事业单位医疗收入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公务员医疗补助收入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住房公积金收入较上年</w:t>
      </w:r>
      <w:r>
        <w:rPr>
          <w:rFonts w:hint="eastAsia" w:ascii="仿宋_GB2312" w:hAnsi="仿宋_GB2312" w:eastAsia="仿宋_GB2312" w:cs="仿宋_GB2312"/>
          <w:color w:val="auto"/>
          <w:sz w:val="32"/>
          <w:szCs w:val="32"/>
          <w:lang w:eastAsia="zh-CN"/>
        </w:rPr>
        <w:t>有所</w:t>
      </w:r>
      <w:r>
        <w:rPr>
          <w:rFonts w:hint="eastAsia" w:ascii="仿宋_GB2312" w:hAnsi="仿宋_GB2312" w:eastAsia="仿宋_GB2312" w:cs="仿宋_GB2312"/>
          <w:color w:val="auto"/>
          <w:sz w:val="32"/>
          <w:szCs w:val="32"/>
        </w:rPr>
        <w:t>增加。（2）项目支出较上年</w:t>
      </w:r>
      <w:r>
        <w:rPr>
          <w:rFonts w:hint="eastAsia" w:ascii="仿宋_GB2312" w:hAnsi="仿宋_GB2312" w:eastAsia="仿宋_GB2312" w:cs="仿宋_GB2312"/>
          <w:color w:val="auto"/>
          <w:sz w:val="32"/>
          <w:szCs w:val="32"/>
          <w:lang w:val="en-US" w:eastAsia="zh-CN"/>
        </w:rPr>
        <w:t>增加67.69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pacing w:val="0"/>
          <w:sz w:val="32"/>
          <w:szCs w:val="32"/>
          <w:highlight w:val="none"/>
          <w:lang w:eastAsia="zh-CN"/>
        </w:rPr>
        <w:t>为</w:t>
      </w:r>
      <w:r>
        <w:rPr>
          <w:rFonts w:hint="eastAsia" w:ascii="仿宋_GB2312" w:hAnsi="仿宋_GB2312" w:eastAsia="仿宋_GB2312" w:cs="仿宋_GB2312"/>
          <w:color w:val="auto"/>
          <w:sz w:val="32"/>
          <w:szCs w:val="32"/>
        </w:rPr>
        <w:t>“中央无线电管理经费”项目</w:t>
      </w:r>
      <w:r>
        <w:rPr>
          <w:rFonts w:hint="eastAsia" w:ascii="仿宋_GB2312" w:hAnsi="仿宋_GB2312" w:eastAsia="仿宋_GB2312" w:cs="仿宋_GB2312"/>
          <w:color w:val="auto"/>
          <w:sz w:val="32"/>
          <w:szCs w:val="32"/>
          <w:lang w:eastAsia="zh-CN"/>
        </w:rPr>
        <w:t>支出增加</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b/>
          <w:bCs/>
          <w:color w:val="auto"/>
          <w:spacing w:val="0"/>
          <w:sz w:val="32"/>
          <w:szCs w:val="32"/>
          <w:highlight w:val="none"/>
          <w:lang w:eastAsia="zh-CN"/>
        </w:rPr>
        <w:t>与年初预算相比，</w:t>
      </w:r>
      <w:r>
        <w:rPr>
          <w:rFonts w:hint="eastAsia" w:ascii="仿宋_GB2312" w:hAnsi="仿宋_GB2312" w:eastAsia="仿宋_GB2312" w:cs="仿宋_GB2312"/>
          <w:color w:val="auto"/>
          <w:spacing w:val="0"/>
          <w:sz w:val="32"/>
          <w:szCs w:val="32"/>
          <w:highlight w:val="none"/>
          <w:lang w:eastAsia="zh-CN"/>
        </w:rPr>
        <w:t>年初预算数</w:t>
      </w:r>
      <w:r>
        <w:rPr>
          <w:rFonts w:hint="eastAsia" w:ascii="仿宋_GB2312" w:hAnsi="仿宋_GB2312" w:eastAsia="仿宋_GB2312" w:cs="仿宋_GB2312"/>
          <w:color w:val="auto"/>
          <w:spacing w:val="0"/>
          <w:sz w:val="32"/>
          <w:szCs w:val="32"/>
          <w:highlight w:val="none"/>
          <w:lang w:val="zh-CN" w:eastAsia="zh-CN"/>
        </w:rPr>
        <w:t>191.46</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243.56</w:t>
      </w:r>
      <w:r>
        <w:rPr>
          <w:rFonts w:hint="eastAsia" w:ascii="仿宋_GB2312" w:hAnsi="仿宋_GB2312" w:eastAsia="仿宋_GB2312" w:cs="仿宋_GB2312"/>
          <w:color w:val="auto"/>
          <w:spacing w:val="0"/>
          <w:sz w:val="32"/>
          <w:szCs w:val="32"/>
          <w:highlight w:val="none"/>
          <w:lang w:eastAsia="zh-CN"/>
        </w:rPr>
        <w:t>万元，预决算差异率</w:t>
      </w:r>
      <w:r>
        <w:rPr>
          <w:rFonts w:hint="eastAsia" w:ascii="仿宋_GB2312" w:hAnsi="仿宋_GB2312" w:eastAsia="仿宋_GB2312" w:cs="仿宋_GB2312"/>
          <w:color w:val="auto"/>
          <w:spacing w:val="0"/>
          <w:sz w:val="32"/>
          <w:szCs w:val="32"/>
          <w:highlight w:val="none"/>
          <w:lang w:val="zh-CN" w:eastAsia="zh-CN"/>
        </w:rPr>
        <w:t>27.21%</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rPr>
        <w:t>在年度执行中，根据自治区财政厅下达文件</w:t>
      </w:r>
      <w:r>
        <w:rPr>
          <w:rFonts w:hint="eastAsia" w:ascii="仿宋_GB2312" w:hAnsi="仿宋_GB2312" w:eastAsia="仿宋_GB2312" w:cs="仿宋_GB2312"/>
          <w:color w:val="auto"/>
          <w:sz w:val="32"/>
          <w:szCs w:val="32"/>
          <w:lang w:val="en-US" w:eastAsia="zh-CN"/>
        </w:rPr>
        <w:t>及实际情况</w:t>
      </w:r>
      <w:r>
        <w:rPr>
          <w:rFonts w:hint="eastAsia" w:ascii="仿宋_GB2312" w:hAnsi="仿宋_GB2312" w:eastAsia="仿宋_GB2312" w:cs="仿宋_GB2312"/>
          <w:color w:val="auto"/>
          <w:sz w:val="32"/>
          <w:szCs w:val="32"/>
        </w:rPr>
        <w:t>追加及调减预算，</w:t>
      </w:r>
      <w:r>
        <w:rPr>
          <w:rFonts w:hint="eastAsia" w:ascii="仿宋_GB2312" w:hAnsi="仿宋_GB2312" w:eastAsia="仿宋_GB2312" w:cs="仿宋_GB2312"/>
          <w:b/>
          <w:bCs/>
          <w:color w:val="auto"/>
          <w:sz w:val="32"/>
          <w:szCs w:val="32"/>
        </w:rPr>
        <w:t>一是</w:t>
      </w:r>
      <w:r>
        <w:rPr>
          <w:rFonts w:hint="eastAsia" w:ascii="仿宋_GB2312" w:hAnsi="仿宋_GB2312" w:eastAsia="仿宋_GB2312" w:cs="仿宋_GB2312"/>
          <w:color w:val="auto"/>
          <w:sz w:val="32"/>
          <w:szCs w:val="32"/>
          <w:lang w:val="en-US" w:eastAsia="zh-CN"/>
        </w:rPr>
        <w:t>调整</w:t>
      </w:r>
      <w:r>
        <w:rPr>
          <w:rFonts w:hint="eastAsia" w:ascii="仿宋_GB2312" w:hAnsi="仿宋_GB2312" w:eastAsia="仿宋_GB2312" w:cs="仿宋_GB2312"/>
          <w:color w:val="auto"/>
          <w:sz w:val="32"/>
          <w:szCs w:val="32"/>
        </w:rPr>
        <w:t>一般公共预算财政拨款基本支出预算</w:t>
      </w:r>
      <w:r>
        <w:rPr>
          <w:rFonts w:hint="eastAsia" w:ascii="仿宋_GB2312" w:hAnsi="仿宋_GB2312" w:eastAsia="仿宋_GB2312" w:cs="仿宋_GB2312"/>
          <w:color w:val="auto"/>
          <w:sz w:val="32"/>
          <w:szCs w:val="32"/>
          <w:lang w:val="en-US" w:eastAsia="zh-CN"/>
        </w:rPr>
        <w:t>12.61</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zCs w:val="32"/>
          <w:highlight w:val="none"/>
          <w:lang w:val="en-US" w:eastAsia="zh-CN"/>
        </w:rPr>
        <w:t>追加</w:t>
      </w:r>
      <w:r>
        <w:rPr>
          <w:rFonts w:hint="eastAsia" w:ascii="仿宋_GB2312" w:hAnsi="仿宋_GB2312" w:eastAsia="仿宋_GB2312" w:cs="仿宋_GB2312"/>
          <w:color w:val="auto"/>
          <w:sz w:val="32"/>
          <w:szCs w:val="32"/>
        </w:rPr>
        <w:t>事业单位离退休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提高退休人员基础绩效奖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0.21万元、追加</w:t>
      </w:r>
      <w:r>
        <w:rPr>
          <w:rFonts w:hint="eastAsia" w:ascii="仿宋_GB2312" w:hAnsi="仿宋_GB2312" w:eastAsia="仿宋_GB2312" w:cs="仿宋_GB2312"/>
          <w:color w:val="auto"/>
          <w:sz w:val="32"/>
          <w:szCs w:val="32"/>
        </w:rPr>
        <w:t>无线电及信息通信监管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提高在职人员基础绩效奖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5.82万元、“</w:t>
      </w:r>
      <w:r>
        <w:rPr>
          <w:rFonts w:hint="eastAsia" w:ascii="仿宋_GB2312" w:hAnsi="仿宋_GB2312" w:eastAsia="仿宋_GB2312" w:cs="仿宋_GB2312"/>
          <w:color w:val="auto"/>
          <w:sz w:val="32"/>
          <w:szCs w:val="32"/>
          <w:lang w:val="en-US" w:eastAsia="zh-CN"/>
        </w:rPr>
        <w:t>提高绩效资金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提高艰苦边远地区津贴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1.42万元；</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lang w:val="en-US" w:eastAsia="zh-CN"/>
        </w:rPr>
        <w:t>调整</w:t>
      </w:r>
      <w:r>
        <w:rPr>
          <w:rFonts w:hint="eastAsia" w:ascii="仿宋_GB2312" w:hAnsi="仿宋_GB2312" w:eastAsia="仿宋_GB2312" w:cs="仿宋_GB2312"/>
          <w:i w:val="0"/>
          <w:iCs w:val="0"/>
          <w:color w:val="auto"/>
          <w:kern w:val="0"/>
          <w:sz w:val="32"/>
          <w:szCs w:val="32"/>
          <w:u w:val="none"/>
          <w:lang w:val="en-US" w:eastAsia="zh-CN" w:bidi="ar"/>
        </w:rPr>
        <w:t>年初结转结余资金增加39.49万元。</w:t>
      </w:r>
      <w:r>
        <w:rPr>
          <w:rFonts w:hint="eastAsia" w:ascii="仿宋_GB2312" w:hAnsi="仿宋_GB2312" w:eastAsia="仿宋_GB2312" w:cs="仿宋_GB2312"/>
          <w:color w:val="auto"/>
          <w:sz w:val="32"/>
          <w:szCs w:val="32"/>
        </w:rPr>
        <w:t>由于以上事项，一般公共预算财政拨款收入</w:t>
      </w:r>
      <w:r>
        <w:rPr>
          <w:rFonts w:hint="eastAsia" w:ascii="仿宋_GB2312" w:hAnsi="仿宋_GB2312" w:eastAsia="仿宋_GB2312" w:cs="仿宋_GB2312"/>
          <w:color w:val="auto"/>
          <w:sz w:val="32"/>
          <w:szCs w:val="32"/>
          <w:lang w:val="en-US" w:eastAsia="zh-CN"/>
        </w:rPr>
        <w:t>支出</w:t>
      </w:r>
      <w:r>
        <w:rPr>
          <w:rFonts w:hint="eastAsia" w:ascii="仿宋_GB2312" w:hAnsi="仿宋_GB2312" w:eastAsia="仿宋_GB2312" w:cs="仿宋_GB2312"/>
          <w:color w:val="auto"/>
          <w:sz w:val="32"/>
          <w:szCs w:val="32"/>
        </w:rPr>
        <w:t>决算数与年初预算数存在差异。</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2"/>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一般公共预算</w:t>
      </w:r>
      <w:r>
        <w:rPr>
          <w:rFonts w:hint="eastAsia" w:ascii="黑体" w:hAnsi="黑体" w:eastAsia="黑体" w:cs="黑体"/>
          <w:color w:val="auto"/>
          <w:sz w:val="32"/>
          <w:szCs w:val="32"/>
          <w:highlight w:val="none"/>
          <w:lang w:val="en-US" w:eastAsia="zh-CN"/>
        </w:rPr>
        <w:t>财政拨款支出决算</w:t>
      </w:r>
      <w:r>
        <w:rPr>
          <w:rFonts w:hint="eastAsia" w:ascii="黑体" w:hAnsi="黑体" w:eastAsia="黑体" w:cs="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1</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社会保障和就业支出（类）12.82万元，占5.26%；</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卫生健康支出（类）8.20万元，占3.37%；</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资源勘探信息等支出（类）214.01万元，占87.87%；</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住房保障支出（类）8.53万元，占3.50%；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2"/>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1.卫生健康支出（类）行政事业单位医疗（款）事业单位医疗（项）:支出决算数为5.18万元，比上年决算增加1.32万元，增长34.20%，主要原因是：</w:t>
      </w:r>
      <w:r>
        <w:rPr>
          <w:rFonts w:hint="eastAsia" w:ascii="仿宋_GB2312" w:hAnsi="仿宋_GB2312" w:eastAsia="仿宋_GB2312" w:cs="仿宋_GB2312"/>
          <w:color w:val="auto"/>
          <w:sz w:val="32"/>
          <w:szCs w:val="32"/>
          <w:lang w:eastAsia="zh-CN"/>
        </w:rPr>
        <w:t>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人及</w:t>
      </w:r>
      <w:r>
        <w:rPr>
          <w:rFonts w:hint="eastAsia" w:ascii="仿宋_GB2312" w:hAnsi="仿宋_GB2312" w:eastAsia="仿宋_GB2312" w:cs="仿宋_GB2312"/>
          <w:color w:val="auto"/>
          <w:sz w:val="32"/>
          <w:szCs w:val="32"/>
          <w:lang w:val="en-US" w:eastAsia="zh-CN"/>
        </w:rPr>
        <w:t>社保缴费基数上调</w:t>
      </w:r>
      <w:r>
        <w:rPr>
          <w:rFonts w:hint="eastAsia" w:ascii="仿宋_GB2312" w:hAnsi="仿宋_GB2312" w:eastAsia="仿宋_GB2312" w:cs="仿宋_GB2312"/>
          <w:color w:val="auto"/>
          <w:sz w:val="32"/>
          <w:szCs w:val="32"/>
        </w:rPr>
        <w:t>，预算收入相应增加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2.卫生健康支出（类）行政事业单位医疗（款）公务员医疗补助（项）:支出决算数为3.02万元，比上年决算增加0.02万元，增长0.67%，主要原因是：</w:t>
      </w:r>
      <w:r>
        <w:rPr>
          <w:rFonts w:hint="eastAsia" w:ascii="仿宋_GB2312" w:hAnsi="仿宋_GB2312" w:eastAsia="仿宋_GB2312" w:cs="仿宋_GB2312"/>
          <w:color w:val="auto"/>
          <w:sz w:val="32"/>
          <w:szCs w:val="32"/>
          <w:lang w:eastAsia="zh-CN"/>
        </w:rPr>
        <w:t>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w:t>
      </w:r>
      <w:r>
        <w:rPr>
          <w:rFonts w:hint="eastAsia" w:ascii="仿宋_GB2312" w:hAnsi="仿宋_GB2312" w:eastAsia="仿宋_GB2312" w:cs="仿宋_GB2312"/>
          <w:color w:val="auto"/>
          <w:sz w:val="32"/>
          <w:szCs w:val="32"/>
        </w:rPr>
        <w:t>，预算收入相应增加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3.资源勘探工业信息等支出（类）工业和信息产业监管（款）无线电及信息通信监管（项）:支出决算数为214.01万元，比上年决算增加68.24万元，增长46.81%，主要原因是：</w:t>
      </w:r>
      <w:r>
        <w:rPr>
          <w:rFonts w:hint="eastAsia" w:ascii="仿宋_GB2312" w:hAnsi="仿宋_GB2312" w:eastAsia="仿宋_GB2312" w:cs="仿宋_GB2312"/>
          <w:color w:val="auto"/>
          <w:sz w:val="32"/>
          <w:szCs w:val="32"/>
        </w:rPr>
        <w:t>“中央无线电管理经费”项目</w:t>
      </w:r>
      <w:r>
        <w:rPr>
          <w:rFonts w:hint="eastAsia" w:ascii="仿宋_GB2312" w:hAnsi="仿宋_GB2312" w:eastAsia="仿宋_GB2312" w:cs="仿宋_GB2312"/>
          <w:color w:val="auto"/>
          <w:sz w:val="32"/>
          <w:szCs w:val="32"/>
          <w:lang w:val="en-US" w:eastAsia="zh-CN"/>
        </w:rPr>
        <w:t>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4.住房保障支出（类）住房改革支出（款）住房公积金（项）:支出决算数为8.53万元，比上年决算增加3.18万元，增长59.44%，主要原因是：</w:t>
      </w:r>
      <w:r>
        <w:rPr>
          <w:rFonts w:hint="eastAsia" w:ascii="仿宋_GB2312" w:hAnsi="仿宋_GB2312" w:eastAsia="仿宋_GB2312" w:cs="仿宋_GB2312"/>
          <w:color w:val="auto"/>
          <w:sz w:val="32"/>
          <w:szCs w:val="32"/>
          <w:lang w:eastAsia="zh-CN"/>
        </w:rPr>
        <w:t>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人及</w:t>
      </w:r>
      <w:r>
        <w:rPr>
          <w:rFonts w:hint="eastAsia" w:ascii="仿宋_GB2312" w:hAnsi="仿宋_GB2312" w:eastAsia="仿宋_GB2312" w:cs="仿宋_GB2312"/>
          <w:color w:val="auto"/>
          <w:sz w:val="32"/>
          <w:szCs w:val="32"/>
          <w:lang w:val="en-US" w:eastAsia="zh-CN"/>
        </w:rPr>
        <w:t>社保缴费基数上调</w:t>
      </w:r>
      <w:r>
        <w:rPr>
          <w:rFonts w:hint="eastAsia" w:ascii="仿宋_GB2312" w:hAnsi="仿宋_GB2312" w:eastAsia="仿宋_GB2312" w:cs="仿宋_GB2312"/>
          <w:color w:val="auto"/>
          <w:sz w:val="32"/>
          <w:szCs w:val="32"/>
        </w:rPr>
        <w:t>，预算收入相应增加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5.社会保障和就业支出（类）行政事业单位养老支出（款）事业单位离退休（项）:支出决算数为1.76万元，比上年决算减少1.05万元，下降37.37%，主要原因是：</w:t>
      </w:r>
      <w:r>
        <w:rPr>
          <w:rFonts w:hint="eastAsia" w:ascii="仿宋_GB2312" w:hAnsi="仿宋_GB2312" w:eastAsia="仿宋_GB2312" w:cs="仿宋_GB2312"/>
          <w:color w:val="auto"/>
          <w:sz w:val="32"/>
          <w:szCs w:val="32"/>
          <w:lang w:val="en-US" w:eastAsia="zh-CN"/>
        </w:rPr>
        <w:t>财政调整收回</w:t>
      </w:r>
      <w:r>
        <w:rPr>
          <w:rFonts w:hint="eastAsia" w:ascii="仿宋_GB2312" w:hAnsi="仿宋_GB2312" w:eastAsia="仿宋_GB2312" w:cs="仿宋_GB2312"/>
          <w:color w:val="auto"/>
          <w:sz w:val="32"/>
          <w:szCs w:val="32"/>
        </w:rPr>
        <w:t>医疗费补助</w:t>
      </w:r>
      <w:r>
        <w:rPr>
          <w:rFonts w:hint="eastAsia" w:ascii="仿宋_GB2312" w:hAnsi="仿宋_GB2312" w:eastAsia="仿宋_GB2312" w:cs="仿宋_GB2312"/>
          <w:color w:val="auto"/>
          <w:sz w:val="32"/>
          <w:szCs w:val="32"/>
          <w:lang w:val="en-US" w:eastAsia="zh-CN"/>
        </w:rPr>
        <w:t>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6.社会保障和就业支出（类）行政事业单位养老支出（款）机关事业单位基本养老保险缴费支出（项）:支出决算数为11.05万元，比上年决算增加3.93万元，增长55.20%，主要原因是：</w:t>
      </w:r>
      <w:r>
        <w:rPr>
          <w:rFonts w:hint="eastAsia" w:ascii="仿宋_GB2312" w:hAnsi="仿宋_GB2312" w:eastAsia="仿宋_GB2312" w:cs="仿宋_GB2312"/>
          <w:color w:val="auto"/>
          <w:sz w:val="32"/>
          <w:szCs w:val="32"/>
          <w:lang w:eastAsia="zh-CN"/>
        </w:rPr>
        <w:t>调入</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人及</w:t>
      </w:r>
      <w:r>
        <w:rPr>
          <w:rFonts w:hint="eastAsia" w:ascii="仿宋_GB2312" w:hAnsi="仿宋_GB2312" w:eastAsia="仿宋_GB2312" w:cs="仿宋_GB2312"/>
          <w:color w:val="auto"/>
          <w:sz w:val="32"/>
          <w:szCs w:val="32"/>
          <w:lang w:val="en-US" w:eastAsia="zh-CN"/>
        </w:rPr>
        <w:t>社保缴费基数上调</w:t>
      </w:r>
      <w:r>
        <w:rPr>
          <w:rFonts w:hint="eastAsia" w:ascii="仿宋_GB2312" w:hAnsi="仿宋_GB2312" w:eastAsia="仿宋_GB2312" w:cs="仿宋_GB2312"/>
          <w:color w:val="auto"/>
          <w:sz w:val="32"/>
          <w:szCs w:val="32"/>
        </w:rPr>
        <w:t>，预算收入相应增加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2023年度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eastAsia="zh-CN"/>
        </w:rPr>
        <w:t>129.87</w:t>
      </w:r>
      <w:r>
        <w:rPr>
          <w:rFonts w:hint="eastAsia" w:ascii="仿宋_GB2312" w:hAnsi="仿宋_GB2312" w:eastAsia="仿宋_GB2312" w:cs="仿宋_GB2312"/>
          <w:color w:val="auto"/>
          <w:sz w:val="32"/>
          <w:szCs w:val="32"/>
          <w:highlight w:val="none"/>
        </w:rPr>
        <w:t>万元，其中：</w:t>
      </w:r>
      <w:r>
        <w:rPr>
          <w:rFonts w:hint="eastAsia" w:ascii="仿宋_GB2312" w:hAnsi="仿宋_GB2312" w:eastAsia="仿宋_GB2312" w:cs="仿宋_GB2312"/>
          <w:b/>
          <w:bCs/>
          <w:color w:val="auto"/>
          <w:sz w:val="32"/>
          <w:szCs w:val="32"/>
          <w:highlight w:val="none"/>
        </w:rPr>
        <w:t>人员经费</w:t>
      </w:r>
      <w:r>
        <w:rPr>
          <w:rFonts w:hint="eastAsia" w:ascii="仿宋_GB2312" w:hAnsi="仿宋_GB2312" w:eastAsia="仿宋_GB2312" w:cs="仿宋_GB2312"/>
          <w:b/>
          <w:bCs/>
          <w:color w:val="auto"/>
          <w:sz w:val="32"/>
          <w:szCs w:val="32"/>
          <w:highlight w:val="none"/>
          <w:lang w:eastAsia="zh-CN"/>
        </w:rPr>
        <w:t>114.32</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包括：</w:t>
      </w:r>
      <w:r>
        <w:rPr>
          <w:rFonts w:hint="eastAsia" w:ascii="仿宋_GB2312" w:hAnsi="仿宋_GB2312" w:eastAsia="仿宋_GB2312" w:cs="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red"/>
          <w:lang w:val="en-US" w:eastAsia="zh-CN"/>
        </w:rPr>
      </w:pPr>
      <w:r>
        <w:rPr>
          <w:rFonts w:hint="eastAsia" w:ascii="仿宋_GB2312" w:hAnsi="仿宋_GB2312" w:eastAsia="仿宋_GB2312" w:cs="仿宋_GB2312"/>
          <w:b/>
          <w:bCs/>
          <w:color w:val="auto"/>
          <w:sz w:val="32"/>
          <w:szCs w:val="32"/>
          <w:highlight w:val="none"/>
        </w:rPr>
        <w:t>公用经费</w:t>
      </w:r>
      <w:r>
        <w:rPr>
          <w:rFonts w:hint="eastAsia" w:ascii="仿宋_GB2312" w:hAnsi="仿宋_GB2312" w:eastAsia="仿宋_GB2312" w:cs="仿宋_GB2312"/>
          <w:b/>
          <w:bCs/>
          <w:color w:val="auto"/>
          <w:sz w:val="32"/>
          <w:szCs w:val="32"/>
          <w:highlight w:val="none"/>
          <w:lang w:eastAsia="zh-CN"/>
        </w:rPr>
        <w:t>15.56</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包括：</w:t>
      </w:r>
      <w:r>
        <w:rPr>
          <w:rFonts w:hint="eastAsia" w:ascii="仿宋_GB2312" w:hAnsi="仿宋_GB2312" w:eastAsia="仿宋_GB2312" w:cs="仿宋_GB2312"/>
          <w:color w:val="auto"/>
          <w:sz w:val="32"/>
          <w:szCs w:val="32"/>
          <w:highlight w:val="none"/>
          <w:lang w:val="en-US" w:eastAsia="zh-CN"/>
        </w:rPr>
        <w:t>办公费、水费、邮电费、取暖费、差旅费、工会经费、福利费、公务用车运行维护费、其他商品和服务支出。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val="en-US" w:eastAsia="zh-CN"/>
        </w:rPr>
        <w:t>七、</w:t>
      </w:r>
      <w:r>
        <w:rPr>
          <w:rFonts w:hint="eastAsia" w:ascii="黑体" w:hAnsi="黑体" w:eastAsia="黑体" w:cs="黑体"/>
          <w:bCs/>
          <w:color w:val="auto"/>
          <w:kern w:val="0"/>
          <w:sz w:val="32"/>
          <w:szCs w:val="32"/>
          <w:highlight w:val="none"/>
          <w:lang w:eastAsia="zh-CN"/>
        </w:rPr>
        <w:t>财政拨款</w:t>
      </w:r>
      <w:r>
        <w:rPr>
          <w:rFonts w:hint="eastAsia" w:ascii="黑体" w:hAnsi="黑体" w:eastAsia="黑体" w:cs="黑体"/>
          <w:bCs/>
          <w:color w:val="auto"/>
          <w:kern w:val="0"/>
          <w:sz w:val="32"/>
          <w:szCs w:val="32"/>
          <w:highlight w:val="none"/>
        </w:rPr>
        <w:t>“三公”经费支出</w:t>
      </w:r>
      <w:r>
        <w:rPr>
          <w:rFonts w:hint="eastAsia" w:ascii="黑体" w:hAnsi="黑体" w:eastAsia="黑体" w:cs="黑体"/>
          <w:bCs/>
          <w:color w:val="auto"/>
          <w:kern w:val="0"/>
          <w:sz w:val="32"/>
          <w:szCs w:val="32"/>
          <w:highlight w:val="none"/>
          <w:lang w:eastAsia="zh-CN"/>
        </w:rPr>
        <w:t>决算</w:t>
      </w:r>
      <w:r>
        <w:rPr>
          <w:rFonts w:hint="eastAsia" w:ascii="黑体" w:hAnsi="黑体" w:eastAsia="黑体" w:cs="黑体"/>
          <w:bCs/>
          <w:color w:val="auto"/>
          <w:kern w:val="0"/>
          <w:sz w:val="32"/>
          <w:szCs w:val="32"/>
          <w:highlight w:val="none"/>
        </w:rPr>
        <w:t>情况</w:t>
      </w:r>
      <w:r>
        <w:rPr>
          <w:rFonts w:hint="eastAsia" w:ascii="黑体" w:hAnsi="黑体" w:eastAsia="黑体" w:cs="黑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2023年度</w:t>
      </w:r>
      <w:r>
        <w:rPr>
          <w:rFonts w:hint="eastAsia" w:ascii="仿宋_GB2312" w:hAnsi="仿宋_GB2312" w:eastAsia="仿宋_GB2312" w:cs="仿宋_GB2312"/>
          <w:b/>
          <w:bCs/>
          <w:color w:val="auto"/>
          <w:sz w:val="32"/>
          <w:szCs w:val="32"/>
          <w:highlight w:val="none"/>
          <w:lang w:val="en-US" w:eastAsia="zh-CN"/>
        </w:rPr>
        <w:t>财政拨款</w:t>
      </w:r>
      <w:r>
        <w:rPr>
          <w:rFonts w:hint="eastAsia" w:ascii="仿宋_GB2312" w:hAnsi="仿宋_GB2312" w:eastAsia="仿宋_GB2312" w:cs="仿宋_GB2312"/>
          <w:b/>
          <w:bCs/>
          <w:color w:val="auto"/>
          <w:sz w:val="32"/>
          <w:szCs w:val="32"/>
          <w:highlight w:val="none"/>
          <w:lang w:val="zh-CN" w:eastAsia="zh-CN"/>
        </w:rPr>
        <w:t>“三公”经费支出5.88万元，</w:t>
      </w:r>
      <w:r>
        <w:rPr>
          <w:rFonts w:hint="eastAsia" w:ascii="仿宋_GB2312" w:hAnsi="仿宋_GB2312" w:eastAsia="仿宋_GB2312" w:cs="仿宋_GB2312"/>
          <w:color w:val="auto"/>
          <w:sz w:val="32"/>
          <w:szCs w:val="32"/>
          <w:highlight w:val="none"/>
          <w:lang w:val="en-US" w:eastAsia="zh-CN"/>
        </w:rPr>
        <w:t>比上年</w:t>
      </w:r>
      <w:r>
        <w:rPr>
          <w:rFonts w:hint="eastAsia" w:ascii="仿宋_GB2312" w:hAnsi="仿宋_GB2312" w:eastAsia="仿宋_GB2312" w:cs="仿宋_GB2312"/>
          <w:color w:val="auto"/>
          <w:sz w:val="32"/>
          <w:szCs w:val="32"/>
          <w:highlight w:val="none"/>
          <w:lang w:val="zh-CN" w:eastAsia="zh-CN"/>
        </w:rPr>
        <w:t>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lang w:eastAsia="zh-CN"/>
        </w:rPr>
        <w:t>较上年对比无变化</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zh-CN" w:eastAsia="zh-CN"/>
        </w:rPr>
        <w:t>其中：因公出国（境）费支出0.00万元，占0.00%，比上年增加0.00万元，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rPr>
        <w:t>我单位无因公出国（境）费</w:t>
      </w:r>
      <w:r>
        <w:rPr>
          <w:rFonts w:hint="eastAsia" w:ascii="仿宋_GB2312" w:hAnsi="仿宋_GB2312" w:eastAsia="仿宋_GB2312" w:cs="仿宋_GB2312"/>
          <w:color w:val="auto"/>
          <w:sz w:val="32"/>
          <w:szCs w:val="32"/>
          <w:highlight w:val="none"/>
          <w:lang w:val="zh-CN" w:eastAsia="zh-CN"/>
        </w:rPr>
        <w:t>；公务用车购置及运行维护费支出5.88万元，占100.00%，比上年增加0.00万元，增长</w:t>
      </w:r>
      <w:r>
        <w:rPr>
          <w:rFonts w:hint="eastAsia" w:ascii="仿宋_GB2312" w:hAnsi="仿宋_GB2312" w:eastAsia="仿宋_GB2312" w:cs="仿宋_GB2312"/>
          <w:color w:val="auto"/>
          <w:spacing w:val="0"/>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lang w:eastAsia="zh-CN"/>
        </w:rPr>
        <w:t>较上年对比无变化</w:t>
      </w:r>
      <w:r>
        <w:rPr>
          <w:rFonts w:hint="eastAsia" w:ascii="仿宋_GB2312" w:hAnsi="仿宋_GB2312" w:eastAsia="仿宋_GB2312" w:cs="仿宋_GB2312"/>
          <w:color w:val="auto"/>
          <w:sz w:val="32"/>
          <w:szCs w:val="32"/>
          <w:highlight w:val="none"/>
          <w:lang w:val="zh-CN" w:eastAsia="zh-CN"/>
        </w:rPr>
        <w:t>；公务接待费支出0.00万元，占0.00%，比上年增加0.00万元，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rPr>
        <w:t>我单位无公务接待费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left="0" w:leftChars="0" w:right="0" w:rightChars="0" w:firstLine="640" w:firstLineChars="200"/>
        <w:jc w:val="left"/>
        <w:textAlignment w:val="auto"/>
        <w:rPr>
          <w:rFonts w:hint="eastAsia" w:ascii="黑体" w:hAnsi="黑体" w:eastAsia="黑体" w:cs="黑体"/>
          <w:color w:val="auto"/>
          <w:sz w:val="32"/>
          <w:szCs w:val="32"/>
          <w:highlight w:val="none"/>
          <w:lang w:val="zh-CN" w:eastAsia="zh-CN"/>
        </w:rPr>
      </w:pPr>
      <w:r>
        <w:rPr>
          <w:rFonts w:hint="eastAsia" w:ascii="黑体" w:hAnsi="黑体" w:eastAsia="黑体" w:cs="黑体"/>
          <w:color w:val="auto"/>
          <w:sz w:val="32"/>
          <w:szCs w:val="32"/>
          <w:highlight w:val="none"/>
          <w:lang w:val="zh-CN" w:eastAsia="zh-CN"/>
        </w:rPr>
        <w:t>具体情况如下：</w:t>
      </w:r>
    </w:p>
    <w:p>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val="zh-CN" w:eastAsia="zh-CN"/>
        </w:rPr>
        <w:t>因公出国（境）费支出0.00万元，</w:t>
      </w:r>
      <w:r>
        <w:rPr>
          <w:rFonts w:hint="eastAsia" w:ascii="仿宋_GB2312" w:hAnsi="仿宋_GB2312" w:eastAsia="仿宋_GB2312" w:cs="仿宋_GB2312"/>
          <w:color w:val="auto"/>
          <w:sz w:val="32"/>
          <w:szCs w:val="32"/>
        </w:rPr>
        <w:t>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公务用车购置及运行维护费5.88万元，其中：公务用车购置费0.00万元，公务用车运行维护费5.88万元。</w:t>
      </w:r>
      <w:r>
        <w:rPr>
          <w:rFonts w:hint="eastAsia" w:ascii="仿宋_GB2312" w:hAnsi="仿宋_GB2312" w:eastAsia="仿宋_GB2312" w:cs="仿宋_GB2312"/>
          <w:color w:val="auto"/>
          <w:sz w:val="32"/>
          <w:szCs w:val="32"/>
        </w:rPr>
        <w:t>公务用车运行维护费开支内容包括车辆保险、停车过路费、车辆加油、车辆维修等费用</w:t>
      </w:r>
      <w:r>
        <w:rPr>
          <w:rFonts w:hint="eastAsia" w:ascii="仿宋_GB2312" w:hAnsi="仿宋_GB2312" w:eastAsia="仿宋_GB2312" w:cs="仿宋_GB2312"/>
          <w:color w:val="auto"/>
          <w:sz w:val="32"/>
          <w:szCs w:val="32"/>
          <w:highlight w:val="none"/>
          <w:lang w:val="zh-CN" w:eastAsia="zh-CN"/>
        </w:rPr>
        <w:t>。公务用车购置数0辆，公务用车保有量3辆。国有资产占用情况</w:t>
      </w:r>
      <w:r>
        <w:rPr>
          <w:rFonts w:hint="eastAsia" w:ascii="仿宋_GB2312" w:hAnsi="仿宋_GB2312" w:eastAsia="仿宋_GB2312" w:cs="仿宋_GB2312"/>
          <w:color w:val="auto"/>
          <w:sz w:val="32"/>
          <w:szCs w:val="32"/>
          <w:highlight w:val="none"/>
          <w:lang w:val="en-US" w:eastAsia="zh-CN"/>
        </w:rPr>
        <w:t>中固定资产车辆</w:t>
      </w:r>
      <w:r>
        <w:rPr>
          <w:rFonts w:hint="eastAsia" w:ascii="仿宋_GB2312" w:hAnsi="仿宋_GB2312" w:eastAsia="仿宋_GB2312" w:cs="仿宋_GB2312"/>
          <w:color w:val="auto"/>
          <w:sz w:val="32"/>
          <w:szCs w:val="32"/>
          <w:highlight w:val="none"/>
          <w:lang w:val="zh-CN" w:eastAsia="zh-CN"/>
        </w:rPr>
        <w:t>3辆，</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公务用车</w:t>
      </w:r>
      <w:r>
        <w:rPr>
          <w:rFonts w:hint="eastAsia" w:ascii="仿宋_GB2312" w:hAnsi="仿宋_GB2312" w:eastAsia="仿宋_GB2312" w:cs="仿宋_GB2312"/>
          <w:color w:val="auto"/>
          <w:sz w:val="32"/>
          <w:szCs w:val="32"/>
          <w:highlight w:val="none"/>
          <w:lang w:val="en-US" w:eastAsia="zh-CN"/>
        </w:rPr>
        <w:t>保有量无差异</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公务接待费0.00万元，开支内容包括</w:t>
      </w:r>
      <w:r>
        <w:rPr>
          <w:rFonts w:hint="eastAsia" w:ascii="仿宋_GB2312" w:hAnsi="仿宋_GB2312" w:eastAsia="仿宋_GB2312" w:cs="仿宋_GB2312"/>
          <w:color w:val="auto"/>
          <w:sz w:val="32"/>
          <w:szCs w:val="32"/>
        </w:rPr>
        <w:t>我单位无公务接待</w:t>
      </w:r>
      <w:r>
        <w:rPr>
          <w:rFonts w:hint="eastAsia" w:ascii="仿宋_GB2312" w:hAnsi="仿宋_GB2312" w:eastAsia="仿宋_GB2312" w:cs="仿宋_GB2312"/>
          <w:color w:val="auto"/>
          <w:sz w:val="32"/>
          <w:szCs w:val="32"/>
          <w:lang w:val="en-US" w:eastAsia="zh-CN"/>
        </w:rPr>
        <w:t>费</w:t>
      </w:r>
      <w:bookmarkStart w:id="48" w:name="_GoBack"/>
      <w:bookmarkEnd w:id="48"/>
      <w:r>
        <w:rPr>
          <w:rFonts w:hint="eastAsia" w:ascii="仿宋_GB2312" w:hAnsi="仿宋_GB2312" w:eastAsia="仿宋_GB2312" w:cs="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与</w:t>
      </w:r>
      <w:r>
        <w:rPr>
          <w:rFonts w:hint="eastAsia" w:ascii="仿宋_GB2312" w:hAnsi="仿宋_GB2312" w:eastAsia="仿宋_GB2312" w:cs="仿宋_GB2312"/>
          <w:b/>
          <w:bCs/>
          <w:color w:val="auto"/>
          <w:sz w:val="32"/>
          <w:szCs w:val="32"/>
          <w:highlight w:val="none"/>
          <w:lang w:val="en-US" w:eastAsia="zh-CN"/>
        </w:rPr>
        <w:t>全年</w:t>
      </w:r>
      <w:r>
        <w:rPr>
          <w:rFonts w:hint="eastAsia" w:ascii="仿宋_GB2312" w:hAnsi="仿宋_GB2312" w:eastAsia="仿宋_GB2312" w:cs="仿宋_GB2312"/>
          <w:b/>
          <w:bCs/>
          <w:color w:val="auto"/>
          <w:sz w:val="32"/>
          <w:szCs w:val="32"/>
          <w:highlight w:val="none"/>
          <w:lang w:val="zh-CN" w:eastAsia="zh-CN"/>
        </w:rPr>
        <w:t>预算相比</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财政拨款“三公”经费支出</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预算数5.88万元，决算数5.88万元，预决算差异率0.00%，主要原因是：</w:t>
      </w:r>
      <w:r>
        <w:rPr>
          <w:rFonts w:hint="eastAsia" w:ascii="仿宋_GB2312" w:hAnsi="仿宋_GB2312" w:eastAsia="仿宋_GB2312" w:cs="仿宋_GB2312"/>
          <w:color w:val="auto"/>
          <w:sz w:val="32"/>
          <w:szCs w:val="32"/>
        </w:rPr>
        <w:t>严格执行中央八项规定及实施细则，根据工作实际需求，合理</w:t>
      </w:r>
      <w:r>
        <w:rPr>
          <w:rFonts w:hint="eastAsia" w:ascii="仿宋_GB2312" w:hAnsi="仿宋_GB2312" w:eastAsia="仿宋_GB2312" w:cs="仿宋_GB2312"/>
          <w:color w:val="auto"/>
          <w:sz w:val="32"/>
          <w:szCs w:val="32"/>
          <w:lang w:val="en-US" w:eastAsia="zh-CN"/>
        </w:rPr>
        <w:t>控制</w:t>
      </w:r>
      <w:r>
        <w:rPr>
          <w:rFonts w:hint="eastAsia" w:ascii="仿宋_GB2312" w:hAnsi="仿宋_GB2312" w:eastAsia="仿宋_GB2312" w:cs="仿宋_GB2312"/>
          <w:color w:val="auto"/>
          <w:sz w:val="32"/>
          <w:szCs w:val="32"/>
        </w:rPr>
        <w:t>预算资金</w:t>
      </w:r>
      <w:r>
        <w:rPr>
          <w:rFonts w:hint="eastAsia" w:ascii="仿宋_GB2312" w:hAnsi="仿宋_GB2312" w:eastAsia="仿宋_GB2312" w:cs="仿宋_GB2312"/>
          <w:color w:val="auto"/>
          <w:sz w:val="32"/>
          <w:szCs w:val="32"/>
          <w:highlight w:val="none"/>
          <w:lang w:val="zh-CN" w:eastAsia="zh-CN"/>
        </w:rPr>
        <w:t>。其中：因公出国（境）费</w:t>
      </w:r>
      <w:r>
        <w:rPr>
          <w:rFonts w:hint="eastAsia" w:ascii="仿宋_GB2312" w:hAnsi="仿宋_GB2312" w:eastAsia="仿宋_GB2312" w:cs="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rPr>
        <w:t>无因公出国（境）费预算和事项</w:t>
      </w:r>
      <w:r>
        <w:rPr>
          <w:rFonts w:hint="eastAsia" w:ascii="仿宋_GB2312" w:hAnsi="仿宋_GB2312" w:eastAsia="仿宋_GB2312" w:cs="仿宋_GB2312"/>
          <w:color w:val="auto"/>
          <w:sz w:val="32"/>
          <w:szCs w:val="32"/>
          <w:highlight w:val="none"/>
          <w:lang w:val="zh-CN" w:eastAsia="zh-CN"/>
        </w:rPr>
        <w:t>；公务用车购置费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color w:val="auto"/>
          <w:sz w:val="32"/>
          <w:szCs w:val="32"/>
        </w:rPr>
        <w:t>我单位无公务用车购置费预算和事项</w:t>
      </w:r>
      <w:r>
        <w:rPr>
          <w:rFonts w:hint="eastAsia" w:ascii="仿宋_GB2312" w:hAnsi="仿宋_GB2312" w:eastAsia="仿宋_GB2312" w:cs="仿宋_GB2312"/>
          <w:color w:val="auto"/>
          <w:sz w:val="32"/>
          <w:szCs w:val="32"/>
          <w:highlight w:val="none"/>
          <w:lang w:val="zh-CN" w:eastAsia="zh-CN"/>
        </w:rPr>
        <w:t>；公务用车运行费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预算数5.88万元，决算数5.88万元，预决算差异率0.00%，主要原因是：</w:t>
      </w:r>
      <w:r>
        <w:rPr>
          <w:rFonts w:hint="eastAsia" w:ascii="仿宋_GB2312" w:hAnsi="仿宋_GB2312" w:eastAsia="仿宋_GB2312" w:cs="仿宋_GB2312"/>
          <w:color w:val="auto"/>
          <w:sz w:val="32"/>
          <w:szCs w:val="32"/>
        </w:rPr>
        <w:t>严格执行中央八项规定及实施细则，根据工作实际需求，合理</w:t>
      </w:r>
      <w:r>
        <w:rPr>
          <w:rFonts w:hint="eastAsia" w:ascii="仿宋_GB2312" w:hAnsi="仿宋_GB2312" w:eastAsia="仿宋_GB2312" w:cs="仿宋_GB2312"/>
          <w:color w:val="auto"/>
          <w:sz w:val="32"/>
          <w:szCs w:val="32"/>
          <w:lang w:val="en-US" w:eastAsia="zh-CN"/>
        </w:rPr>
        <w:t>控制</w:t>
      </w:r>
      <w:r>
        <w:rPr>
          <w:rFonts w:hint="eastAsia" w:ascii="仿宋_GB2312" w:hAnsi="仿宋_GB2312" w:eastAsia="仿宋_GB2312" w:cs="仿宋_GB2312"/>
          <w:color w:val="auto"/>
          <w:sz w:val="32"/>
          <w:szCs w:val="32"/>
        </w:rPr>
        <w:t>预算资金</w:t>
      </w:r>
      <w:r>
        <w:rPr>
          <w:rFonts w:hint="eastAsia" w:ascii="仿宋_GB2312" w:hAnsi="仿宋_GB2312" w:eastAsia="仿宋_GB2312" w:cs="仿宋_GB2312"/>
          <w:color w:val="auto"/>
          <w:sz w:val="32"/>
          <w:szCs w:val="32"/>
          <w:highlight w:val="none"/>
          <w:lang w:val="zh-CN" w:eastAsia="zh-CN"/>
        </w:rPr>
        <w:t>；公务接待费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color w:val="auto"/>
          <w:sz w:val="32"/>
          <w:szCs w:val="32"/>
        </w:rPr>
        <w:t>我单位无公务接待</w:t>
      </w:r>
      <w:r>
        <w:rPr>
          <w:rFonts w:hint="eastAsia" w:ascii="仿宋_GB2312" w:hAnsi="仿宋_GB2312" w:eastAsia="仿宋_GB2312" w:cs="仿宋_GB2312"/>
          <w:color w:val="auto"/>
          <w:sz w:val="32"/>
          <w:szCs w:val="32"/>
          <w:lang w:val="en-US" w:eastAsia="zh-CN"/>
        </w:rPr>
        <w:t>费</w:t>
      </w:r>
      <w:r>
        <w:rPr>
          <w:rFonts w:hint="eastAsia" w:ascii="仿宋_GB2312" w:hAnsi="仿宋_GB2312" w:eastAsia="仿宋_GB2312" w:cs="仿宋_GB2312"/>
          <w:color w:val="auto"/>
          <w:sz w:val="32"/>
          <w:szCs w:val="32"/>
        </w:rPr>
        <w:t>预算和事项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bookmarkStart w:id="18" w:name="_Toc5810"/>
      <w:bookmarkStart w:id="19" w:name="_Toc7927"/>
      <w:r>
        <w:rPr>
          <w:rFonts w:hint="eastAsia" w:ascii="黑体" w:hAnsi="黑体" w:eastAsia="黑体" w:cs="黑体"/>
          <w:bCs/>
          <w:color w:val="auto"/>
          <w:kern w:val="0"/>
          <w:sz w:val="32"/>
          <w:szCs w:val="32"/>
          <w:highlight w:val="none"/>
          <w:lang w:val="en-US" w:eastAsia="zh-CN"/>
        </w:rPr>
        <w:t>八</w:t>
      </w:r>
      <w:r>
        <w:rPr>
          <w:rFonts w:hint="eastAsia" w:ascii="黑体" w:hAnsi="黑体" w:eastAsia="黑体" w:cs="黑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本年度无政府性基金预算财政拨款收入、支出</w:t>
      </w:r>
      <w:r>
        <w:rPr>
          <w:rFonts w:hint="eastAsia" w:ascii="仿宋_GB2312" w:hAnsi="仿宋_GB2312" w:eastAsia="仿宋_GB2312" w:cs="仿宋_GB2312"/>
          <w:color w:val="auto"/>
          <w:sz w:val="32"/>
          <w:szCs w:val="32"/>
          <w:highlight w:val="none"/>
          <w:lang w:val="en-US" w:eastAsia="zh-CN"/>
        </w:rPr>
        <w:t>及结转和结余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val="en-US" w:eastAsia="zh-CN"/>
        </w:rPr>
        <w:t>九</w:t>
      </w:r>
      <w:r>
        <w:rPr>
          <w:rFonts w:hint="eastAsia" w:ascii="黑体" w:hAnsi="黑体" w:eastAsia="黑体" w:cs="黑体"/>
          <w:bCs/>
          <w:color w:val="auto"/>
          <w:kern w:val="0"/>
          <w:sz w:val="32"/>
          <w:szCs w:val="32"/>
          <w:highlight w:val="none"/>
          <w:lang w:eastAsia="zh-CN"/>
        </w:rPr>
        <w:t>、国有资本经营预算财政拨款收入支出决算情况说明</w:t>
      </w:r>
    </w:p>
    <w:p>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rPr>
      </w:pPr>
      <w:bookmarkStart w:id="20" w:name="_Toc1235"/>
      <w:bookmarkStart w:id="21" w:name="_Toc7314"/>
      <w:r>
        <w:rPr>
          <w:rFonts w:hint="eastAsia" w:ascii="仿宋_GB2312" w:hAnsi="仿宋_GB2312" w:eastAsia="仿宋_GB2312" w:cs="仿宋_GB2312"/>
          <w:color w:val="auto"/>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eastAsia="zh-CN"/>
        </w:rPr>
        <w:t>十</w:t>
      </w:r>
      <w:r>
        <w:rPr>
          <w:rFonts w:hint="eastAsia" w:ascii="黑体" w:hAnsi="黑体" w:eastAsia="黑体" w:cs="黑体"/>
          <w:bCs/>
          <w:color w:val="auto"/>
          <w:kern w:val="0"/>
          <w:sz w:val="32"/>
          <w:szCs w:val="32"/>
          <w:highlight w:val="none"/>
        </w:rPr>
        <w:t>、其他重要事项的情况</w:t>
      </w:r>
      <w:r>
        <w:rPr>
          <w:rFonts w:hint="eastAsia" w:ascii="黑体" w:hAnsi="黑体" w:eastAsia="黑体" w:cs="黑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2"/>
        <w:rPr>
          <w:rFonts w:hint="eastAsia" w:ascii="黑体" w:hAnsi="黑体" w:eastAsia="黑体" w:cs="黑体"/>
          <w:color w:val="auto"/>
          <w:sz w:val="32"/>
          <w:szCs w:val="32"/>
          <w:highlight w:val="none"/>
        </w:rPr>
      </w:pPr>
      <w:bookmarkStart w:id="22" w:name="_Toc14519"/>
      <w:bookmarkStart w:id="23" w:name="_Toc13105"/>
      <w:r>
        <w:rPr>
          <w:rFonts w:hint="eastAsia" w:ascii="黑体" w:hAnsi="黑体" w:eastAsia="黑体" w:cs="黑体"/>
          <w:color w:val="auto"/>
          <w:sz w:val="32"/>
          <w:szCs w:val="32"/>
          <w:highlight w:val="none"/>
          <w:lang w:eastAsia="zh-CN"/>
        </w:rPr>
        <w:t>（一）</w:t>
      </w:r>
      <w:r>
        <w:rPr>
          <w:rFonts w:hint="eastAsia" w:ascii="黑体" w:hAnsi="黑体" w:eastAsia="黑体" w:cs="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奎屯市无线电管理局（事业单位）公用经费支出15.56万元，</w:t>
      </w:r>
      <w:r>
        <w:rPr>
          <w:rFonts w:hint="eastAsia" w:ascii="仿宋_GB2312" w:hAnsi="仿宋_GB2312" w:eastAsia="仿宋_GB2312" w:cs="仿宋_GB2312"/>
          <w:color w:val="auto"/>
          <w:sz w:val="32"/>
          <w:szCs w:val="32"/>
          <w:highlight w:val="none"/>
          <w:lang w:val="zh-CN" w:eastAsia="zh-CN"/>
        </w:rPr>
        <w:t>比上年增加2.46万元，增长18.</w:t>
      </w:r>
      <w:r>
        <w:rPr>
          <w:rFonts w:hint="eastAsia" w:ascii="仿宋_GB2312" w:hAnsi="仿宋_GB2312" w:eastAsia="仿宋_GB2312" w:cs="仿宋_GB2312"/>
          <w:color w:val="auto"/>
          <w:sz w:val="32"/>
          <w:szCs w:val="32"/>
          <w:highlight w:val="none"/>
          <w:lang w:val="en-US" w:eastAsia="zh-CN"/>
        </w:rPr>
        <w:t>78</w:t>
      </w:r>
      <w:r>
        <w:rPr>
          <w:rFonts w:hint="eastAsia" w:ascii="仿宋_GB2312" w:hAnsi="仿宋_GB2312" w:eastAsia="仿宋_GB2312" w:cs="仿宋_GB2312"/>
          <w:color w:val="auto"/>
          <w:sz w:val="32"/>
          <w:szCs w:val="32"/>
          <w:highlight w:val="none"/>
          <w:lang w:val="zh-CN" w:eastAsia="zh-CN"/>
        </w:rPr>
        <w:t>%，主要原因是：公用经费定额拨付金额整体根据人员工资基数上调，公用经费支出相应增加</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黑体" w:hAnsi="黑体" w:eastAsia="黑体" w:cs="黑体"/>
          <w:color w:val="auto"/>
          <w:sz w:val="32"/>
          <w:szCs w:val="32"/>
          <w:highlight w:val="none"/>
          <w:lang w:val="zh-CN" w:eastAsia="zh-CN"/>
        </w:rPr>
      </w:pPr>
      <w:r>
        <w:rPr>
          <w:rFonts w:hint="eastAsia" w:ascii="黑体" w:hAnsi="黑体" w:eastAsia="黑体" w:cs="黑体"/>
          <w:color w:val="auto"/>
          <w:sz w:val="32"/>
          <w:szCs w:val="32"/>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50.91万元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其中：政府采购货物支出2.92万元、政府采购工程支出16.61万元、政府采购服务支出31.37万元。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授予中小企业合同金额46.25万元，占政府采购支出总额的90.86%，其中：授予小微企业合同金额41.76万元，占政府采购支出总额的82.04%</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黑体" w:hAnsi="黑体" w:eastAsia="黑体" w:cs="黑体"/>
          <w:color w:val="auto"/>
          <w:sz w:val="32"/>
          <w:szCs w:val="32"/>
          <w:highlight w:val="none"/>
          <w:lang w:val="zh-CN" w:eastAsia="zh-CN"/>
        </w:rPr>
      </w:pPr>
      <w:bookmarkStart w:id="26" w:name="_Toc8391"/>
      <w:bookmarkStart w:id="27" w:name="_Toc4591"/>
      <w:r>
        <w:rPr>
          <w:rFonts w:hint="eastAsia" w:ascii="黑体" w:hAnsi="黑体" w:eastAsia="黑体" w:cs="黑体"/>
          <w:color w:val="auto"/>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2,584.43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屋1464.46平方米，价值280.48万元。车辆3辆，价值151.36万元，其中：副部（省）级及以上领导用车0辆、主要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用车0辆、机要通信用车0辆、应急保障用车0辆、执法执勤用车1辆、特种专业技术用车2辆、离退休干部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rPr>
        <w:t>我单位无其他用车</w:t>
      </w:r>
      <w:r>
        <w:rPr>
          <w:rFonts w:hint="eastAsia" w:ascii="仿宋_GB2312" w:hAnsi="仿宋_GB2312" w:eastAsia="仿宋_GB2312" w:cs="仿宋_GB2312"/>
          <w:color w:val="auto"/>
          <w:sz w:val="32"/>
          <w:szCs w:val="32"/>
          <w:highlight w:val="none"/>
          <w:lang w:val="zh-CN" w:eastAsia="zh-CN"/>
        </w:rPr>
        <w:t>；单价100万元（含）以上设备（不含车辆）6</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1"/>
        <w:rPr>
          <w:rFonts w:hint="eastAsia" w:ascii="黑体" w:hAnsi="黑体" w:eastAsia="黑体" w:cs="黑体"/>
          <w:bCs/>
          <w:color w:val="auto"/>
          <w:kern w:val="0"/>
          <w:sz w:val="32"/>
          <w:szCs w:val="32"/>
          <w:highlight w:val="none"/>
          <w:lang w:eastAsia="zh-CN"/>
        </w:rPr>
      </w:pPr>
      <w:bookmarkStart w:id="28" w:name="_Toc11283"/>
      <w:bookmarkStart w:id="29" w:name="_Toc435"/>
      <w:r>
        <w:rPr>
          <w:rFonts w:hint="eastAsia" w:ascii="黑体" w:hAnsi="黑体" w:eastAsia="黑体" w:cs="黑体"/>
          <w:bCs/>
          <w:color w:val="auto"/>
          <w:kern w:val="0"/>
          <w:sz w:val="32"/>
          <w:szCs w:val="32"/>
          <w:highlight w:val="none"/>
          <w:lang w:eastAsia="zh-CN"/>
        </w:rPr>
        <w:t>十</w:t>
      </w:r>
      <w:r>
        <w:rPr>
          <w:rFonts w:hint="eastAsia" w:ascii="黑体" w:hAnsi="黑体" w:eastAsia="黑体" w:cs="黑体"/>
          <w:bCs/>
          <w:color w:val="auto"/>
          <w:kern w:val="0"/>
          <w:sz w:val="32"/>
          <w:szCs w:val="32"/>
          <w:highlight w:val="none"/>
          <w:lang w:val="en-US" w:eastAsia="zh-CN"/>
        </w:rPr>
        <w:t>一</w:t>
      </w:r>
      <w:r>
        <w:rPr>
          <w:rFonts w:hint="eastAsia" w:ascii="黑体" w:hAnsi="黑体" w:eastAsia="黑体" w:cs="黑体"/>
          <w:bCs/>
          <w:color w:val="auto"/>
          <w:kern w:val="0"/>
          <w:sz w:val="32"/>
          <w:szCs w:val="32"/>
          <w:highlight w:val="none"/>
          <w:lang w:eastAsia="zh-CN"/>
        </w:rPr>
        <w:t>、预算绩效的情况说明</w:t>
      </w:r>
      <w:bookmarkEnd w:id="28"/>
      <w:bookmarkEnd w:id="29"/>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根据预算绩效管理要求，我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hAnsi="仿宋_GB2312" w:eastAsia="仿宋_GB2312" w:cs="仿宋_GB2312"/>
          <w:color w:val="auto"/>
          <w:sz w:val="32"/>
          <w:szCs w:val="32"/>
          <w:highlight w:val="none"/>
          <w:lang w:val="en-US" w:eastAsia="zh-CN"/>
        </w:rPr>
        <w:t>预算总额0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实际执行总额0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预算绩效评价项目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lang w:val="en-US" w:eastAsia="zh-CN"/>
        </w:rPr>
        <w:t>全年预算数83.50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全年执行数67.69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。预算绩效管理取得的成效：</w:t>
      </w:r>
      <w:r>
        <w:rPr>
          <w:rFonts w:hint="eastAsia" w:ascii="仿宋_GB2312" w:hAnsi="仿宋_GB2312" w:eastAsia="仿宋_GB2312" w:cs="仿宋_GB2312"/>
          <w:b/>
          <w:bCs/>
          <w:color w:val="auto"/>
          <w:sz w:val="32"/>
          <w:szCs w:val="32"/>
        </w:rPr>
        <w:t>一是</w:t>
      </w:r>
      <w:r>
        <w:rPr>
          <w:rFonts w:hint="eastAsia" w:ascii="仿宋_GB2312" w:hAnsi="仿宋_GB2312" w:eastAsia="仿宋_GB2312" w:cs="仿宋_GB2312"/>
          <w:color w:val="auto"/>
          <w:sz w:val="32"/>
          <w:szCs w:val="32"/>
        </w:rPr>
        <w:t>领导高度重视，成立绩效自评工作领导小组，主要领导负总责，分管领导具体负责，安排专人具体办理，形成一级抓一级，层层抓落实；</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rPr>
        <w:t>严格执行《工信厅全面预算绩效管理办法》，日常对项目资金加快预算执行，确保绩效监控和绩效评价执行率，规范各项预算执行活动,确保预算执行的准确性、及时性和规范性,发挥资金的最大效用,取得了良好的绩效成果；</w:t>
      </w:r>
      <w:r>
        <w:rPr>
          <w:rFonts w:hint="eastAsia" w:ascii="仿宋_GB2312" w:hAnsi="仿宋_GB2312" w:eastAsia="仿宋_GB2312" w:cs="仿宋_GB2312"/>
          <w:b/>
          <w:bCs/>
          <w:color w:val="auto"/>
          <w:sz w:val="32"/>
          <w:szCs w:val="32"/>
        </w:rPr>
        <w:t>三是</w:t>
      </w:r>
      <w:r>
        <w:rPr>
          <w:rFonts w:hint="eastAsia" w:ascii="仿宋_GB2312" w:hAnsi="仿宋_GB2312" w:eastAsia="仿宋_GB2312" w:cs="仿宋_GB2312"/>
          <w:color w:val="auto"/>
          <w:sz w:val="32"/>
          <w:szCs w:val="32"/>
        </w:rPr>
        <w:t>科学制定方案。为使绩效评价工作平稳有序进行，在正式评价开展前拟定了详细的工作方案，方案内容包括评价内容、评价方法、评价依据、时间安排、工作步骤、工作要求等方面；</w:t>
      </w:r>
      <w:r>
        <w:rPr>
          <w:rFonts w:hint="eastAsia" w:ascii="仿宋_GB2312" w:hAnsi="仿宋_GB2312" w:eastAsia="仿宋_GB2312" w:cs="仿宋_GB2312"/>
          <w:b/>
          <w:bCs/>
          <w:color w:val="auto"/>
          <w:sz w:val="32"/>
          <w:szCs w:val="32"/>
        </w:rPr>
        <w:t>四是</w:t>
      </w:r>
      <w:r>
        <w:rPr>
          <w:rFonts w:hint="eastAsia" w:ascii="仿宋_GB2312" w:hAnsi="仿宋_GB2312" w:eastAsia="仿宋_GB2312" w:cs="仿宋_GB2312"/>
          <w:color w:val="auto"/>
          <w:sz w:val="32"/>
          <w:szCs w:val="32"/>
        </w:rPr>
        <w:t>业务人员工作积极、认真负责，抓好项目实施的绩效评价。发现的问题及原因：根据本次绩效评价情况，发现预算绩效申报存在绩效目标设置不科学、不合同理的问题。原因为编制的项目自评指标体系不够精细，绩效目标不具体，绩效目标未完全细化，分解工作任务不够具体，部分绩效指标不清晰，在经费支出过程中经济功能精确度有待提高。下一步改进措施：</w:t>
      </w:r>
      <w:r>
        <w:rPr>
          <w:rFonts w:hint="eastAsia" w:ascii="仿宋_GB2312" w:hAnsi="仿宋_GB2312" w:eastAsia="仿宋_GB2312" w:cs="仿宋_GB2312"/>
          <w:b/>
          <w:bCs/>
          <w:color w:val="auto"/>
          <w:sz w:val="32"/>
          <w:szCs w:val="32"/>
        </w:rPr>
        <w:t>一是</w:t>
      </w:r>
      <w:r>
        <w:rPr>
          <w:rFonts w:hint="eastAsia" w:ascii="仿宋_GB2312" w:hAnsi="仿宋_GB2312" w:eastAsia="仿宋_GB2312" w:cs="仿宋_GB2312"/>
          <w:color w:val="auto"/>
          <w:sz w:val="32"/>
          <w:szCs w:val="32"/>
        </w:rPr>
        <w:t>完善各项内控制度，建立上下协调、部门联动、层层抓落实的工作责任制，将绩效管理责任分解落实到具体科室、明确到具体责任人，确保每一笔资金花得安全、用得高效；</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rPr>
        <w:t>加强对专项资金预算绩效监控力度，加强对专项资金预算执行力度的考核，确保项目执行按期完成；</w:t>
      </w:r>
      <w:r>
        <w:rPr>
          <w:rFonts w:hint="eastAsia" w:ascii="仿宋_GB2312" w:hAnsi="仿宋_GB2312" w:eastAsia="仿宋_GB2312" w:cs="仿宋_GB2312"/>
          <w:b/>
          <w:bCs/>
          <w:color w:val="auto"/>
          <w:sz w:val="32"/>
          <w:szCs w:val="32"/>
        </w:rPr>
        <w:t>三是</w:t>
      </w:r>
      <w:r>
        <w:rPr>
          <w:rFonts w:hint="eastAsia" w:ascii="仿宋_GB2312" w:hAnsi="仿宋_GB2312" w:eastAsia="仿宋_GB2312" w:cs="仿宋_GB2312"/>
          <w:color w:val="auto"/>
          <w:sz w:val="32"/>
          <w:szCs w:val="32"/>
        </w:rPr>
        <w:t>建立健全绩效管理与预算管理有机结合的工作机制，落实绩效评价结果成为预算编制的重要参考因素。</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left="0" w:leftChars="0" w:right="0" w:rightChars="0" w:firstLine="640" w:firstLineChars="200"/>
        <w:jc w:val="left"/>
        <w:textAlignment w:val="auto"/>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eastAsia="zh-CN"/>
        </w:rPr>
        <w:t>十</w:t>
      </w:r>
      <w:r>
        <w:rPr>
          <w:rFonts w:hint="eastAsia" w:ascii="黑体" w:hAnsi="黑体" w:eastAsia="黑体" w:cs="黑体"/>
          <w:bCs/>
          <w:color w:val="auto"/>
          <w:kern w:val="0"/>
          <w:sz w:val="32"/>
          <w:szCs w:val="32"/>
          <w:highlight w:val="none"/>
          <w:lang w:val="en-US" w:eastAsia="zh-CN"/>
        </w:rPr>
        <w:t>二</w:t>
      </w:r>
      <w:r>
        <w:rPr>
          <w:rFonts w:hint="eastAsia" w:ascii="黑体" w:hAnsi="黑体" w:eastAsia="黑体" w:cs="黑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0"/>
        <w:rPr>
          <w:rFonts w:hint="eastAsia" w:ascii="仿宋_GB2312" w:hAnsi="仿宋_GB2312" w:eastAsia="仿宋_GB2312" w:cs="仿宋_GB2312"/>
          <w:color w:val="auto"/>
          <w:sz w:val="32"/>
          <w:szCs w:val="32"/>
          <w:highlight w:val="none"/>
        </w:rPr>
      </w:pPr>
      <w:bookmarkStart w:id="30" w:name="_Toc24143"/>
      <w:bookmarkStart w:id="31" w:name="_Toc3250"/>
      <w:r>
        <w:rPr>
          <w:rFonts w:hint="eastAsia" w:ascii="仿宋_GB2312" w:hAnsi="仿宋_GB2312" w:eastAsia="仿宋_GB2312" w:cs="仿宋_GB2312"/>
          <w:color w:val="auto"/>
          <w:sz w:val="32"/>
          <w:szCs w:val="32"/>
          <w:highlight w:val="none"/>
        </w:rPr>
        <w:br w:type="page"/>
      </w: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三</w:t>
      </w:r>
      <w:r>
        <w:rPr>
          <w:rFonts w:hint="eastAsia" w:ascii="黑体" w:hAnsi="黑体" w:eastAsia="黑体" w:cs="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财政拨款收入：</w:t>
      </w:r>
      <w:r>
        <w:rPr>
          <w:rFonts w:hint="eastAsia" w:ascii="仿宋_GB2312" w:hAnsi="仿宋_GB2312" w:eastAsia="仿宋_GB2312" w:cs="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rPr>
        <w:t>上级补助收入：</w:t>
      </w:r>
      <w:r>
        <w:rPr>
          <w:rFonts w:hint="eastAsia" w:ascii="仿宋_GB2312" w:hAnsi="仿宋_GB2312" w:eastAsia="仿宋_GB2312" w:cs="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rPr>
        <w:t>事业收入：</w:t>
      </w:r>
      <w:r>
        <w:rPr>
          <w:rFonts w:hint="eastAsia" w:ascii="仿宋_GB2312" w:hAnsi="仿宋_GB2312" w:eastAsia="仿宋_GB2312" w:cs="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四、</w:t>
      </w:r>
      <w:r>
        <w:rPr>
          <w:rFonts w:hint="eastAsia" w:ascii="仿宋_GB2312" w:hAnsi="仿宋_GB2312" w:eastAsia="仿宋_GB2312" w:cs="仿宋_GB2312"/>
          <w:b/>
          <w:bCs/>
          <w:color w:val="auto"/>
          <w:sz w:val="32"/>
          <w:szCs w:val="32"/>
          <w:highlight w:val="none"/>
        </w:rPr>
        <w:t>经营收入：</w:t>
      </w:r>
      <w:r>
        <w:rPr>
          <w:rFonts w:hint="eastAsia" w:ascii="仿宋_GB2312" w:hAnsi="仿宋_GB2312" w:eastAsia="仿宋_GB2312" w:cs="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五、</w:t>
      </w:r>
      <w:r>
        <w:rPr>
          <w:rFonts w:hint="eastAsia" w:ascii="仿宋_GB2312" w:hAnsi="仿宋_GB2312" w:eastAsia="仿宋_GB2312" w:cs="仿宋_GB2312"/>
          <w:b/>
          <w:bCs/>
          <w:color w:val="auto"/>
          <w:sz w:val="32"/>
          <w:szCs w:val="32"/>
          <w:highlight w:val="none"/>
        </w:rPr>
        <w:t>附属单位上缴收入：</w:t>
      </w:r>
      <w:r>
        <w:rPr>
          <w:rFonts w:hint="eastAsia" w:ascii="仿宋_GB2312" w:hAnsi="仿宋_GB2312" w:eastAsia="仿宋_GB2312" w:cs="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六、</w:t>
      </w:r>
      <w:r>
        <w:rPr>
          <w:rFonts w:hint="eastAsia" w:ascii="仿宋_GB2312" w:hAnsi="仿宋_GB2312" w:eastAsia="仿宋_GB2312" w:cs="仿宋_GB2312"/>
          <w:b/>
          <w:bCs/>
          <w:color w:val="auto"/>
          <w:sz w:val="32"/>
          <w:szCs w:val="32"/>
          <w:highlight w:val="none"/>
        </w:rPr>
        <w:t>其他收入：</w:t>
      </w:r>
      <w:r>
        <w:rPr>
          <w:rFonts w:hint="eastAsia" w:ascii="仿宋_GB2312" w:hAnsi="仿宋_GB2312" w:eastAsia="仿宋_GB2312" w:cs="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七、</w:t>
      </w:r>
      <w:r>
        <w:rPr>
          <w:rFonts w:hint="eastAsia" w:ascii="仿宋_GB2312" w:hAnsi="仿宋_GB2312" w:eastAsia="仿宋_GB2312" w:cs="仿宋_GB2312"/>
          <w:b/>
          <w:bCs/>
          <w:color w:val="auto"/>
          <w:sz w:val="32"/>
          <w:szCs w:val="32"/>
          <w:highlight w:val="none"/>
          <w:lang w:eastAsia="zh-CN"/>
        </w:rPr>
        <w:t>年初</w:t>
      </w:r>
      <w:r>
        <w:rPr>
          <w:rFonts w:hint="eastAsia" w:ascii="仿宋_GB2312" w:hAnsi="仿宋_GB2312" w:eastAsia="仿宋_GB2312" w:cs="仿宋_GB2312"/>
          <w:b/>
          <w:bCs/>
          <w:color w:val="auto"/>
          <w:sz w:val="32"/>
          <w:szCs w:val="32"/>
          <w:highlight w:val="none"/>
        </w:rPr>
        <w:t>结转和结余：</w:t>
      </w:r>
      <w:r>
        <w:rPr>
          <w:rFonts w:hint="eastAsia" w:ascii="仿宋_GB2312" w:hAnsi="仿宋_GB2312" w:eastAsia="仿宋_GB2312" w:cs="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八、</w:t>
      </w:r>
      <w:r>
        <w:rPr>
          <w:rFonts w:hint="eastAsia" w:ascii="仿宋_GB2312" w:hAnsi="仿宋_GB2312" w:eastAsia="仿宋_GB2312" w:cs="仿宋_GB2312"/>
          <w:b/>
          <w:bCs/>
          <w:color w:val="auto"/>
          <w:sz w:val="32"/>
          <w:szCs w:val="32"/>
          <w:highlight w:val="none"/>
        </w:rPr>
        <w:t>年末结转和结余：</w:t>
      </w:r>
      <w:r>
        <w:rPr>
          <w:rFonts w:hint="eastAsia" w:ascii="仿宋_GB2312" w:hAnsi="仿宋_GB2312" w:eastAsia="仿宋_GB2312" w:cs="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九、</w:t>
      </w:r>
      <w:r>
        <w:rPr>
          <w:rFonts w:hint="eastAsia" w:ascii="仿宋_GB2312" w:hAnsi="仿宋_GB2312" w:eastAsia="仿宋_GB2312" w:cs="仿宋_GB2312"/>
          <w:b/>
          <w:bCs/>
          <w:color w:val="auto"/>
          <w:sz w:val="32"/>
          <w:szCs w:val="32"/>
          <w:highlight w:val="none"/>
        </w:rPr>
        <w:t>基本支出：</w:t>
      </w:r>
      <w:r>
        <w:rPr>
          <w:rFonts w:hint="eastAsia" w:ascii="仿宋_GB2312" w:hAnsi="仿宋_GB2312" w:eastAsia="仿宋_GB2312" w:cs="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w:t>
      </w:r>
      <w:r>
        <w:rPr>
          <w:rFonts w:hint="eastAsia" w:ascii="仿宋_GB2312" w:hAnsi="仿宋_GB2312" w:eastAsia="仿宋_GB2312" w:cs="仿宋_GB2312"/>
          <w:b/>
          <w:bCs/>
          <w:color w:val="auto"/>
          <w:sz w:val="32"/>
          <w:szCs w:val="32"/>
          <w:highlight w:val="none"/>
        </w:rPr>
        <w:t>项目支出：</w:t>
      </w:r>
      <w:r>
        <w:rPr>
          <w:rFonts w:hint="eastAsia" w:ascii="仿宋_GB2312" w:hAnsi="仿宋_GB2312" w:eastAsia="仿宋_GB2312" w:cs="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十一、</w:t>
      </w:r>
      <w:r>
        <w:rPr>
          <w:rFonts w:hint="eastAsia" w:ascii="仿宋_GB2312" w:hAnsi="仿宋_GB2312" w:eastAsia="仿宋_GB2312" w:cs="仿宋_GB2312"/>
          <w:b/>
          <w:bCs/>
          <w:color w:val="auto"/>
          <w:sz w:val="32"/>
          <w:szCs w:val="32"/>
          <w:highlight w:val="none"/>
        </w:rPr>
        <w:t>经营支出：</w:t>
      </w:r>
      <w:r>
        <w:rPr>
          <w:rFonts w:hint="eastAsia" w:ascii="仿宋_GB2312" w:hAnsi="仿宋_GB2312" w:eastAsia="仿宋_GB2312" w:cs="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十二、</w:t>
      </w:r>
      <w:r>
        <w:rPr>
          <w:rFonts w:hint="eastAsia" w:ascii="仿宋_GB2312" w:hAnsi="仿宋_GB2312" w:eastAsia="仿宋_GB2312" w:cs="仿宋_GB2312"/>
          <w:b/>
          <w:bCs/>
          <w:color w:val="auto"/>
          <w:sz w:val="32"/>
          <w:szCs w:val="32"/>
          <w:highlight w:val="none"/>
        </w:rPr>
        <w:t>对附属单位补助支出：</w:t>
      </w:r>
      <w:r>
        <w:rPr>
          <w:rFonts w:hint="eastAsia" w:ascii="仿宋_GB2312" w:hAnsi="仿宋_GB2312" w:eastAsia="仿宋_GB2312" w:cs="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rightChars="0" w:firstLine="642"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十三、</w:t>
      </w:r>
      <w:r>
        <w:rPr>
          <w:rFonts w:hint="eastAsia" w:ascii="仿宋_GB2312" w:hAnsi="仿宋_GB2312" w:eastAsia="仿宋_GB2312" w:cs="仿宋_GB2312"/>
          <w:b/>
          <w:bCs/>
          <w:color w:val="auto"/>
          <w:sz w:val="32"/>
          <w:szCs w:val="32"/>
          <w:highlight w:val="none"/>
        </w:rPr>
        <w:t>“三公”经费：</w:t>
      </w:r>
      <w:r>
        <w:rPr>
          <w:rFonts w:hint="eastAsia" w:ascii="仿宋_GB2312" w:hAnsi="仿宋_GB2312" w:eastAsia="仿宋_GB2312" w:cs="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hAnsi="仿宋_GB2312" w:eastAsia="仿宋_GB2312" w:cs="仿宋_GB2312"/>
          <w:color w:val="auto"/>
          <w:sz w:val="32"/>
          <w:szCs w:val="32"/>
          <w:highlight w:val="none"/>
          <w:lang w:eastAsia="zh-CN"/>
        </w:rPr>
        <w:t>国际旅费、国外城市间交通费、</w:t>
      </w:r>
      <w:r>
        <w:rPr>
          <w:rFonts w:hint="eastAsia" w:ascii="仿宋_GB2312" w:hAnsi="仿宋_GB2312" w:eastAsia="仿宋_GB2312" w:cs="仿宋_GB2312"/>
          <w:color w:val="auto"/>
          <w:sz w:val="32"/>
          <w:szCs w:val="32"/>
          <w:highlight w:val="none"/>
        </w:rPr>
        <w:t>住宿费、伙食费、培训费、</w:t>
      </w:r>
      <w:r>
        <w:rPr>
          <w:rFonts w:hint="eastAsia" w:ascii="仿宋_GB2312" w:hAnsi="仿宋_GB2312" w:eastAsia="仿宋_GB2312" w:cs="仿宋_GB2312"/>
          <w:color w:val="auto"/>
          <w:sz w:val="32"/>
          <w:szCs w:val="32"/>
          <w:highlight w:val="none"/>
          <w:lang w:eastAsia="zh-CN"/>
        </w:rPr>
        <w:t>公</w:t>
      </w:r>
      <w:r>
        <w:rPr>
          <w:rFonts w:hint="eastAsia" w:ascii="仿宋_GB2312" w:hAnsi="仿宋_GB2312" w:eastAsia="仿宋_GB2312" w:cs="仿宋_GB2312"/>
          <w:color w:val="auto"/>
          <w:sz w:val="32"/>
          <w:szCs w:val="32"/>
          <w:highlight w:val="none"/>
        </w:rPr>
        <w:t>杂费等支出；公务用车购置费</w:t>
      </w:r>
      <w:r>
        <w:rPr>
          <w:rFonts w:hint="eastAsia" w:ascii="仿宋_GB2312" w:hAnsi="仿宋_GB2312" w:eastAsia="仿宋_GB2312" w:cs="仿宋_GB2312"/>
          <w:color w:val="auto"/>
          <w:sz w:val="32"/>
          <w:szCs w:val="32"/>
          <w:highlight w:val="none"/>
          <w:lang w:eastAsia="zh-CN"/>
        </w:rPr>
        <w:t>反映公务用车购置支出（含车辆购置税、牌照费）；</w:t>
      </w:r>
      <w:r>
        <w:rPr>
          <w:rFonts w:hint="eastAsia" w:ascii="仿宋_GB2312" w:hAnsi="仿宋_GB2312" w:eastAsia="仿宋_GB2312" w:cs="仿宋_GB2312"/>
          <w:color w:val="auto"/>
          <w:sz w:val="32"/>
          <w:szCs w:val="32"/>
          <w:highlight w:val="none"/>
        </w:rPr>
        <w:t>公务用车运行</w:t>
      </w:r>
      <w:r>
        <w:rPr>
          <w:rFonts w:hint="eastAsia" w:ascii="仿宋_GB2312" w:hAnsi="仿宋_GB2312" w:eastAsia="仿宋_GB2312" w:cs="仿宋_GB2312"/>
          <w:color w:val="auto"/>
          <w:sz w:val="32"/>
          <w:szCs w:val="32"/>
          <w:highlight w:val="none"/>
          <w:lang w:eastAsia="zh-CN"/>
        </w:rPr>
        <w:t>维护</w:t>
      </w:r>
      <w:r>
        <w:rPr>
          <w:rFonts w:hint="eastAsia" w:ascii="仿宋_GB2312" w:hAnsi="仿宋_GB2312" w:eastAsia="仿宋_GB2312" w:cs="仿宋_GB2312"/>
          <w:color w:val="auto"/>
          <w:sz w:val="32"/>
          <w:szCs w:val="32"/>
          <w:highlight w:val="none"/>
        </w:rPr>
        <w:t>费反映</w:t>
      </w:r>
      <w:r>
        <w:rPr>
          <w:rFonts w:hint="eastAsia" w:ascii="仿宋_GB2312" w:hAnsi="仿宋_GB2312" w:eastAsia="仿宋_GB2312" w:cs="仿宋_GB2312"/>
          <w:color w:val="auto"/>
          <w:sz w:val="32"/>
          <w:szCs w:val="32"/>
          <w:highlight w:val="none"/>
          <w:lang w:eastAsia="zh-CN"/>
        </w:rPr>
        <w:t>单位按规定保留的公务用车燃料费、维修费、</w:t>
      </w:r>
      <w:r>
        <w:rPr>
          <w:rFonts w:hint="eastAsia" w:ascii="仿宋_GB2312" w:hAnsi="仿宋_GB2312" w:eastAsia="仿宋_GB2312" w:cs="仿宋_GB2312"/>
          <w:color w:val="auto"/>
          <w:sz w:val="32"/>
          <w:szCs w:val="32"/>
          <w:highlight w:val="none"/>
        </w:rPr>
        <w:t>过路过桥费、保险费、安全奖励费用等支出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公务接待费反映单位按规定开支的各类公务接待（含外宾接待）</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left="0" w:leftChars="0" w:right="0" w:rightChars="0"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十四、</w:t>
      </w:r>
      <w:r>
        <w:rPr>
          <w:rFonts w:hint="eastAsia" w:ascii="仿宋_GB2312" w:hAnsi="仿宋_GB2312" w:eastAsia="仿宋_GB2312" w:cs="仿宋_GB2312"/>
          <w:b/>
          <w:bCs/>
          <w:color w:val="auto"/>
          <w:sz w:val="32"/>
          <w:szCs w:val="32"/>
          <w:highlight w:val="none"/>
        </w:rPr>
        <w:t>机关运行经费：</w:t>
      </w:r>
      <w:r>
        <w:rPr>
          <w:rFonts w:hint="eastAsia" w:ascii="仿宋_GB2312" w:hAnsi="仿宋_GB2312" w:eastAsia="仿宋_GB2312" w:cs="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B70D59"/>
    <w:rsid w:val="00F52A8D"/>
    <w:rsid w:val="019404F8"/>
    <w:rsid w:val="02432434"/>
    <w:rsid w:val="02797C69"/>
    <w:rsid w:val="02BD3108"/>
    <w:rsid w:val="02F73D26"/>
    <w:rsid w:val="034D4FEF"/>
    <w:rsid w:val="035D1785"/>
    <w:rsid w:val="039F47CE"/>
    <w:rsid w:val="03AC504F"/>
    <w:rsid w:val="03E05CE8"/>
    <w:rsid w:val="03F973EE"/>
    <w:rsid w:val="043E5B56"/>
    <w:rsid w:val="04A51C5F"/>
    <w:rsid w:val="04C04386"/>
    <w:rsid w:val="04D96608"/>
    <w:rsid w:val="04FA68C4"/>
    <w:rsid w:val="053F5AE6"/>
    <w:rsid w:val="057C0B0F"/>
    <w:rsid w:val="05EF4B48"/>
    <w:rsid w:val="05F76ECA"/>
    <w:rsid w:val="06792773"/>
    <w:rsid w:val="07093795"/>
    <w:rsid w:val="0709510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E73C9E"/>
    <w:rsid w:val="0D4903E8"/>
    <w:rsid w:val="0D7A4A46"/>
    <w:rsid w:val="0E640559"/>
    <w:rsid w:val="0F1113DA"/>
    <w:rsid w:val="0F78534A"/>
    <w:rsid w:val="0F89358A"/>
    <w:rsid w:val="0F8C6D51"/>
    <w:rsid w:val="0FD803C3"/>
    <w:rsid w:val="105B0B5E"/>
    <w:rsid w:val="112E58D0"/>
    <w:rsid w:val="11731CAC"/>
    <w:rsid w:val="119500A0"/>
    <w:rsid w:val="11C0733B"/>
    <w:rsid w:val="11D50D17"/>
    <w:rsid w:val="120E0809"/>
    <w:rsid w:val="127F665A"/>
    <w:rsid w:val="12F7068C"/>
    <w:rsid w:val="14207DC0"/>
    <w:rsid w:val="143D58F7"/>
    <w:rsid w:val="14B932DA"/>
    <w:rsid w:val="150A66AF"/>
    <w:rsid w:val="154C1139"/>
    <w:rsid w:val="158C5B77"/>
    <w:rsid w:val="15F0460C"/>
    <w:rsid w:val="160D1149"/>
    <w:rsid w:val="163563C0"/>
    <w:rsid w:val="164315EF"/>
    <w:rsid w:val="16557DFE"/>
    <w:rsid w:val="167268FB"/>
    <w:rsid w:val="16770D0A"/>
    <w:rsid w:val="16D50C50"/>
    <w:rsid w:val="16E120E1"/>
    <w:rsid w:val="17385A05"/>
    <w:rsid w:val="173B3901"/>
    <w:rsid w:val="176747F9"/>
    <w:rsid w:val="17954A6E"/>
    <w:rsid w:val="180059E9"/>
    <w:rsid w:val="184510FD"/>
    <w:rsid w:val="18F00242"/>
    <w:rsid w:val="190648B0"/>
    <w:rsid w:val="19071D6C"/>
    <w:rsid w:val="19AD1CFF"/>
    <w:rsid w:val="19D26CD4"/>
    <w:rsid w:val="19E60D19"/>
    <w:rsid w:val="19FC1D70"/>
    <w:rsid w:val="1A3E3450"/>
    <w:rsid w:val="1AD807E5"/>
    <w:rsid w:val="1B391A9C"/>
    <w:rsid w:val="1B39345B"/>
    <w:rsid w:val="1BFB2A1F"/>
    <w:rsid w:val="1C015D4A"/>
    <w:rsid w:val="1C290ED5"/>
    <w:rsid w:val="1C317E4F"/>
    <w:rsid w:val="1C472464"/>
    <w:rsid w:val="1D22799A"/>
    <w:rsid w:val="1D4B5AB7"/>
    <w:rsid w:val="1D5C1A72"/>
    <w:rsid w:val="1DAF458D"/>
    <w:rsid w:val="1E067CBB"/>
    <w:rsid w:val="1E086ACE"/>
    <w:rsid w:val="1E62130A"/>
    <w:rsid w:val="1E7C7E3E"/>
    <w:rsid w:val="1E97358B"/>
    <w:rsid w:val="1EAA4A5F"/>
    <w:rsid w:val="1EE869A7"/>
    <w:rsid w:val="1F4351F6"/>
    <w:rsid w:val="1FA15E62"/>
    <w:rsid w:val="1FED69B6"/>
    <w:rsid w:val="2064678E"/>
    <w:rsid w:val="20DC1AB9"/>
    <w:rsid w:val="20DD6197"/>
    <w:rsid w:val="212631E0"/>
    <w:rsid w:val="21A53757"/>
    <w:rsid w:val="21E17278"/>
    <w:rsid w:val="221236C6"/>
    <w:rsid w:val="228757E3"/>
    <w:rsid w:val="229844D0"/>
    <w:rsid w:val="22D7662C"/>
    <w:rsid w:val="23326B7F"/>
    <w:rsid w:val="23366242"/>
    <w:rsid w:val="2380045B"/>
    <w:rsid w:val="23AF69E7"/>
    <w:rsid w:val="23BC04D2"/>
    <w:rsid w:val="23EF1892"/>
    <w:rsid w:val="2483647E"/>
    <w:rsid w:val="24A32D55"/>
    <w:rsid w:val="25292727"/>
    <w:rsid w:val="252E5CA9"/>
    <w:rsid w:val="256F7692"/>
    <w:rsid w:val="25B91178"/>
    <w:rsid w:val="25BA2154"/>
    <w:rsid w:val="25C8773F"/>
    <w:rsid w:val="261707B3"/>
    <w:rsid w:val="264A7253"/>
    <w:rsid w:val="26F0170C"/>
    <w:rsid w:val="27201D62"/>
    <w:rsid w:val="27286E73"/>
    <w:rsid w:val="27CF2642"/>
    <w:rsid w:val="27E777F5"/>
    <w:rsid w:val="27EA1D4C"/>
    <w:rsid w:val="27EA2E41"/>
    <w:rsid w:val="282459E2"/>
    <w:rsid w:val="283A7FE5"/>
    <w:rsid w:val="285F51FF"/>
    <w:rsid w:val="28DF2665"/>
    <w:rsid w:val="29072599"/>
    <w:rsid w:val="291029F3"/>
    <w:rsid w:val="295E05BB"/>
    <w:rsid w:val="2985266C"/>
    <w:rsid w:val="29CB58F0"/>
    <w:rsid w:val="2A053397"/>
    <w:rsid w:val="2A145E96"/>
    <w:rsid w:val="2A2131BB"/>
    <w:rsid w:val="2AF5378F"/>
    <w:rsid w:val="2BB94DBF"/>
    <w:rsid w:val="2C0E0D23"/>
    <w:rsid w:val="2C6F314E"/>
    <w:rsid w:val="2CC206BE"/>
    <w:rsid w:val="2D1136DF"/>
    <w:rsid w:val="2D20606D"/>
    <w:rsid w:val="2D2730B5"/>
    <w:rsid w:val="2DB53F43"/>
    <w:rsid w:val="2DB87198"/>
    <w:rsid w:val="2DB93C54"/>
    <w:rsid w:val="2DE03FF9"/>
    <w:rsid w:val="2E3D144C"/>
    <w:rsid w:val="2E891204"/>
    <w:rsid w:val="2F3F0A28"/>
    <w:rsid w:val="2FBF7029"/>
    <w:rsid w:val="2FD0187F"/>
    <w:rsid w:val="2FD27414"/>
    <w:rsid w:val="2FFE4BB0"/>
    <w:rsid w:val="300911A7"/>
    <w:rsid w:val="300E7B60"/>
    <w:rsid w:val="300F6E18"/>
    <w:rsid w:val="30862F5F"/>
    <w:rsid w:val="30944F95"/>
    <w:rsid w:val="30AE53A9"/>
    <w:rsid w:val="314029C9"/>
    <w:rsid w:val="31C63837"/>
    <w:rsid w:val="31C82E39"/>
    <w:rsid w:val="32601BAD"/>
    <w:rsid w:val="329F6389"/>
    <w:rsid w:val="32B8436A"/>
    <w:rsid w:val="3389023A"/>
    <w:rsid w:val="33CB74FA"/>
    <w:rsid w:val="343642F2"/>
    <w:rsid w:val="343F3010"/>
    <w:rsid w:val="345D0A00"/>
    <w:rsid w:val="346862FF"/>
    <w:rsid w:val="34713BFD"/>
    <w:rsid w:val="34B365CC"/>
    <w:rsid w:val="34C13589"/>
    <w:rsid w:val="353369E3"/>
    <w:rsid w:val="358B14A0"/>
    <w:rsid w:val="35E00D72"/>
    <w:rsid w:val="36965B9D"/>
    <w:rsid w:val="36C549FD"/>
    <w:rsid w:val="37A755DD"/>
    <w:rsid w:val="37F94FA0"/>
    <w:rsid w:val="380D3381"/>
    <w:rsid w:val="38115B1F"/>
    <w:rsid w:val="385E3AC3"/>
    <w:rsid w:val="387D6B9E"/>
    <w:rsid w:val="38B75FF0"/>
    <w:rsid w:val="38C5454F"/>
    <w:rsid w:val="38D45016"/>
    <w:rsid w:val="38D90432"/>
    <w:rsid w:val="3914510A"/>
    <w:rsid w:val="3926770B"/>
    <w:rsid w:val="398D3668"/>
    <w:rsid w:val="39D6381E"/>
    <w:rsid w:val="39DA0497"/>
    <w:rsid w:val="3A893816"/>
    <w:rsid w:val="3A893B6D"/>
    <w:rsid w:val="3AD1763A"/>
    <w:rsid w:val="3B6716E3"/>
    <w:rsid w:val="3B6C6B2D"/>
    <w:rsid w:val="3C242659"/>
    <w:rsid w:val="3C96719C"/>
    <w:rsid w:val="3CA72BE8"/>
    <w:rsid w:val="3CF37F8C"/>
    <w:rsid w:val="3D137554"/>
    <w:rsid w:val="3D5275AC"/>
    <w:rsid w:val="3DCC2473"/>
    <w:rsid w:val="3DEB0883"/>
    <w:rsid w:val="3DF338D5"/>
    <w:rsid w:val="3E2527BF"/>
    <w:rsid w:val="3E731662"/>
    <w:rsid w:val="3E8168DD"/>
    <w:rsid w:val="3EA7725F"/>
    <w:rsid w:val="3EB03713"/>
    <w:rsid w:val="3EBF1A11"/>
    <w:rsid w:val="3EC52607"/>
    <w:rsid w:val="3EEC6CEF"/>
    <w:rsid w:val="3F183429"/>
    <w:rsid w:val="3FB77A1D"/>
    <w:rsid w:val="3FDC3674"/>
    <w:rsid w:val="3FED7F8A"/>
    <w:rsid w:val="40094AEF"/>
    <w:rsid w:val="401463D4"/>
    <w:rsid w:val="405470BD"/>
    <w:rsid w:val="40794A29"/>
    <w:rsid w:val="40834692"/>
    <w:rsid w:val="40F017AF"/>
    <w:rsid w:val="41431AD5"/>
    <w:rsid w:val="414B3C0F"/>
    <w:rsid w:val="417C1CE7"/>
    <w:rsid w:val="41900018"/>
    <w:rsid w:val="41944406"/>
    <w:rsid w:val="41BB5591"/>
    <w:rsid w:val="41CE128F"/>
    <w:rsid w:val="41DA6F12"/>
    <w:rsid w:val="421543C9"/>
    <w:rsid w:val="42171FB1"/>
    <w:rsid w:val="426B7096"/>
    <w:rsid w:val="42DA687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2953B2"/>
    <w:rsid w:val="47443672"/>
    <w:rsid w:val="47445515"/>
    <w:rsid w:val="474B4782"/>
    <w:rsid w:val="47D90D14"/>
    <w:rsid w:val="48387FB0"/>
    <w:rsid w:val="483A6114"/>
    <w:rsid w:val="488727DB"/>
    <w:rsid w:val="48B82268"/>
    <w:rsid w:val="48C354B3"/>
    <w:rsid w:val="493D58B5"/>
    <w:rsid w:val="494A7A04"/>
    <w:rsid w:val="4A0A26D2"/>
    <w:rsid w:val="4A0F5F3A"/>
    <w:rsid w:val="4A2019A5"/>
    <w:rsid w:val="4A241A0B"/>
    <w:rsid w:val="4A7B2875"/>
    <w:rsid w:val="4A934476"/>
    <w:rsid w:val="4AAA220A"/>
    <w:rsid w:val="4AE12E67"/>
    <w:rsid w:val="4B4C0111"/>
    <w:rsid w:val="4B8553A9"/>
    <w:rsid w:val="4B960E69"/>
    <w:rsid w:val="4BDB3730"/>
    <w:rsid w:val="4C200F7A"/>
    <w:rsid w:val="4CEE3180"/>
    <w:rsid w:val="4D0F4AF6"/>
    <w:rsid w:val="4DF94F37"/>
    <w:rsid w:val="4E0A1DD5"/>
    <w:rsid w:val="4E3160E5"/>
    <w:rsid w:val="4E4D37AF"/>
    <w:rsid w:val="4E8C6496"/>
    <w:rsid w:val="4E8D7793"/>
    <w:rsid w:val="4EFD18DE"/>
    <w:rsid w:val="4F144236"/>
    <w:rsid w:val="4F663C87"/>
    <w:rsid w:val="4F7E29A8"/>
    <w:rsid w:val="4F9E1FFC"/>
    <w:rsid w:val="501A73E7"/>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0F5041"/>
    <w:rsid w:val="55603AEE"/>
    <w:rsid w:val="556A442D"/>
    <w:rsid w:val="55DA564E"/>
    <w:rsid w:val="5604127D"/>
    <w:rsid w:val="56166703"/>
    <w:rsid w:val="56510474"/>
    <w:rsid w:val="56861525"/>
    <w:rsid w:val="56A93273"/>
    <w:rsid w:val="56BD550C"/>
    <w:rsid w:val="56E07045"/>
    <w:rsid w:val="56FF28AF"/>
    <w:rsid w:val="57540E7D"/>
    <w:rsid w:val="577B4878"/>
    <w:rsid w:val="57926973"/>
    <w:rsid w:val="57B53835"/>
    <w:rsid w:val="58175352"/>
    <w:rsid w:val="581F2200"/>
    <w:rsid w:val="583059FA"/>
    <w:rsid w:val="583E0FAC"/>
    <w:rsid w:val="584A0929"/>
    <w:rsid w:val="58CD2491"/>
    <w:rsid w:val="591B41B2"/>
    <w:rsid w:val="59254A26"/>
    <w:rsid w:val="59326325"/>
    <w:rsid w:val="595C505B"/>
    <w:rsid w:val="595E55C3"/>
    <w:rsid w:val="596E7E20"/>
    <w:rsid w:val="59A26483"/>
    <w:rsid w:val="5A60780B"/>
    <w:rsid w:val="5AB34579"/>
    <w:rsid w:val="5AFC6609"/>
    <w:rsid w:val="5B113480"/>
    <w:rsid w:val="5BD456CE"/>
    <w:rsid w:val="5C015A6A"/>
    <w:rsid w:val="5C0D1F49"/>
    <w:rsid w:val="5C5D48E3"/>
    <w:rsid w:val="5CBB0CE2"/>
    <w:rsid w:val="5CC17177"/>
    <w:rsid w:val="5CF306BC"/>
    <w:rsid w:val="5D367A14"/>
    <w:rsid w:val="5D3F3D64"/>
    <w:rsid w:val="5D833043"/>
    <w:rsid w:val="5DD92690"/>
    <w:rsid w:val="5DDB1CFD"/>
    <w:rsid w:val="5E216E35"/>
    <w:rsid w:val="5E7E6D93"/>
    <w:rsid w:val="5EB25644"/>
    <w:rsid w:val="5ED44800"/>
    <w:rsid w:val="5F350BDE"/>
    <w:rsid w:val="5F61632C"/>
    <w:rsid w:val="5FA17648"/>
    <w:rsid w:val="5FE705CB"/>
    <w:rsid w:val="600E2EF2"/>
    <w:rsid w:val="603D5080"/>
    <w:rsid w:val="60D0261B"/>
    <w:rsid w:val="618E3791"/>
    <w:rsid w:val="61947DCA"/>
    <w:rsid w:val="61A46A97"/>
    <w:rsid w:val="61D1382F"/>
    <w:rsid w:val="61F114A2"/>
    <w:rsid w:val="62512BB4"/>
    <w:rsid w:val="625D7D1A"/>
    <w:rsid w:val="62A0377C"/>
    <w:rsid w:val="62DD7D21"/>
    <w:rsid w:val="637D586B"/>
    <w:rsid w:val="63A5560B"/>
    <w:rsid w:val="63C222F4"/>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6F40095"/>
    <w:rsid w:val="67134CEF"/>
    <w:rsid w:val="671F1ABD"/>
    <w:rsid w:val="67521A59"/>
    <w:rsid w:val="67C304AB"/>
    <w:rsid w:val="683F0658"/>
    <w:rsid w:val="689C6793"/>
    <w:rsid w:val="68DB0208"/>
    <w:rsid w:val="68FB170C"/>
    <w:rsid w:val="691B3D98"/>
    <w:rsid w:val="693748F0"/>
    <w:rsid w:val="69846A0E"/>
    <w:rsid w:val="698D4797"/>
    <w:rsid w:val="69AA1366"/>
    <w:rsid w:val="69AD798C"/>
    <w:rsid w:val="69D005C0"/>
    <w:rsid w:val="69D80B96"/>
    <w:rsid w:val="6AAA163C"/>
    <w:rsid w:val="6B030D4C"/>
    <w:rsid w:val="6B68175F"/>
    <w:rsid w:val="6BFD799F"/>
    <w:rsid w:val="6C4A2E5A"/>
    <w:rsid w:val="6C8138D0"/>
    <w:rsid w:val="6CEF0725"/>
    <w:rsid w:val="6D064033"/>
    <w:rsid w:val="6D4B2604"/>
    <w:rsid w:val="6D8030E4"/>
    <w:rsid w:val="6D9A3E28"/>
    <w:rsid w:val="6E0E35C4"/>
    <w:rsid w:val="6E0F7A08"/>
    <w:rsid w:val="6E3947F5"/>
    <w:rsid w:val="6E9C74ED"/>
    <w:rsid w:val="6EF72976"/>
    <w:rsid w:val="6F2474E3"/>
    <w:rsid w:val="6F795A80"/>
    <w:rsid w:val="6F7C1D2E"/>
    <w:rsid w:val="6F8E0407"/>
    <w:rsid w:val="6FDD069F"/>
    <w:rsid w:val="701E3F32"/>
    <w:rsid w:val="702B4D16"/>
    <w:rsid w:val="70AA6621"/>
    <w:rsid w:val="70DC6F6B"/>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EB30A8"/>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36073A"/>
    <w:rsid w:val="784E7CA6"/>
    <w:rsid w:val="78574801"/>
    <w:rsid w:val="7873527F"/>
    <w:rsid w:val="790A6425"/>
    <w:rsid w:val="790E2D96"/>
    <w:rsid w:val="791B54B2"/>
    <w:rsid w:val="795A0A34"/>
    <w:rsid w:val="797339C3"/>
    <w:rsid w:val="79D57D57"/>
    <w:rsid w:val="79F00650"/>
    <w:rsid w:val="7A6242BF"/>
    <w:rsid w:val="7A794513"/>
    <w:rsid w:val="7A796935"/>
    <w:rsid w:val="7AE952D2"/>
    <w:rsid w:val="7C7248A0"/>
    <w:rsid w:val="7C976D69"/>
    <w:rsid w:val="7CD752DA"/>
    <w:rsid w:val="7CDE40AB"/>
    <w:rsid w:val="7CF057E2"/>
    <w:rsid w:val="7D1548B5"/>
    <w:rsid w:val="7D1A059E"/>
    <w:rsid w:val="7D6E35B9"/>
    <w:rsid w:val="7DF84014"/>
    <w:rsid w:val="7E207949"/>
    <w:rsid w:val="7E5C0A47"/>
    <w:rsid w:val="7E670C75"/>
    <w:rsid w:val="7EE24272"/>
    <w:rsid w:val="7EEA6053"/>
    <w:rsid w:val="7F487C04"/>
    <w:rsid w:val="7F516AED"/>
    <w:rsid w:val="7F7A79AD"/>
    <w:rsid w:val="7FB45F21"/>
    <w:rsid w:val="7FE57088"/>
    <w:rsid w:val="7FF37FA3"/>
    <w:rsid w:val="96FF81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6380</Words>
  <Characters>7048</Characters>
  <Lines>0</Lines>
  <Paragraphs>0</Paragraphs>
  <TotalTime>1</TotalTime>
  <ScaleCrop>false</ScaleCrop>
  <LinksUpToDate>false</LinksUpToDate>
  <CharactersWithSpaces>7058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user</cp:lastModifiedBy>
  <dcterms:modified xsi:type="dcterms:W3CDTF">2024-10-14T20:02:41Z</dcterms:modified>
  <dc:title>奎屯市无线电管理局2023年度决算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D624B15633CD43C8BF9435464A96BF70</vt:lpwstr>
  </property>
</Properties>
</file>