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eastAsia="zh-CN"/>
        </w:rPr>
      </w:pPr>
      <w:r>
        <w:rPr>
          <w:rFonts w:hint="eastAsia" w:ascii="方正小标宋_GBK" w:hAnsi="宋体" w:eastAsia="方正小标宋_GBK"/>
          <w:color w:val="auto"/>
          <w:sz w:val="44"/>
          <w:szCs w:val="44"/>
          <w:highlight w:val="none"/>
          <w:lang w:val="en-US" w:eastAsia="zh-CN"/>
        </w:rPr>
        <w:t>新疆石河子市无线电管理局</w:t>
      </w:r>
      <w:r>
        <w:rPr>
          <w:rFonts w:hint="eastAsia" w:ascii="方正小标宋_GBK" w:hAnsi="宋体" w:eastAsia="方正小标宋_GBK"/>
          <w:color w:val="auto"/>
          <w:sz w:val="44"/>
          <w:szCs w:val="44"/>
          <w:highlight w:val="none"/>
          <w:lang w:eastAsia="zh-CN"/>
        </w:rPr>
        <w:t>2023年度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决算公开说明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根据《中华人民共和国无线电管理条例》《关于调整全  区无线电管理机构编制事宜的批复》（新机编办〔2011〕39  号）</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《关于印发&lt;新疆维吾尔自治区经济和信息化委员会  （新疆维吾尔自治区国防科学技术工业办公室）所属事业单  位分类改革方案&gt;的通知》（新事改办〔2014〕11 号），新  疆石河子市无线电管理局属新疆维吾尔自治区工业和信息  化厅派驻新疆石河子市负责无线电管理工作的公益一类事  业单位。其主要职责任务是负责本行政区域除军事系统外的  无线电管理工作，贯彻落实国家和自治区无线电管理的法规、规章、政策，根据审批权限实施无线电频率使用许可，审查无线电台（站）的建设布局和台址，核发无线电台执照及无线电台识别码（含呼号），负责本行政区域无线电监测和干扰查处，协调处理本行政区域无线电管理相关事宜；负责本行政区域无线电管理的行政执法检查；按照有关规定对无线电台(站)的设置、使用和无线电发射设备的研制、生产、进口、销售实施监督检查；征收无线电频率占用费；依法组织实施无线电管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新疆石河子市无线电管理局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单位无下属预算单位，下设3个处室，分别是：综合科、监测站、业务科。</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169.77万元，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169.77万元，使用非财政拨款结余0.00万元，年初结转和结余0.00万元。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169.77万元，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169.68万元，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0.00万元，年末结转和结余0.09万元。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减少14.38万元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下降7.81%</w:t>
      </w:r>
      <w:r>
        <w:rPr>
          <w:rFonts w:hint="eastAsia" w:ascii="仿宋_GB2312" w:eastAsia="仿宋_GB2312"/>
          <w:color w:val="auto"/>
          <w:spacing w:val="0"/>
          <w:sz w:val="32"/>
          <w:szCs w:val="32"/>
          <w:highlight w:val="none"/>
          <w:lang w:eastAsia="zh-CN"/>
        </w:rPr>
        <w:t>，主要原因是：</w:t>
      </w:r>
      <w:r>
        <w:rPr>
          <w:rFonts w:hint="eastAsia" w:ascii="仿宋_GB2312" w:eastAsia="仿宋_GB2312"/>
          <w:b/>
          <w:bCs/>
          <w:color w:val="auto"/>
          <w:spacing w:val="0"/>
          <w:sz w:val="32"/>
          <w:szCs w:val="32"/>
          <w:highlight w:val="none"/>
          <w:lang w:eastAsia="zh-CN"/>
        </w:rPr>
        <w:t>一是</w:t>
      </w:r>
      <w:r>
        <w:rPr>
          <w:rFonts w:hint="eastAsia" w:ascii="仿宋_GB2312" w:eastAsia="仿宋_GB2312"/>
          <w:color w:val="auto"/>
          <w:spacing w:val="0"/>
          <w:sz w:val="32"/>
          <w:szCs w:val="32"/>
          <w:highlight w:val="none"/>
          <w:lang w:eastAsia="zh-CN"/>
        </w:rPr>
        <w:t>本年收入较上年减少 6.19 万元，1.一般公共预算财政拨款收入较上年减少6.16万元, (1)基本支出收入较上年减少5.1</w:t>
      </w:r>
      <w:r>
        <w:rPr>
          <w:rFonts w:hint="eastAsia" w:ascii="仿宋_GB2312" w:eastAsia="仿宋_GB2312"/>
          <w:color w:val="auto"/>
          <w:spacing w:val="0"/>
          <w:sz w:val="32"/>
          <w:szCs w:val="32"/>
          <w:highlight w:val="none"/>
          <w:lang w:val="en-US" w:eastAsia="zh-CN"/>
        </w:rPr>
        <w:t>0</w:t>
      </w:r>
      <w:r>
        <w:rPr>
          <w:rFonts w:hint="eastAsia" w:ascii="仿宋_GB2312" w:eastAsia="仿宋_GB2312"/>
          <w:color w:val="auto"/>
          <w:spacing w:val="0"/>
          <w:sz w:val="32"/>
          <w:szCs w:val="32"/>
          <w:highlight w:val="none"/>
          <w:lang w:eastAsia="zh-CN"/>
        </w:rPr>
        <w:t>万元，其中事业单位离退休收入较上年减少0.21 万元，主要是根据自治区财政厅下发的《关于收回2023年自治区本级机关事业单位离退休人员基本医疗保险缴费部分资金的通知》（新财社</w:t>
      </w:r>
      <w:r>
        <w:rPr>
          <w:rFonts w:hint="eastAsia" w:ascii="仿宋_GB2312" w:hAnsi="仿宋_GB2312" w:eastAsia="仿宋_GB2312" w:cs="仿宋_GB2312"/>
          <w:color w:val="auto"/>
          <w:spacing w:val="0"/>
          <w:sz w:val="32"/>
          <w:szCs w:val="32"/>
          <w:highlight w:val="none"/>
          <w:lang w:eastAsia="zh-CN"/>
        </w:rPr>
        <w:t>〔</w:t>
      </w:r>
      <w:r>
        <w:rPr>
          <w:rFonts w:hint="eastAsia" w:ascii="仿宋_GB2312" w:eastAsia="仿宋_GB2312"/>
          <w:color w:val="auto"/>
          <w:spacing w:val="0"/>
          <w:sz w:val="32"/>
          <w:szCs w:val="32"/>
          <w:highlight w:val="none"/>
          <w:lang w:eastAsia="zh-CN"/>
        </w:rPr>
        <w:t>2023</w:t>
      </w:r>
      <w:r>
        <w:rPr>
          <w:rFonts w:hint="eastAsia" w:ascii="仿宋_GB2312" w:hAnsi="仿宋_GB2312" w:eastAsia="仿宋_GB2312" w:cs="仿宋_GB2312"/>
          <w:color w:val="auto"/>
          <w:spacing w:val="0"/>
          <w:sz w:val="32"/>
          <w:szCs w:val="32"/>
          <w:highlight w:val="none"/>
          <w:lang w:eastAsia="zh-CN"/>
        </w:rPr>
        <w:t>〕</w:t>
      </w:r>
      <w:r>
        <w:rPr>
          <w:rFonts w:hint="eastAsia" w:ascii="仿宋_GB2312" w:eastAsia="仿宋_GB2312"/>
          <w:color w:val="auto"/>
          <w:spacing w:val="0"/>
          <w:sz w:val="32"/>
          <w:szCs w:val="32"/>
          <w:highlight w:val="none"/>
          <w:lang w:eastAsia="zh-CN"/>
        </w:rPr>
        <w:t>168号）要求，自治区财政厅收回2023年度退休人员医疗费；机关事业单位基本养老保险缴费收入较上年增加2.3</w:t>
      </w:r>
      <w:r>
        <w:rPr>
          <w:rFonts w:hint="eastAsia" w:ascii="仿宋_GB2312" w:eastAsia="仿宋_GB2312"/>
          <w:color w:val="auto"/>
          <w:spacing w:val="0"/>
          <w:sz w:val="32"/>
          <w:szCs w:val="32"/>
          <w:highlight w:val="none"/>
          <w:lang w:val="en-US" w:eastAsia="zh-CN"/>
        </w:rPr>
        <w:t>0</w:t>
      </w:r>
      <w:r>
        <w:rPr>
          <w:rFonts w:hint="eastAsia" w:ascii="仿宋_GB2312" w:eastAsia="仿宋_GB2312"/>
          <w:color w:val="auto"/>
          <w:spacing w:val="0"/>
          <w:sz w:val="32"/>
          <w:szCs w:val="32"/>
          <w:highlight w:val="none"/>
          <w:lang w:eastAsia="zh-CN"/>
        </w:rPr>
        <w:t>万元，主要是在职人员基本养老保险缴费增加；机关事业单位职业年金缴费收入较上年减少8.92 万元，主要是本年无职业年金缴费</w:t>
      </w:r>
      <w:r>
        <w:rPr>
          <w:rFonts w:hint="eastAsia" w:ascii="仿宋_GB2312" w:eastAsia="仿宋_GB2312"/>
          <w:color w:val="auto"/>
          <w:spacing w:val="0"/>
          <w:sz w:val="32"/>
          <w:szCs w:val="32"/>
          <w:highlight w:val="none"/>
          <w:lang w:val="en-US" w:eastAsia="zh-CN"/>
        </w:rPr>
        <w:t>预算安排</w:t>
      </w:r>
      <w:r>
        <w:rPr>
          <w:rFonts w:hint="eastAsia" w:ascii="仿宋_GB2312" w:eastAsia="仿宋_GB2312"/>
          <w:color w:val="auto"/>
          <w:spacing w:val="0"/>
          <w:sz w:val="32"/>
          <w:szCs w:val="32"/>
          <w:highlight w:val="none"/>
          <w:lang w:eastAsia="zh-CN"/>
        </w:rPr>
        <w:t>；事业单位医疗收入较上年增加0.28万元，主要是在职人员基本医疗保险缴费增长；公务员医疗收入较上年增加 0.31万元，主要是在职人员公务员医疗保险缴费增长。住房公积金收入较上年增加0.14万元，主要是在职人员住房公积金缴费增加；无线电及信息通信监管收入较上年增加1</w:t>
      </w:r>
      <w:r>
        <w:rPr>
          <w:rFonts w:hint="eastAsia" w:ascii="仿宋_GB2312" w:eastAsia="仿宋_GB2312"/>
          <w:color w:val="auto"/>
          <w:spacing w:val="0"/>
          <w:sz w:val="32"/>
          <w:szCs w:val="32"/>
          <w:highlight w:val="none"/>
          <w:lang w:val="en-US" w:eastAsia="zh-CN"/>
        </w:rPr>
        <w:t>.00</w:t>
      </w:r>
      <w:r>
        <w:rPr>
          <w:rFonts w:hint="eastAsia" w:ascii="仿宋_GB2312" w:eastAsia="仿宋_GB2312"/>
          <w:color w:val="auto"/>
          <w:spacing w:val="0"/>
          <w:sz w:val="32"/>
          <w:szCs w:val="32"/>
          <w:highlight w:val="none"/>
          <w:lang w:eastAsia="zh-CN"/>
        </w:rPr>
        <w:t>万元，主要是人员经费在职人员调资、追加考核奖及基础绩效奖增加1.62万元，日常公用经费减少0.62 万元；(2)项目支出收入较上年减少1.06万元，其中无线电及信息通信监管收入较上年减少1.06 万元，主要是本年安排“中央无线电管理经费”项目减少1.06万元。2.其他收入较上年减少0.03万元，无线电及信息通信监管收入较上年就减少0.03 万元，主要是非财政拨款银行利息收入较上年减少0.03 万元。</w:t>
      </w:r>
      <w:r>
        <w:rPr>
          <w:rFonts w:hint="eastAsia" w:ascii="仿宋_GB2312" w:eastAsia="仿宋_GB2312"/>
          <w:b/>
          <w:bCs/>
          <w:color w:val="auto"/>
          <w:spacing w:val="0"/>
          <w:sz w:val="32"/>
          <w:szCs w:val="32"/>
          <w:highlight w:val="none"/>
          <w:lang w:eastAsia="zh-CN"/>
        </w:rPr>
        <w:t>二是</w:t>
      </w:r>
      <w:r>
        <w:rPr>
          <w:rFonts w:hint="eastAsia" w:ascii="仿宋_GB2312" w:eastAsia="仿宋_GB2312"/>
          <w:color w:val="auto"/>
          <w:spacing w:val="0"/>
          <w:sz w:val="32"/>
          <w:szCs w:val="32"/>
          <w:highlight w:val="none"/>
          <w:lang w:eastAsia="zh-CN"/>
        </w:rPr>
        <w:t>使用非财政拨款结余较上年减少8.19 万元，主要是本年未使用非财政拨款结余资金安排“无线电项目支出”。</w:t>
      </w:r>
      <w:r>
        <w:rPr>
          <w:rFonts w:hint="eastAsia" w:ascii="仿宋_GB2312" w:eastAsia="仿宋_GB2312"/>
          <w:b/>
          <w:bCs/>
          <w:color w:val="auto"/>
          <w:spacing w:val="0"/>
          <w:sz w:val="32"/>
          <w:szCs w:val="32"/>
          <w:highlight w:val="none"/>
          <w:lang w:eastAsia="zh-CN"/>
        </w:rPr>
        <w:t>三是</w:t>
      </w:r>
      <w:r>
        <w:rPr>
          <w:rFonts w:hint="eastAsia" w:ascii="仿宋_GB2312" w:eastAsia="仿宋_GB2312"/>
          <w:color w:val="auto"/>
          <w:spacing w:val="0"/>
          <w:sz w:val="32"/>
          <w:szCs w:val="32"/>
          <w:highlight w:val="none"/>
          <w:lang w:eastAsia="zh-CN"/>
        </w:rPr>
        <w:t>年初结转结余0.00万元，较上年无变化。 综上各项资金有增有减，因此 2023年度收入总计较上年减少。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169.77</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169.68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b/>
          <w:bCs/>
          <w:color w:val="auto"/>
          <w:sz w:val="32"/>
          <w:szCs w:val="32"/>
          <w:highlight w:val="none"/>
          <w:lang w:val="zh-CN" w:eastAsia="zh-CN"/>
        </w:rPr>
        <w:t>本年支出169.68万元，</w:t>
      </w:r>
      <w:r>
        <w:rPr>
          <w:rFonts w:hint="eastAsia" w:ascii="Times New Roman" w:hAnsi="Times New Roman" w:eastAsia="仿宋_GB2312" w:cs="仿宋_GB2312"/>
          <w:color w:val="auto"/>
          <w:sz w:val="32"/>
          <w:szCs w:val="32"/>
          <w:highlight w:val="none"/>
          <w:lang w:val="zh-CN" w:eastAsia="zh-CN"/>
        </w:rPr>
        <w:t>其中：基本支出134.28万元，占79.14%；项目支出35.40万元，占20.86%；上缴上级支出0.00万元，占0.00%；经营支出0.00万元，占0.00%；对附属单位补助支出0.00万元，占0.00%。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169.68</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169.68</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169.68</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169.68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减少6.16万元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下降3.50%，</w:t>
      </w:r>
      <w:r>
        <w:rPr>
          <w:rFonts w:hint="eastAsia" w:ascii="仿宋_GB2312" w:eastAsia="仿宋_GB2312"/>
          <w:color w:val="auto"/>
          <w:spacing w:val="0"/>
          <w:sz w:val="32"/>
          <w:szCs w:val="32"/>
          <w:highlight w:val="none"/>
          <w:lang w:eastAsia="zh-CN"/>
        </w:rPr>
        <w:t>主要原因是：一般公共预算财政拨款收入支出较上年减少6.16万元, (1)基本收入支出较上年减少5.1</w:t>
      </w:r>
      <w:r>
        <w:rPr>
          <w:rFonts w:hint="eastAsia" w:ascii="仿宋_GB2312" w:eastAsia="仿宋_GB2312"/>
          <w:color w:val="auto"/>
          <w:spacing w:val="0"/>
          <w:sz w:val="32"/>
          <w:szCs w:val="32"/>
          <w:highlight w:val="none"/>
          <w:lang w:val="en-US" w:eastAsia="zh-CN"/>
        </w:rPr>
        <w:t>0</w:t>
      </w:r>
      <w:r>
        <w:rPr>
          <w:rFonts w:hint="eastAsia" w:ascii="仿宋_GB2312" w:eastAsia="仿宋_GB2312"/>
          <w:color w:val="auto"/>
          <w:spacing w:val="0"/>
          <w:sz w:val="32"/>
          <w:szCs w:val="32"/>
          <w:highlight w:val="none"/>
          <w:lang w:eastAsia="zh-CN"/>
        </w:rPr>
        <w:t>万元，其中事业单位离退休收入支出较上年减少0.21 万元，主要是根据自治区财政厅下发的《关于收回2023年自治区本级机关事业单位离退休人员基本医疗保险缴费部分资金的通知》（新财社</w:t>
      </w:r>
      <w:r>
        <w:rPr>
          <w:rFonts w:hint="eastAsia" w:ascii="仿宋_GB2312" w:hAnsi="仿宋_GB2312" w:eastAsia="仿宋_GB2312" w:cs="仿宋_GB2312"/>
          <w:color w:val="auto"/>
          <w:spacing w:val="0"/>
          <w:sz w:val="32"/>
          <w:szCs w:val="32"/>
          <w:highlight w:val="none"/>
          <w:lang w:eastAsia="zh-CN"/>
        </w:rPr>
        <w:t>〔</w:t>
      </w:r>
      <w:r>
        <w:rPr>
          <w:rFonts w:hint="eastAsia" w:ascii="仿宋_GB2312" w:eastAsia="仿宋_GB2312"/>
          <w:color w:val="auto"/>
          <w:spacing w:val="0"/>
          <w:sz w:val="32"/>
          <w:szCs w:val="32"/>
          <w:highlight w:val="none"/>
          <w:lang w:eastAsia="zh-CN"/>
        </w:rPr>
        <w:t>2023</w:t>
      </w:r>
      <w:r>
        <w:rPr>
          <w:rFonts w:hint="eastAsia" w:ascii="仿宋_GB2312" w:hAnsi="仿宋_GB2312" w:eastAsia="仿宋_GB2312" w:cs="仿宋_GB2312"/>
          <w:color w:val="auto"/>
          <w:spacing w:val="0"/>
          <w:sz w:val="32"/>
          <w:szCs w:val="32"/>
          <w:highlight w:val="none"/>
          <w:lang w:eastAsia="zh-CN"/>
        </w:rPr>
        <w:t>〕</w:t>
      </w:r>
      <w:r>
        <w:rPr>
          <w:rFonts w:hint="eastAsia" w:ascii="仿宋_GB2312" w:eastAsia="仿宋_GB2312"/>
          <w:color w:val="auto"/>
          <w:spacing w:val="0"/>
          <w:sz w:val="32"/>
          <w:szCs w:val="32"/>
          <w:highlight w:val="none"/>
          <w:lang w:eastAsia="zh-CN"/>
        </w:rPr>
        <w:t>168号）要求，自治区财政厅收回2023年度退休人员医疗费；机关事业单位基本养老保险缴费收入支出较上年增加2.3</w:t>
      </w:r>
      <w:r>
        <w:rPr>
          <w:rFonts w:hint="eastAsia" w:ascii="仿宋_GB2312" w:eastAsia="仿宋_GB2312"/>
          <w:color w:val="auto"/>
          <w:spacing w:val="0"/>
          <w:sz w:val="32"/>
          <w:szCs w:val="32"/>
          <w:highlight w:val="none"/>
          <w:lang w:val="en-US" w:eastAsia="zh-CN"/>
        </w:rPr>
        <w:t>0</w:t>
      </w:r>
      <w:r>
        <w:rPr>
          <w:rFonts w:hint="eastAsia" w:ascii="仿宋_GB2312" w:eastAsia="仿宋_GB2312"/>
          <w:color w:val="auto"/>
          <w:spacing w:val="0"/>
          <w:sz w:val="32"/>
          <w:szCs w:val="32"/>
          <w:highlight w:val="none"/>
          <w:lang w:eastAsia="zh-CN"/>
        </w:rPr>
        <w:t>万元，主要是在职人员基本养老保险缴费增加；机关事业单位职业年金缴费收入支出较上年减少8.92 万元，主要是本年无职业年金缴费</w:t>
      </w:r>
      <w:r>
        <w:rPr>
          <w:rFonts w:hint="eastAsia" w:ascii="仿宋_GB2312" w:eastAsia="仿宋_GB2312"/>
          <w:color w:val="auto"/>
          <w:spacing w:val="0"/>
          <w:sz w:val="32"/>
          <w:szCs w:val="32"/>
          <w:highlight w:val="none"/>
          <w:lang w:val="en-US" w:eastAsia="zh-CN"/>
        </w:rPr>
        <w:t>预算安排</w:t>
      </w:r>
      <w:r>
        <w:rPr>
          <w:rFonts w:hint="eastAsia" w:ascii="仿宋_GB2312" w:eastAsia="仿宋_GB2312"/>
          <w:color w:val="auto"/>
          <w:spacing w:val="0"/>
          <w:sz w:val="32"/>
          <w:szCs w:val="32"/>
          <w:highlight w:val="none"/>
          <w:lang w:eastAsia="zh-CN"/>
        </w:rPr>
        <w:t>；事业单位医疗收入支出较上年增加0.28万元，主要是在职人员基本医疗保险缴费增长；公务员医疗收入支出较上年增加0.31万元，主要是在职人员公务员医疗保险缴费增长；住房公积金收入支出较上年增加0.14万元，主要是在职人员住房公积金缴费增加；无线电及信息通信监管收入支出较上年增加1</w:t>
      </w:r>
      <w:r>
        <w:rPr>
          <w:rFonts w:hint="eastAsia" w:ascii="仿宋_GB2312" w:eastAsia="仿宋_GB2312"/>
          <w:color w:val="auto"/>
          <w:spacing w:val="0"/>
          <w:sz w:val="32"/>
          <w:szCs w:val="32"/>
          <w:highlight w:val="none"/>
          <w:lang w:val="en-US" w:eastAsia="zh-CN"/>
        </w:rPr>
        <w:t>.00</w:t>
      </w:r>
      <w:r>
        <w:rPr>
          <w:rFonts w:hint="eastAsia" w:ascii="仿宋_GB2312" w:eastAsia="仿宋_GB2312"/>
          <w:color w:val="auto"/>
          <w:spacing w:val="0"/>
          <w:sz w:val="32"/>
          <w:szCs w:val="32"/>
          <w:highlight w:val="none"/>
          <w:lang w:eastAsia="zh-CN"/>
        </w:rPr>
        <w:t>万元，主要是人员经费在职人员调资增加1.62 万元，日常公用经费减少 0.62 万元。(2)项目收入支出较上年减少1.06万元，其中无线电 及信息通信监管收入支出较上年减少1.06 万元，主要是本年安排“中央无线电管理经费”项目减少 1.06万元。综上各项资金有增有减，因此 2023年度收入总计较上年减少。</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178.04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169.68</w:t>
      </w:r>
      <w:r>
        <w:rPr>
          <w:rFonts w:hint="eastAsia" w:ascii="仿宋_GB2312" w:eastAsia="仿宋_GB2312"/>
          <w:color w:val="auto"/>
          <w:spacing w:val="0"/>
          <w:sz w:val="32"/>
          <w:szCs w:val="32"/>
          <w:highlight w:val="none"/>
          <w:lang w:eastAsia="zh-CN"/>
        </w:rPr>
        <w:t>万元，预决算差异率-4.70%，主要原因是：</w:t>
      </w:r>
      <w:r>
        <w:rPr>
          <w:rFonts w:hint="eastAsia" w:ascii="仿宋_GB2312" w:eastAsia="仿宋_GB2312"/>
          <w:color w:val="auto"/>
          <w:spacing w:val="0"/>
          <w:sz w:val="32"/>
          <w:szCs w:val="32"/>
          <w:highlight w:val="none"/>
          <w:lang w:val="en-US" w:eastAsia="zh-CN"/>
        </w:rPr>
        <w:t>1.</w:t>
      </w:r>
      <w:r>
        <w:rPr>
          <w:rFonts w:hint="eastAsia" w:ascii="仿宋_GB2312" w:eastAsia="仿宋_GB2312"/>
          <w:color w:val="auto"/>
          <w:spacing w:val="0"/>
          <w:sz w:val="32"/>
          <w:szCs w:val="32"/>
          <w:highlight w:val="none"/>
          <w:lang w:eastAsia="zh-CN"/>
        </w:rPr>
        <w:t>自治区财政厅收回2023年度退休人员医疗费；</w:t>
      </w:r>
      <w:r>
        <w:rPr>
          <w:rFonts w:hint="eastAsia" w:ascii="仿宋_GB2312" w:eastAsia="仿宋_GB2312"/>
          <w:color w:val="auto"/>
          <w:spacing w:val="0"/>
          <w:sz w:val="32"/>
          <w:szCs w:val="32"/>
          <w:highlight w:val="none"/>
          <w:lang w:val="en-US" w:eastAsia="zh-CN"/>
        </w:rPr>
        <w:t>2.在职转退休1人，工资福利支出与日常公用经费减少。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2023年度一般公共预算财政拨款支出169.68万元，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减少6.16万元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下降3.50%，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一般公共预算财政拨款支出较上年减少6.16万元, (1)基本支出较上年减少5.1</w:t>
      </w:r>
      <w:r>
        <w:rPr>
          <w:rFonts w:hint="eastAsia" w:ascii="仿宋_GB2312" w:eastAsia="仿宋_GB2312"/>
          <w:color w:val="auto"/>
          <w:spacing w:val="0"/>
          <w:sz w:val="32"/>
          <w:szCs w:val="32"/>
          <w:highlight w:val="none"/>
          <w:lang w:val="en-US" w:eastAsia="zh-CN"/>
        </w:rPr>
        <w:t>0</w:t>
      </w:r>
      <w:r>
        <w:rPr>
          <w:rFonts w:hint="eastAsia" w:ascii="仿宋_GB2312" w:eastAsia="仿宋_GB2312"/>
          <w:color w:val="auto"/>
          <w:spacing w:val="0"/>
          <w:sz w:val="32"/>
          <w:szCs w:val="32"/>
          <w:highlight w:val="none"/>
          <w:lang w:eastAsia="zh-CN"/>
        </w:rPr>
        <w:t>万元，其中事业单位离退休支出较上年减少0.21 万元，主要是根据自治区财政厅下发的《关于收回</w:t>
      </w:r>
      <w:r>
        <w:rPr>
          <w:rFonts w:hint="eastAsia" w:ascii="仿宋_GB2312" w:eastAsia="仿宋_GB2312"/>
          <w:color w:val="auto"/>
          <w:spacing w:val="0"/>
          <w:sz w:val="32"/>
          <w:szCs w:val="32"/>
          <w:highlight w:val="none"/>
          <w:lang w:val="en-US" w:eastAsia="zh-CN"/>
        </w:rPr>
        <w:t>2023年自治区本级机关事业单位离退休人员基本医疗保险缴费部分资金的通知</w:t>
      </w:r>
      <w:r>
        <w:rPr>
          <w:rFonts w:hint="eastAsia" w:ascii="仿宋_GB2312" w:eastAsia="仿宋_GB2312"/>
          <w:color w:val="auto"/>
          <w:spacing w:val="0"/>
          <w:sz w:val="32"/>
          <w:szCs w:val="32"/>
          <w:highlight w:val="none"/>
          <w:lang w:eastAsia="zh-CN"/>
        </w:rPr>
        <w:t>》（新财社</w:t>
      </w:r>
      <w:r>
        <w:rPr>
          <w:rFonts w:hint="eastAsia" w:ascii="仿宋_GB2312" w:hAnsi="仿宋_GB2312" w:eastAsia="仿宋_GB2312" w:cs="仿宋_GB2312"/>
          <w:color w:val="auto"/>
          <w:spacing w:val="0"/>
          <w:sz w:val="32"/>
          <w:szCs w:val="32"/>
          <w:highlight w:val="none"/>
          <w:lang w:eastAsia="zh-CN"/>
        </w:rPr>
        <w:t>〔</w:t>
      </w:r>
      <w:r>
        <w:rPr>
          <w:rFonts w:hint="eastAsia" w:ascii="仿宋_GB2312" w:eastAsia="仿宋_GB2312"/>
          <w:color w:val="auto"/>
          <w:spacing w:val="0"/>
          <w:sz w:val="32"/>
          <w:szCs w:val="32"/>
          <w:highlight w:val="none"/>
          <w:lang w:eastAsia="zh-CN"/>
        </w:rPr>
        <w:t>2023</w:t>
      </w:r>
      <w:r>
        <w:rPr>
          <w:rFonts w:hint="eastAsia" w:ascii="仿宋_GB2312" w:hAnsi="仿宋_GB2312" w:eastAsia="仿宋_GB2312" w:cs="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168号</w:t>
      </w:r>
      <w:r>
        <w:rPr>
          <w:rFonts w:hint="eastAsia" w:ascii="仿宋_GB2312" w:eastAsia="仿宋_GB2312"/>
          <w:color w:val="auto"/>
          <w:spacing w:val="0"/>
          <w:sz w:val="32"/>
          <w:szCs w:val="32"/>
          <w:highlight w:val="none"/>
          <w:lang w:eastAsia="zh-CN"/>
        </w:rPr>
        <w:t>）要求，自治区财政厅收回2023年度退休人员医疗费；机关事业单位基本养老保险缴费支出较上年增加 2.3</w:t>
      </w:r>
      <w:r>
        <w:rPr>
          <w:rFonts w:hint="eastAsia" w:ascii="仿宋_GB2312" w:eastAsia="仿宋_GB2312"/>
          <w:color w:val="auto"/>
          <w:spacing w:val="0"/>
          <w:sz w:val="32"/>
          <w:szCs w:val="32"/>
          <w:highlight w:val="none"/>
          <w:lang w:val="en-US" w:eastAsia="zh-CN"/>
        </w:rPr>
        <w:t>0</w:t>
      </w:r>
      <w:r>
        <w:rPr>
          <w:rFonts w:hint="eastAsia" w:ascii="仿宋_GB2312" w:eastAsia="仿宋_GB2312"/>
          <w:color w:val="auto"/>
          <w:spacing w:val="0"/>
          <w:sz w:val="32"/>
          <w:szCs w:val="32"/>
          <w:highlight w:val="none"/>
          <w:lang w:eastAsia="zh-CN"/>
        </w:rPr>
        <w:t>万元，主要是在职人员基本养老保险缴费增加；机关事业单位职业年金缴费支出较上年减少8.92 万元，主要是本年无职业年金缴费</w:t>
      </w:r>
      <w:r>
        <w:rPr>
          <w:rFonts w:hint="eastAsia" w:ascii="仿宋_GB2312" w:eastAsia="仿宋_GB2312"/>
          <w:color w:val="auto"/>
          <w:spacing w:val="0"/>
          <w:sz w:val="32"/>
          <w:szCs w:val="32"/>
          <w:highlight w:val="none"/>
          <w:lang w:val="en-US" w:eastAsia="zh-CN"/>
        </w:rPr>
        <w:t>预算安排</w:t>
      </w:r>
      <w:r>
        <w:rPr>
          <w:rFonts w:hint="eastAsia" w:ascii="仿宋_GB2312" w:eastAsia="仿宋_GB2312"/>
          <w:color w:val="auto"/>
          <w:spacing w:val="0"/>
          <w:sz w:val="32"/>
          <w:szCs w:val="32"/>
          <w:highlight w:val="none"/>
          <w:lang w:eastAsia="zh-CN"/>
        </w:rPr>
        <w:t>；事业单位医疗支出较上年增加0.28万元，主要是在职人员基本医疗保险缴费增长；公务员医疗支出较上年增加 0.31万元，主要是在职人员公务员医疗保险缴费增长；住房公积金支出较上年增加0.14万元</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主要是在职人员住房公积金缴费增加；无线电及信息通信监管支出较上年增加1</w:t>
      </w:r>
      <w:r>
        <w:rPr>
          <w:rFonts w:hint="eastAsia" w:ascii="仿宋_GB2312" w:eastAsia="仿宋_GB2312"/>
          <w:color w:val="auto"/>
          <w:spacing w:val="0"/>
          <w:sz w:val="32"/>
          <w:szCs w:val="32"/>
          <w:highlight w:val="none"/>
          <w:lang w:val="en-US" w:eastAsia="zh-CN"/>
        </w:rPr>
        <w:t>.00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主要是人员经费在职人员调资增加1.62万元，日常公用经费支出减少 0.62万元。(2)项目支出较上年减少1.06万元，其中无线电及信息通信监管支出较上年减少1.06万元，主要是本年安排“中央无线电管理经费”项目减少1.06万元。综上各项资金有增有减，因此2023年度收入总计较上年减少。</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178.04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169.68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-4.70%</w:t>
      </w:r>
      <w:r>
        <w:rPr>
          <w:rFonts w:hint="eastAsia" w:ascii="仿宋_GB2312" w:eastAsia="仿宋_GB2312"/>
          <w:color w:val="auto"/>
          <w:spacing w:val="0"/>
          <w:sz w:val="32"/>
          <w:szCs w:val="32"/>
          <w:highlight w:val="none"/>
          <w:lang w:eastAsia="zh-CN"/>
        </w:rPr>
        <w:t>，主要原因是：1.自治区财政厅收回2023年度退休人员医疗费；2.在职转退休1人，工资福利支出与日常公用经费减少。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黑体" w:hAnsi="黑体" w:eastAsia="黑体"/>
          <w:color w:val="auto"/>
          <w:sz w:val="32"/>
          <w:szCs w:val="32"/>
          <w:highlight w:val="none"/>
          <w:lang w:eastAsia="zh-CN"/>
        </w:rPr>
        <w:t>（</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15.47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9.12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8.62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5.08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资源勘探信息等支出（类）</w:t>
      </w:r>
      <w:r>
        <w:rPr>
          <w:rFonts w:hint="eastAsia" w:ascii="仿宋_GB2312" w:hAnsi="Times New Roman" w:eastAsia="仿宋_GB2312" w:cs="Times New Roman"/>
          <w:color w:val="auto"/>
          <w:spacing w:val="0"/>
          <w:kern w:val="2"/>
          <w:sz w:val="32"/>
          <w:szCs w:val="32"/>
          <w:highlight w:val="none"/>
          <w:lang w:val="zh-CN" w:eastAsia="zh-CN" w:bidi="ar-SA"/>
        </w:rPr>
        <w:t>136.25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80.30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9.35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5.51</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1.卫生健康支出（类）行政事业单位医疗（款）事业单位医疗（项）:支出决算数为5.84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17.0</w:t>
      </w: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在职人员调资增加，使得事业单位医疗缴费增长。</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2.卫生健康支出（类）行政事业单位医疗（款）公务员医疗补助（项）:支出决算数为2.78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28.</w:t>
      </w:r>
      <w:r>
        <w:rPr>
          <w:rFonts w:hint="eastAsia" w:eastAsia="仿宋_GB2312" w:cs="Times New Roman"/>
          <w:color w:val="auto"/>
          <w:kern w:val="2"/>
          <w:sz w:val="32"/>
          <w:szCs w:val="32"/>
          <w:highlight w:val="none"/>
          <w:lang w:val="en-US" w:eastAsia="zh-CN" w:bidi="ar-SA"/>
        </w:rPr>
        <w:t>35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在职转退休1人，行政事业单位医疗（款）公务员医疗补助支出缴费减少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3.资源勘探工业信息等支出（类）工业和信息产业监管（款）无线电及信息通信监管（项）:支出决算数为136.25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6.36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4.4</w:t>
      </w: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b/>
          <w:bCs/>
          <w:color w:val="auto"/>
          <w:kern w:val="2"/>
          <w:sz w:val="32"/>
          <w:szCs w:val="32"/>
          <w:highlight w:val="none"/>
          <w:lang w:val="en-US" w:eastAsia="zh-CN" w:bidi="ar-SA"/>
        </w:rPr>
        <w:t>一是</w:t>
      </w:r>
      <w:r>
        <w:rPr>
          <w:rFonts w:hint="eastAsia" w:ascii="Times New Roman" w:hAnsi="Times New Roman" w:eastAsia="仿宋_GB2312" w:cs="Times New Roman"/>
          <w:color w:val="auto"/>
          <w:kern w:val="2"/>
          <w:sz w:val="32"/>
          <w:szCs w:val="32"/>
          <w:highlight w:val="none"/>
          <w:lang w:val="en-US" w:eastAsia="zh-CN" w:bidi="ar-SA"/>
        </w:rPr>
        <w:t>无线电及信息通信监管支出较上年减少</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5.30</w:t>
      </w:r>
      <w:r>
        <w:rPr>
          <w:rFonts w:hint="eastAsia" w:ascii="Times New Roman" w:hAnsi="Times New Roman" w:eastAsia="仿宋_GB2312" w:cs="Times New Roman"/>
          <w:color w:val="auto"/>
          <w:kern w:val="2"/>
          <w:sz w:val="32"/>
          <w:szCs w:val="32"/>
          <w:highlight w:val="none"/>
          <w:lang w:val="en-US" w:eastAsia="zh-CN" w:bidi="ar-SA"/>
        </w:rPr>
        <w:t>万元，主要是</w:t>
      </w:r>
      <w:r>
        <w:rPr>
          <w:rFonts w:hint="eastAsia" w:eastAsia="仿宋_GB2312" w:cs="Times New Roman"/>
          <w:color w:val="auto"/>
          <w:kern w:val="2"/>
          <w:sz w:val="32"/>
          <w:szCs w:val="32"/>
          <w:highlight w:val="none"/>
          <w:lang w:val="en-US" w:eastAsia="zh-CN" w:bidi="ar-SA"/>
        </w:rPr>
        <w:t>在职转退休1人，</w:t>
      </w:r>
      <w:r>
        <w:rPr>
          <w:rFonts w:hint="eastAsia" w:ascii="Times New Roman" w:hAnsi="Times New Roman" w:eastAsia="仿宋_GB2312" w:cs="Times New Roman"/>
          <w:color w:val="auto"/>
          <w:kern w:val="2"/>
          <w:sz w:val="32"/>
          <w:szCs w:val="32"/>
          <w:highlight w:val="none"/>
          <w:lang w:val="en-US" w:eastAsia="zh-CN" w:bidi="ar-SA"/>
        </w:rPr>
        <w:t>人员经费</w:t>
      </w:r>
      <w:r>
        <w:rPr>
          <w:rFonts w:hint="eastAsia" w:eastAsia="仿宋_GB2312" w:cs="Times New Roman"/>
          <w:color w:val="auto"/>
          <w:kern w:val="2"/>
          <w:sz w:val="32"/>
          <w:szCs w:val="32"/>
          <w:highlight w:val="none"/>
          <w:lang w:val="en-US" w:eastAsia="zh-CN" w:bidi="ar-SA"/>
        </w:rPr>
        <w:t>减少2.40</w:t>
      </w:r>
      <w:r>
        <w:rPr>
          <w:rFonts w:hint="eastAsia" w:ascii="Times New Roman" w:hAnsi="Times New Roman" w:eastAsia="仿宋_GB2312" w:cs="Times New Roman"/>
          <w:color w:val="auto"/>
          <w:kern w:val="2"/>
          <w:sz w:val="32"/>
          <w:szCs w:val="32"/>
          <w:highlight w:val="none"/>
          <w:lang w:val="en-US" w:eastAsia="zh-CN" w:bidi="ar-SA"/>
        </w:rPr>
        <w:t>万元，日常公用经费减少</w:t>
      </w:r>
      <w:r>
        <w:rPr>
          <w:rFonts w:hint="eastAsia" w:eastAsia="仿宋_GB2312" w:cs="Times New Roman"/>
          <w:color w:val="auto"/>
          <w:kern w:val="2"/>
          <w:sz w:val="32"/>
          <w:szCs w:val="32"/>
          <w:highlight w:val="none"/>
          <w:lang w:val="en-US" w:eastAsia="zh-CN" w:bidi="ar-SA"/>
        </w:rPr>
        <w:t>0.62</w:t>
      </w:r>
      <w:r>
        <w:rPr>
          <w:rFonts w:hint="eastAsia" w:ascii="Times New Roman" w:hAnsi="Times New Roman" w:eastAsia="仿宋_GB2312" w:cs="Times New Roman"/>
          <w:color w:val="auto"/>
          <w:kern w:val="2"/>
          <w:sz w:val="32"/>
          <w:szCs w:val="32"/>
          <w:highlight w:val="none"/>
          <w:lang w:val="en-US" w:eastAsia="zh-CN" w:bidi="ar-SA"/>
        </w:rPr>
        <w:t xml:space="preserve"> 万元；</w:t>
      </w:r>
      <w:r>
        <w:rPr>
          <w:rFonts w:hint="eastAsia" w:eastAsia="仿宋_GB2312" w:cs="Times New Roman"/>
          <w:color w:val="auto"/>
          <w:kern w:val="2"/>
          <w:sz w:val="32"/>
          <w:szCs w:val="32"/>
          <w:highlight w:val="none"/>
          <w:lang w:val="en-US" w:eastAsia="zh-CN" w:bidi="ar-SA"/>
        </w:rPr>
        <w:t>住房公积金</w:t>
      </w:r>
      <w:r>
        <w:rPr>
          <w:rFonts w:hint="eastAsia" w:ascii="Times New Roman" w:hAnsi="Times New Roman" w:eastAsia="仿宋_GB2312" w:cs="Times New Roman"/>
          <w:color w:val="auto"/>
          <w:kern w:val="2"/>
          <w:sz w:val="32"/>
          <w:szCs w:val="32"/>
          <w:highlight w:val="none"/>
          <w:lang w:val="en-US" w:eastAsia="zh-CN" w:bidi="ar-SA"/>
        </w:rPr>
        <w:t>较上年减少2.05 万元，主要是 2023 年将住房公积金调至其住房公积金科目；其他对个人家庭补助较上年减少0.23 万元，主要是 2023 年将其他对个人家庭补助支出减少。</w:t>
      </w:r>
      <w:r>
        <w:rPr>
          <w:rFonts w:hint="eastAsia" w:ascii="Times New Roman" w:hAnsi="Times New Roman" w:eastAsia="仿宋_GB2312" w:cs="Times New Roman"/>
          <w:color w:val="auto"/>
          <w:kern w:val="2"/>
          <w:sz w:val="32"/>
          <w:szCs w:val="32"/>
          <w:highlight w:val="none"/>
          <w:lang w:val="zh-CN" w:eastAsia="zh-CN" w:bidi="ar-SA"/>
        </w:rPr>
        <w:t xml:space="preserve">二是项目无线电及信息通信监管支出较上年减少 </w:t>
      </w:r>
      <w:r>
        <w:rPr>
          <w:rFonts w:hint="eastAsia" w:ascii="Times New Roman" w:hAnsi="Times New Roman" w:eastAsia="仿宋_GB2312" w:cs="Times New Roman"/>
          <w:color w:val="auto"/>
          <w:kern w:val="2"/>
          <w:sz w:val="32"/>
          <w:szCs w:val="32"/>
          <w:highlight w:val="none"/>
          <w:lang w:val="en-US" w:eastAsia="zh-CN" w:bidi="ar-SA"/>
        </w:rPr>
        <w:t>1.06</w:t>
      </w:r>
      <w:r>
        <w:rPr>
          <w:rFonts w:hint="eastAsia" w:ascii="Times New Roman" w:hAnsi="Times New Roman" w:eastAsia="仿宋_GB2312" w:cs="Times New Roman"/>
          <w:color w:val="auto"/>
          <w:kern w:val="2"/>
          <w:sz w:val="32"/>
          <w:szCs w:val="32"/>
          <w:highlight w:val="none"/>
          <w:lang w:val="zh-CN" w:eastAsia="zh-CN" w:bidi="ar-SA"/>
        </w:rPr>
        <w:t xml:space="preserve"> 万元，主要是中央无线电管理经费”项目安排减少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4.住房保障支出（类）住房改革支出（款）住房公积金（项）:支出决算数为9.35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34.7</w:t>
      </w: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%，主要原因是在职人员调资增加，</w:t>
      </w:r>
      <w:r>
        <w:rPr>
          <w:rFonts w:hint="eastAsia" w:eastAsia="仿宋_GB2312" w:cs="Times New Roman"/>
          <w:color w:val="auto"/>
          <w:kern w:val="2"/>
          <w:sz w:val="32"/>
          <w:szCs w:val="32"/>
          <w:highlight w:val="none"/>
          <w:lang w:val="en-US" w:eastAsia="zh-CN" w:bidi="ar-SA"/>
        </w:rPr>
        <w:t>住房公积金</w:t>
      </w:r>
      <w:r>
        <w:rPr>
          <w:rFonts w:hint="eastAsia" w:ascii="Times New Roman" w:hAnsi="Times New Roman" w:eastAsia="仿宋_GB2312" w:cs="Times New Roman"/>
          <w:color w:val="auto"/>
          <w:kern w:val="2"/>
          <w:sz w:val="32"/>
          <w:szCs w:val="32"/>
          <w:highlight w:val="none"/>
          <w:lang w:val="en-US" w:eastAsia="zh-CN" w:bidi="ar-SA"/>
        </w:rPr>
        <w:t>缴费</w:t>
      </w:r>
      <w:r>
        <w:rPr>
          <w:rFonts w:hint="eastAsia" w:eastAsia="仿宋_GB2312" w:cs="Times New Roman"/>
          <w:color w:val="auto"/>
          <w:kern w:val="2"/>
          <w:sz w:val="32"/>
          <w:szCs w:val="32"/>
          <w:highlight w:val="none"/>
          <w:lang w:val="en-US" w:eastAsia="zh-CN" w:bidi="ar-SA"/>
        </w:rPr>
        <w:t>支出</w:t>
      </w:r>
      <w:r>
        <w:rPr>
          <w:rFonts w:hint="eastAsia" w:ascii="Times New Roman" w:hAnsi="Times New Roman" w:eastAsia="仿宋_GB2312" w:cs="Times New Roman"/>
          <w:color w:val="auto"/>
          <w:kern w:val="2"/>
          <w:sz w:val="32"/>
          <w:szCs w:val="32"/>
          <w:highlight w:val="none"/>
          <w:lang w:val="en-US" w:eastAsia="zh-CN" w:bidi="ar-SA"/>
        </w:rPr>
        <w:t>增</w:t>
      </w:r>
      <w:r>
        <w:rPr>
          <w:rFonts w:hint="eastAsia" w:eastAsia="仿宋_GB2312" w:cs="Times New Roman"/>
          <w:color w:val="auto"/>
          <w:kern w:val="2"/>
          <w:sz w:val="32"/>
          <w:szCs w:val="32"/>
          <w:highlight w:val="none"/>
          <w:lang w:val="en-US" w:eastAsia="zh-CN" w:bidi="ar-SA"/>
        </w:rPr>
        <w:t>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5.社会保障和就业支出（类）行政事业单位养老支出（款）事业单位离退休（项）:支出决算数为3.92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w:t>
      </w: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1%，主要原因是：</w:t>
      </w:r>
      <w:r>
        <w:rPr>
          <w:rFonts w:hint="eastAsia" w:eastAsia="仿宋_GB2312" w:cs="Times New Roman"/>
          <w:color w:val="auto"/>
          <w:kern w:val="2"/>
          <w:sz w:val="32"/>
          <w:szCs w:val="32"/>
          <w:highlight w:val="none"/>
          <w:lang w:val="zh-CN" w:eastAsia="zh-CN" w:bidi="ar-SA"/>
        </w:rPr>
        <w:t>在职转退休</w:t>
      </w:r>
      <w:r>
        <w:rPr>
          <w:rFonts w:hint="eastAsia" w:eastAsia="仿宋_GB2312" w:cs="Times New Roman"/>
          <w:color w:val="auto"/>
          <w:kern w:val="2"/>
          <w:sz w:val="32"/>
          <w:szCs w:val="32"/>
          <w:highlight w:val="none"/>
          <w:lang w:val="en-US" w:eastAsia="zh-CN" w:bidi="ar-SA"/>
        </w:rPr>
        <w:t>1人，事业单位离退休支出增加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6.社会保障和就业支出（类）行政事业单位养老支出（款）机关事业单位基本养老保险缴费支出（项）:支出决算数为11.55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w:t>
      </w:r>
      <w:r>
        <w:rPr>
          <w:rFonts w:hint="eastAsia" w:eastAsia="仿宋_GB2312" w:cs="Times New Roman"/>
          <w:color w:val="auto"/>
          <w:kern w:val="2"/>
          <w:sz w:val="32"/>
          <w:szCs w:val="32"/>
          <w:highlight w:val="none"/>
          <w:lang w:val="en-US" w:eastAsia="zh-CN" w:bidi="ar-SA"/>
        </w:rPr>
        <w:t>86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在职人员调资增加，机关事业单位基本养老保险缴费支出增</w:t>
      </w:r>
      <w:r>
        <w:rPr>
          <w:rFonts w:hint="eastAsia" w:eastAsia="仿宋_GB2312" w:cs="Times New Roman"/>
          <w:color w:val="auto"/>
          <w:kern w:val="2"/>
          <w:sz w:val="32"/>
          <w:szCs w:val="32"/>
          <w:highlight w:val="none"/>
          <w:lang w:val="zh-CN" w:eastAsia="zh-CN" w:bidi="ar-SA"/>
        </w:rPr>
        <w:t>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100%，主要原因是：机关事业单位职业年金</w:t>
      </w:r>
      <w:bookmarkStart w:id="48" w:name="_GoBack"/>
      <w:bookmarkEnd w:id="48"/>
      <w:r>
        <w:rPr>
          <w:rFonts w:hint="eastAsia" w:ascii="Times New Roman" w:hAnsi="Times New Roman" w:eastAsia="仿宋_GB2312" w:cs="Times New Roman"/>
          <w:color w:val="auto"/>
          <w:kern w:val="2"/>
          <w:sz w:val="32"/>
          <w:szCs w:val="32"/>
          <w:highlight w:val="none"/>
          <w:lang w:val="en-US" w:eastAsia="zh-CN" w:bidi="ar-SA"/>
        </w:rPr>
        <w:t>缴费</w:t>
      </w:r>
      <w:r>
        <w:rPr>
          <w:rFonts w:hint="eastAsia" w:eastAsia="仿宋_GB2312" w:cs="Times New Roman"/>
          <w:color w:val="auto"/>
          <w:kern w:val="2"/>
          <w:sz w:val="32"/>
          <w:szCs w:val="32"/>
          <w:highlight w:val="none"/>
          <w:lang w:val="en-US" w:eastAsia="zh-CN" w:bidi="ar-SA"/>
        </w:rPr>
        <w:t>2023年无预算安排</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134.28</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115.94</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基本工资、津贴补贴、奖金、绩效工资、机关事业单位基本养老保险缴费、职工基本医疗保险缴费、公务员医疗补助缴费、其他社会保障缴费、住房公积金、退休费、其他对个人和家庭的补助。</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18.34</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办公费、水费、邮电费、差旅费、工会经费、福利费、公务用车运行维护费、其他交通费用、其他商品和服务支出。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b/>
          <w:bCs/>
          <w:color w:val="auto"/>
          <w:spacing w:val="0"/>
          <w:sz w:val="32"/>
          <w:szCs w:val="32"/>
          <w:highlight w:val="none"/>
          <w:lang w:val="zh-CN" w:eastAsia="zh-CN"/>
        </w:rPr>
        <w:t>2023年度</w:t>
      </w:r>
      <w:r>
        <w:rPr>
          <w:rFonts w:hint="eastAsia" w:ascii="仿宋_GB2312" w:eastAsia="仿宋_GB2312"/>
          <w:b/>
          <w:bCs/>
          <w:color w:val="auto"/>
          <w:spacing w:val="0"/>
          <w:sz w:val="32"/>
          <w:szCs w:val="32"/>
          <w:highlight w:val="none"/>
          <w:lang w:val="en-US" w:eastAsia="zh-CN"/>
        </w:rPr>
        <w:t>财政拨款</w:t>
      </w:r>
      <w:r>
        <w:rPr>
          <w:rFonts w:hint="eastAsia" w:ascii="仿宋_GB2312" w:eastAsia="仿宋_GB2312"/>
          <w:b/>
          <w:bCs/>
          <w:color w:val="auto"/>
          <w:spacing w:val="0"/>
          <w:sz w:val="32"/>
          <w:szCs w:val="32"/>
          <w:highlight w:val="none"/>
          <w:lang w:val="zh-CN" w:eastAsia="zh-CN"/>
        </w:rPr>
        <w:t>“三公”经费支出6.93万元，</w:t>
      </w:r>
      <w:r>
        <w:rPr>
          <w:rFonts w:hint="eastAsia" w:ascii="仿宋_GB2312" w:eastAsia="仿宋_GB2312"/>
          <w:color w:val="auto"/>
          <w:spacing w:val="0"/>
          <w:sz w:val="32"/>
          <w:szCs w:val="32"/>
          <w:highlight w:val="none"/>
          <w:lang w:val="en-US" w:eastAsia="zh-CN"/>
        </w:rPr>
        <w:t>比上年</w:t>
      </w:r>
      <w:r>
        <w:rPr>
          <w:rFonts w:hint="eastAsia" w:ascii="仿宋_GB2312" w:eastAsia="仿宋_GB2312"/>
          <w:color w:val="auto"/>
          <w:spacing w:val="0"/>
          <w:sz w:val="32"/>
          <w:szCs w:val="32"/>
          <w:highlight w:val="none"/>
          <w:lang w:val="zh-CN" w:eastAsia="zh-CN"/>
        </w:rPr>
        <w:t>减少0.0</w:t>
      </w:r>
      <w:r>
        <w:rPr>
          <w:rFonts w:hint="eastAsia" w:ascii="仿宋_GB2312" w:eastAsia="仿宋_GB2312"/>
          <w:color w:val="auto"/>
          <w:spacing w:val="0"/>
          <w:sz w:val="32"/>
          <w:szCs w:val="32"/>
          <w:highlight w:val="none"/>
          <w:lang w:val="en-US" w:eastAsia="zh-CN"/>
        </w:rPr>
        <w:t>1</w:t>
      </w:r>
      <w:r>
        <w:rPr>
          <w:rFonts w:hint="eastAsia" w:ascii="仿宋_GB2312" w:eastAsia="仿宋_GB2312"/>
          <w:color w:val="auto"/>
          <w:spacing w:val="0"/>
          <w:sz w:val="32"/>
          <w:szCs w:val="32"/>
          <w:highlight w:val="none"/>
          <w:lang w:val="zh-CN" w:eastAsia="zh-CN"/>
        </w:rPr>
        <w:t>万元，下降0.</w:t>
      </w:r>
      <w:r>
        <w:rPr>
          <w:rFonts w:hint="eastAsia" w:ascii="仿宋_GB2312" w:eastAsia="仿宋_GB2312"/>
          <w:color w:val="auto"/>
          <w:spacing w:val="0"/>
          <w:sz w:val="32"/>
          <w:szCs w:val="32"/>
          <w:highlight w:val="none"/>
          <w:lang w:val="en-US" w:eastAsia="zh-CN"/>
        </w:rPr>
        <w:t>1</w:t>
      </w:r>
      <w:r>
        <w:rPr>
          <w:rFonts w:hint="eastAsia" w:ascii="仿宋_GB2312" w:eastAsia="仿宋_GB2312"/>
          <w:color w:val="auto"/>
          <w:spacing w:val="0"/>
          <w:sz w:val="32"/>
          <w:szCs w:val="32"/>
          <w:highlight w:val="none"/>
          <w:lang w:val="zh-CN" w:eastAsia="zh-CN"/>
        </w:rPr>
        <w:t>4%，主要原因是：严格执行中央八项规定及相关细则，做到“三公”经费只减不增，无预算不支出。其中：因公出国（境）费支出0.00万元，0.00%，比上年增加0.00万元，增长0.00%，主要原因是我单位无因公出国（境）费；公务用车购置及运行维护费支出6.93万元，占100.00%，比上年减少0.0</w:t>
      </w:r>
      <w:r>
        <w:rPr>
          <w:rFonts w:hint="eastAsia" w:ascii="仿宋_GB2312" w:eastAsia="仿宋_GB2312"/>
          <w:color w:val="auto"/>
          <w:spacing w:val="0"/>
          <w:sz w:val="32"/>
          <w:szCs w:val="32"/>
          <w:highlight w:val="none"/>
          <w:lang w:val="en-US" w:eastAsia="zh-CN"/>
        </w:rPr>
        <w:t>1</w:t>
      </w:r>
      <w:r>
        <w:rPr>
          <w:rFonts w:hint="eastAsia" w:ascii="仿宋_GB2312" w:eastAsia="仿宋_GB2312"/>
          <w:color w:val="auto"/>
          <w:spacing w:val="0"/>
          <w:sz w:val="32"/>
          <w:szCs w:val="32"/>
          <w:highlight w:val="none"/>
          <w:lang w:val="zh-CN" w:eastAsia="zh-CN"/>
        </w:rPr>
        <w:t>万元，下降0.</w:t>
      </w:r>
      <w:r>
        <w:rPr>
          <w:rFonts w:hint="eastAsia" w:ascii="仿宋_GB2312" w:eastAsia="仿宋_GB2312"/>
          <w:color w:val="auto"/>
          <w:spacing w:val="0"/>
          <w:sz w:val="32"/>
          <w:szCs w:val="32"/>
          <w:highlight w:val="none"/>
          <w:lang w:val="en-US" w:eastAsia="zh-CN"/>
        </w:rPr>
        <w:t>1</w:t>
      </w:r>
      <w:r>
        <w:rPr>
          <w:rFonts w:hint="eastAsia" w:ascii="仿宋_GB2312" w:eastAsia="仿宋_GB2312"/>
          <w:color w:val="auto"/>
          <w:spacing w:val="0"/>
          <w:sz w:val="32"/>
          <w:szCs w:val="32"/>
          <w:highlight w:val="none"/>
          <w:lang w:val="zh-CN" w:eastAsia="zh-CN"/>
        </w:rPr>
        <w:t>4%，主要原因是：严格执行中央八项规定及相关细则，做到“三公” 经费只减不增，无预算不支出；公务接待费支出0.00万元，占0.00%，比上年增加0.00万元，增长0.00%，主要原因是：我单位无公务接待费。</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6.93万元，其中：公务用车购置费0.00万元，公务用车运行维护费6.93万元。公务用车运行维护费开支内容包括燃油费、保险费、维护维修费。公务用车购置数0辆，公务用车保有量4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4辆，</w:t>
      </w:r>
      <w:r>
        <w:rPr>
          <w:rFonts w:hint="eastAsia" w:ascii="仿宋_GB2312" w:eastAsia="仿宋_GB2312"/>
          <w:color w:val="auto"/>
          <w:sz w:val="32"/>
          <w:szCs w:val="32"/>
          <w:highlight w:val="none"/>
          <w:lang w:val="en-US" w:eastAsia="zh-CN"/>
        </w:rPr>
        <w:t>与公务用车保有量无差异。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w:t>
      </w:r>
    </w:p>
    <w:p>
      <w:pPr>
        <w:keepNext w:val="0"/>
        <w:keepLines w:val="0"/>
        <w:pageBreakBefore w:val="0"/>
        <w:widowControl w:val="0"/>
        <w:kinsoku/>
        <w:wordWrap/>
        <w:overflowPunct/>
        <w:topLinePunct w:val="0"/>
        <w:bidi w:val="0"/>
        <w:adjustRightInd/>
        <w:snapToGrid/>
        <w:spacing w:line="240" w:lineRule="auto"/>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预算数6.93万元，决算数6.93万元，预决算差异率0.00%，主要原因是：严格执行中央八项规定及相关细则，做到“ 三公”经费只减不增，无预算不支出。其中：因公出国（境）费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预算数6.93万元，决算数6.93万元，预决算差异率0.00%，主要原因是：严格执行中央八项规定及相关细则，做到“三公”经费只减不增，无预算不支出；公务接待费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新疆石河子市无线电管理局</w:t>
      </w:r>
      <w:r>
        <w:rPr>
          <w:rFonts w:hint="eastAsia" w:ascii="Times New Roman" w:hAnsi="Times New Roman" w:eastAsia="仿宋_GB2312" w:cs="Times New Roman"/>
          <w:color w:val="auto"/>
          <w:sz w:val="32"/>
          <w:szCs w:val="32"/>
          <w:highlight w:val="none"/>
          <w:lang w:val="zh-CN" w:eastAsia="zh-CN"/>
        </w:rPr>
        <w:t>（事业单位）公用经费支出18.34万元，比上年减少0.62万元，下降3.2</w:t>
      </w:r>
      <w:r>
        <w:rPr>
          <w:rFonts w:hint="eastAsia" w:eastAsia="仿宋_GB2312" w:cs="Times New Roman"/>
          <w:color w:val="auto"/>
          <w:sz w:val="32"/>
          <w:szCs w:val="32"/>
          <w:highlight w:val="none"/>
          <w:lang w:val="en-US" w:eastAsia="zh-CN"/>
        </w:rPr>
        <w:t>7</w:t>
      </w:r>
      <w:r>
        <w:rPr>
          <w:rFonts w:hint="eastAsia" w:ascii="Times New Roman" w:hAnsi="Times New Roman" w:eastAsia="仿宋_GB2312" w:cs="Times New Roman"/>
          <w:color w:val="auto"/>
          <w:sz w:val="32"/>
          <w:szCs w:val="32"/>
          <w:highlight w:val="none"/>
          <w:lang w:val="zh-CN" w:eastAsia="zh-CN"/>
        </w:rPr>
        <w:t>%，主要原因是：公用经费中其他商品和服务支出减少。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10.37万元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其中：政府采购货物支出0.00万元、政府采购工程支出3.95万元、政府采购服务支出6.42万元。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授予中小企业合同金额10.37万元，占政府采购支出总额的100.00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，其中：授予小微企业合同金额7.72万元，占政府采购支出总额的74.45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3,078.48</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屋2119.15平方米，价值517.00万元。车辆4辆，价值214.61万元，其中：副部（省）级及以上领导用车0辆、主要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用车0辆、机要通信用车0辆、应急保障用车0辆、执法执勤用车1辆、特种专业技术用车3辆、离退休干部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用车0辆、其他用车0辆，其他用车主要是：我单位无其他用车；单价100万元（含）以上设备（不含车辆）5</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themeColor="text1"/>
          <w:kern w:val="0"/>
          <w:sz w:val="32"/>
          <w:szCs w:val="32"/>
          <w:highlight w:val="yellow"/>
          <w:lang w:val="en-US" w:eastAsia="zh-Hans"/>
          <w14:textFill>
            <w14:solidFill>
              <w14:schemeClr w14:val="tx1"/>
            </w14:solidFill>
          </w14:textFill>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b/>
          <w:bCs/>
          <w:color w:val="auto"/>
          <w:sz w:val="32"/>
          <w:szCs w:val="32"/>
          <w:highlight w:val="none"/>
          <w:lang w:eastAsia="zh-CN"/>
        </w:rPr>
        <w:t>一是</w:t>
      </w:r>
      <w:r>
        <w:rPr>
          <w:rFonts w:hint="eastAsia" w:ascii="仿宋_GB2312" w:eastAsia="仿宋_GB2312"/>
          <w:color w:val="auto"/>
          <w:sz w:val="32"/>
          <w:szCs w:val="32"/>
          <w:highlight w:val="none"/>
          <w:lang w:eastAsia="zh-CN"/>
        </w:rPr>
        <w:t>严格执行自治区工信厅预算绩效管理办法，日常对项目资金加快预算执行，确保绩效监控和绩效评价执行率，规范预算执行活动，确保预算执行的准确性、及时性和规范性，发挥资金的最大效用，取得了良好的绩效成果；</w:t>
      </w:r>
      <w:r>
        <w:rPr>
          <w:rFonts w:hint="eastAsia" w:ascii="仿宋_GB2312" w:eastAsia="仿宋_GB2312"/>
          <w:b/>
          <w:bCs/>
          <w:color w:val="auto"/>
          <w:sz w:val="32"/>
          <w:szCs w:val="32"/>
          <w:highlight w:val="none"/>
          <w:lang w:eastAsia="zh-CN"/>
        </w:rPr>
        <w:t>二是</w:t>
      </w:r>
      <w:r>
        <w:rPr>
          <w:rFonts w:hint="eastAsia" w:ascii="仿宋_GB2312" w:eastAsia="仿宋_GB2312"/>
          <w:color w:val="auto"/>
          <w:sz w:val="32"/>
          <w:szCs w:val="32"/>
          <w:highlight w:val="none"/>
          <w:lang w:eastAsia="zh-CN"/>
        </w:rPr>
        <w:t>各项工作实施及资金使用情况均在绩效目标设定时限完成，在项目经费的使用上，在保证各项任务顺利完成的同时，严格落实厉行节约的原则；</w:t>
      </w:r>
      <w:r>
        <w:rPr>
          <w:rFonts w:hint="eastAsia" w:ascii="仿宋_GB2312" w:eastAsia="仿宋_GB2312"/>
          <w:b/>
          <w:bCs/>
          <w:color w:val="auto"/>
          <w:sz w:val="32"/>
          <w:szCs w:val="32"/>
          <w:highlight w:val="none"/>
          <w:lang w:eastAsia="zh-CN"/>
        </w:rPr>
        <w:t>三是</w:t>
      </w:r>
      <w:r>
        <w:rPr>
          <w:rFonts w:hint="eastAsia" w:ascii="仿宋_GB2312" w:eastAsia="仿宋_GB2312"/>
          <w:color w:val="auto"/>
          <w:sz w:val="32"/>
          <w:szCs w:val="32"/>
          <w:highlight w:val="none"/>
          <w:lang w:eastAsia="zh-CN"/>
        </w:rPr>
        <w:t>做好项目保障工作，确保项目质量和效益，助力经济高质量发展，维护社会稳定和长治久安。发现的问题及原因：组织开展项目绩效评价工作时,因项目采购、合同执行周期长，致使项目在绩效监控节点时，影响单位整体绩效评价总体分值。下一步改进措施：</w:t>
      </w:r>
      <w:r>
        <w:rPr>
          <w:rFonts w:hint="eastAsia" w:ascii="仿宋_GB2312" w:eastAsia="仿宋_GB2312"/>
          <w:b/>
          <w:bCs/>
          <w:color w:val="auto"/>
          <w:sz w:val="32"/>
          <w:szCs w:val="32"/>
          <w:highlight w:val="none"/>
          <w:lang w:eastAsia="zh-CN"/>
        </w:rPr>
        <w:t>一是</w:t>
      </w:r>
      <w:r>
        <w:rPr>
          <w:rFonts w:hint="eastAsia" w:ascii="仿宋_GB2312" w:eastAsia="仿宋_GB2312"/>
          <w:color w:val="auto"/>
          <w:sz w:val="32"/>
          <w:szCs w:val="32"/>
          <w:highlight w:val="none"/>
          <w:lang w:eastAsia="zh-CN"/>
        </w:rPr>
        <w:t>完善各项内控制度，建立上下协调、科室联动、层层抓落实的工作责任制，将绩效管理责任分解落实到具体科室、明确到具体责任人，确保每一笔资金花得安全、用得高效；</w:t>
      </w:r>
      <w:r>
        <w:rPr>
          <w:rFonts w:hint="eastAsia" w:ascii="仿宋_GB2312" w:eastAsia="仿宋_GB2312"/>
          <w:b/>
          <w:bCs/>
          <w:color w:val="auto"/>
          <w:sz w:val="32"/>
          <w:szCs w:val="32"/>
          <w:highlight w:val="none"/>
          <w:lang w:eastAsia="zh-CN"/>
        </w:rPr>
        <w:t>二是</w:t>
      </w:r>
      <w:r>
        <w:rPr>
          <w:rFonts w:hint="eastAsia" w:ascii="仿宋_GB2312" w:eastAsia="仿宋_GB2312"/>
          <w:color w:val="auto"/>
          <w:sz w:val="32"/>
          <w:szCs w:val="32"/>
          <w:highlight w:val="none"/>
          <w:lang w:eastAsia="zh-CN"/>
        </w:rPr>
        <w:t>加强对专项资金预算绩效监控力度，加强对专项资金预算执行力度的考核，确保项目执行按期完成；</w:t>
      </w:r>
      <w:r>
        <w:rPr>
          <w:rFonts w:hint="eastAsia" w:ascii="仿宋_GB2312" w:eastAsia="仿宋_GB2312"/>
          <w:b/>
          <w:bCs/>
          <w:color w:val="auto"/>
          <w:sz w:val="32"/>
          <w:szCs w:val="32"/>
          <w:highlight w:val="none"/>
          <w:lang w:eastAsia="zh-CN"/>
        </w:rPr>
        <w:t>三是</w:t>
      </w:r>
      <w:r>
        <w:rPr>
          <w:rFonts w:hint="eastAsia" w:ascii="仿宋_GB2312" w:eastAsia="仿宋_GB2312"/>
          <w:color w:val="auto"/>
          <w:sz w:val="32"/>
          <w:szCs w:val="32"/>
          <w:highlight w:val="none"/>
          <w:lang w:eastAsia="zh-CN"/>
        </w:rPr>
        <w:t>建立健全 绩效管理与预算管理有机结合的工作机制，落实绩效评价结果成为预算编制的重要参考因素。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outlineLvl w:val="0"/>
        <w:rPr>
          <w:rFonts w:hint="default" w:ascii="仿宋_GB2312" w:eastAsia="仿宋_GB2312"/>
          <w:color w:val="auto"/>
          <w:sz w:val="32"/>
          <w:szCs w:val="32"/>
          <w:highlight w:val="none"/>
          <w:lang w:val="en-US" w:eastAsia="zh-CN"/>
        </w:rPr>
      </w:pPr>
      <w:bookmarkStart w:id="30" w:name="_Toc3250"/>
      <w:bookmarkStart w:id="31" w:name="_Toc24143"/>
      <w:r>
        <w:rPr>
          <w:rFonts w:hint="eastAsia" w:ascii="仿宋_GB2312" w:eastAsia="仿宋_GB2312"/>
          <w:color w:val="auto"/>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3ZGYwNjNmYTQ5NGViMjA2NmFhZDVlNGYzMzg1YzQifQ=="/>
    <w:docVar w:name="KSO_WPS_MARK_KEY" w:val="41ee2a61-2d54-4f93-83be-afdb9a40d732"/>
  </w:docVars>
  <w:rsids>
    <w:rsidRoot w:val="00000000"/>
    <w:rsid w:val="00213C59"/>
    <w:rsid w:val="003210CE"/>
    <w:rsid w:val="00B70D59"/>
    <w:rsid w:val="00F52A8D"/>
    <w:rsid w:val="019404F8"/>
    <w:rsid w:val="02BD3108"/>
    <w:rsid w:val="02D47400"/>
    <w:rsid w:val="02F73D26"/>
    <w:rsid w:val="032C181F"/>
    <w:rsid w:val="034D4FEF"/>
    <w:rsid w:val="035D1785"/>
    <w:rsid w:val="039F47CE"/>
    <w:rsid w:val="03E05CE8"/>
    <w:rsid w:val="03F973EE"/>
    <w:rsid w:val="043E5B56"/>
    <w:rsid w:val="04C04386"/>
    <w:rsid w:val="04FA68C4"/>
    <w:rsid w:val="053F5AE6"/>
    <w:rsid w:val="057C0B0F"/>
    <w:rsid w:val="05A625A8"/>
    <w:rsid w:val="05EF4B48"/>
    <w:rsid w:val="05F76ECA"/>
    <w:rsid w:val="06540256"/>
    <w:rsid w:val="06792773"/>
    <w:rsid w:val="07093795"/>
    <w:rsid w:val="076B1CFB"/>
    <w:rsid w:val="07804730"/>
    <w:rsid w:val="079052BE"/>
    <w:rsid w:val="07A56CF4"/>
    <w:rsid w:val="08145C21"/>
    <w:rsid w:val="082F4D8A"/>
    <w:rsid w:val="08422688"/>
    <w:rsid w:val="085854ED"/>
    <w:rsid w:val="0879188F"/>
    <w:rsid w:val="08A0354D"/>
    <w:rsid w:val="08CD4C49"/>
    <w:rsid w:val="09114954"/>
    <w:rsid w:val="095A5B83"/>
    <w:rsid w:val="096466E3"/>
    <w:rsid w:val="0968304D"/>
    <w:rsid w:val="09AF3D17"/>
    <w:rsid w:val="0A424F95"/>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6F45C2"/>
    <w:rsid w:val="112E58D0"/>
    <w:rsid w:val="11731CAC"/>
    <w:rsid w:val="119500A0"/>
    <w:rsid w:val="11C0733B"/>
    <w:rsid w:val="11D50D17"/>
    <w:rsid w:val="120E0809"/>
    <w:rsid w:val="127F665A"/>
    <w:rsid w:val="12F7068C"/>
    <w:rsid w:val="13A17B96"/>
    <w:rsid w:val="14207DC0"/>
    <w:rsid w:val="14B932DA"/>
    <w:rsid w:val="150A66AF"/>
    <w:rsid w:val="154C1139"/>
    <w:rsid w:val="158C5B77"/>
    <w:rsid w:val="160D1149"/>
    <w:rsid w:val="163563C0"/>
    <w:rsid w:val="164315EF"/>
    <w:rsid w:val="16557DFE"/>
    <w:rsid w:val="167268FB"/>
    <w:rsid w:val="16C669F5"/>
    <w:rsid w:val="16D50C50"/>
    <w:rsid w:val="16E120E1"/>
    <w:rsid w:val="17385A05"/>
    <w:rsid w:val="173B3901"/>
    <w:rsid w:val="176747F9"/>
    <w:rsid w:val="17954A6E"/>
    <w:rsid w:val="180059E9"/>
    <w:rsid w:val="184510FD"/>
    <w:rsid w:val="18D03BA2"/>
    <w:rsid w:val="190648B0"/>
    <w:rsid w:val="19071D6C"/>
    <w:rsid w:val="19D26CD4"/>
    <w:rsid w:val="19E60D19"/>
    <w:rsid w:val="1A3E3450"/>
    <w:rsid w:val="1AD807E5"/>
    <w:rsid w:val="1B39345B"/>
    <w:rsid w:val="1BFB2A1F"/>
    <w:rsid w:val="1C015D4A"/>
    <w:rsid w:val="1C290ED5"/>
    <w:rsid w:val="1C317E4F"/>
    <w:rsid w:val="1C472464"/>
    <w:rsid w:val="1D22799A"/>
    <w:rsid w:val="1D5C1A72"/>
    <w:rsid w:val="1D970CFC"/>
    <w:rsid w:val="1DAF458D"/>
    <w:rsid w:val="1DF9D1A0"/>
    <w:rsid w:val="1E086ACE"/>
    <w:rsid w:val="1E62130A"/>
    <w:rsid w:val="1E97358B"/>
    <w:rsid w:val="1EAA4A5F"/>
    <w:rsid w:val="1EE869A7"/>
    <w:rsid w:val="1FA15E62"/>
    <w:rsid w:val="1FED69B6"/>
    <w:rsid w:val="2064678E"/>
    <w:rsid w:val="207B1FB0"/>
    <w:rsid w:val="209F629F"/>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6F0FE5"/>
    <w:rsid w:val="2BB94DBF"/>
    <w:rsid w:val="2C6F314E"/>
    <w:rsid w:val="2CC206BE"/>
    <w:rsid w:val="2D1136DF"/>
    <w:rsid w:val="2D20606D"/>
    <w:rsid w:val="2D4349FC"/>
    <w:rsid w:val="2DB87198"/>
    <w:rsid w:val="2DB93C54"/>
    <w:rsid w:val="2E3D144C"/>
    <w:rsid w:val="2E891204"/>
    <w:rsid w:val="2F3F0A28"/>
    <w:rsid w:val="2FBF7029"/>
    <w:rsid w:val="2FD0187F"/>
    <w:rsid w:val="2FD27414"/>
    <w:rsid w:val="2FFE4BB0"/>
    <w:rsid w:val="300E7B60"/>
    <w:rsid w:val="300F6E18"/>
    <w:rsid w:val="30862F5F"/>
    <w:rsid w:val="30CB71E3"/>
    <w:rsid w:val="314029C9"/>
    <w:rsid w:val="31C63837"/>
    <w:rsid w:val="31C82E39"/>
    <w:rsid w:val="32601BAD"/>
    <w:rsid w:val="329F6389"/>
    <w:rsid w:val="33386686"/>
    <w:rsid w:val="33884F17"/>
    <w:rsid w:val="3389023A"/>
    <w:rsid w:val="33CB74FA"/>
    <w:rsid w:val="343642F2"/>
    <w:rsid w:val="343F3010"/>
    <w:rsid w:val="345D0A00"/>
    <w:rsid w:val="34713BFD"/>
    <w:rsid w:val="34C13589"/>
    <w:rsid w:val="34CB5A03"/>
    <w:rsid w:val="34FD7B87"/>
    <w:rsid w:val="353369E3"/>
    <w:rsid w:val="35E00D72"/>
    <w:rsid w:val="36965B9D"/>
    <w:rsid w:val="36C549FD"/>
    <w:rsid w:val="37A755DD"/>
    <w:rsid w:val="37F94FA0"/>
    <w:rsid w:val="380D3381"/>
    <w:rsid w:val="38115B1F"/>
    <w:rsid w:val="385E3AC3"/>
    <w:rsid w:val="387D6B9E"/>
    <w:rsid w:val="38B75FF0"/>
    <w:rsid w:val="38D45016"/>
    <w:rsid w:val="38D90432"/>
    <w:rsid w:val="3914510A"/>
    <w:rsid w:val="391B6400"/>
    <w:rsid w:val="3926770B"/>
    <w:rsid w:val="398D3668"/>
    <w:rsid w:val="39DA0497"/>
    <w:rsid w:val="3A893816"/>
    <w:rsid w:val="3A893B6D"/>
    <w:rsid w:val="3A931E81"/>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4678EC"/>
    <w:rsid w:val="405470BD"/>
    <w:rsid w:val="40794A29"/>
    <w:rsid w:val="40834692"/>
    <w:rsid w:val="408B1B5B"/>
    <w:rsid w:val="41431AD5"/>
    <w:rsid w:val="414B3C0F"/>
    <w:rsid w:val="417C1CE7"/>
    <w:rsid w:val="41900018"/>
    <w:rsid w:val="41944406"/>
    <w:rsid w:val="41CE128F"/>
    <w:rsid w:val="41DA6F12"/>
    <w:rsid w:val="42171FB1"/>
    <w:rsid w:val="425E20B7"/>
    <w:rsid w:val="431B1C3C"/>
    <w:rsid w:val="434E6957"/>
    <w:rsid w:val="43BA0E31"/>
    <w:rsid w:val="43C15147"/>
    <w:rsid w:val="43E14DD2"/>
    <w:rsid w:val="43F800E9"/>
    <w:rsid w:val="44342523"/>
    <w:rsid w:val="443A7E4B"/>
    <w:rsid w:val="452F5B3A"/>
    <w:rsid w:val="454E7FD2"/>
    <w:rsid w:val="45694B7E"/>
    <w:rsid w:val="46061BDC"/>
    <w:rsid w:val="461404F8"/>
    <w:rsid w:val="46413018"/>
    <w:rsid w:val="464B7E04"/>
    <w:rsid w:val="468041AA"/>
    <w:rsid w:val="468123C6"/>
    <w:rsid w:val="46901EEE"/>
    <w:rsid w:val="469C74D2"/>
    <w:rsid w:val="47445515"/>
    <w:rsid w:val="474B4782"/>
    <w:rsid w:val="477D00D8"/>
    <w:rsid w:val="47D90D14"/>
    <w:rsid w:val="48387FB0"/>
    <w:rsid w:val="483A6114"/>
    <w:rsid w:val="488727DB"/>
    <w:rsid w:val="48B82268"/>
    <w:rsid w:val="48C354B3"/>
    <w:rsid w:val="493D58B5"/>
    <w:rsid w:val="494A7A04"/>
    <w:rsid w:val="49992662"/>
    <w:rsid w:val="49EE5497"/>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98065F"/>
    <w:rsid w:val="52F647F7"/>
    <w:rsid w:val="52F92565"/>
    <w:rsid w:val="53D03877"/>
    <w:rsid w:val="542F73CA"/>
    <w:rsid w:val="5430786D"/>
    <w:rsid w:val="54C811C0"/>
    <w:rsid w:val="55140FEF"/>
    <w:rsid w:val="554A6079"/>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677D0C"/>
    <w:rsid w:val="5D833043"/>
    <w:rsid w:val="5DD92690"/>
    <w:rsid w:val="5DDB1CFD"/>
    <w:rsid w:val="5E501D0A"/>
    <w:rsid w:val="5E7E6D93"/>
    <w:rsid w:val="5ED44800"/>
    <w:rsid w:val="5F350BDE"/>
    <w:rsid w:val="5F61632C"/>
    <w:rsid w:val="5F942D12"/>
    <w:rsid w:val="5FA17648"/>
    <w:rsid w:val="5FE705CB"/>
    <w:rsid w:val="603D5080"/>
    <w:rsid w:val="60D0261B"/>
    <w:rsid w:val="618E3791"/>
    <w:rsid w:val="61947DCA"/>
    <w:rsid w:val="61A46A97"/>
    <w:rsid w:val="61D1382F"/>
    <w:rsid w:val="61F114A2"/>
    <w:rsid w:val="62512BB4"/>
    <w:rsid w:val="625D7D1A"/>
    <w:rsid w:val="62D90DAD"/>
    <w:rsid w:val="62DD7D21"/>
    <w:rsid w:val="637D586B"/>
    <w:rsid w:val="63A5560B"/>
    <w:rsid w:val="63E9091F"/>
    <w:rsid w:val="64322AF9"/>
    <w:rsid w:val="64D6010D"/>
    <w:rsid w:val="64D82665"/>
    <w:rsid w:val="64E47C96"/>
    <w:rsid w:val="651E5741"/>
    <w:rsid w:val="658A4877"/>
    <w:rsid w:val="65A00902"/>
    <w:rsid w:val="65A17F37"/>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9DE0F71"/>
    <w:rsid w:val="6AAF3C8E"/>
    <w:rsid w:val="6B68175F"/>
    <w:rsid w:val="6BFD799F"/>
    <w:rsid w:val="6C4A2E5A"/>
    <w:rsid w:val="6C8138D0"/>
    <w:rsid w:val="6CD574B9"/>
    <w:rsid w:val="6CEF0725"/>
    <w:rsid w:val="6D4B2604"/>
    <w:rsid w:val="6D4F4812"/>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E55062"/>
    <w:rsid w:val="71EC253A"/>
    <w:rsid w:val="727B234E"/>
    <w:rsid w:val="72D068C7"/>
    <w:rsid w:val="72E42ED8"/>
    <w:rsid w:val="735F4CB9"/>
    <w:rsid w:val="73674C62"/>
    <w:rsid w:val="73845865"/>
    <w:rsid w:val="739B6D9E"/>
    <w:rsid w:val="73BC1D76"/>
    <w:rsid w:val="73FB6630"/>
    <w:rsid w:val="74406C88"/>
    <w:rsid w:val="748D790E"/>
    <w:rsid w:val="749820CC"/>
    <w:rsid w:val="74CE04EC"/>
    <w:rsid w:val="74E76DCD"/>
    <w:rsid w:val="750000AA"/>
    <w:rsid w:val="751D7C0A"/>
    <w:rsid w:val="75722D56"/>
    <w:rsid w:val="75DB5477"/>
    <w:rsid w:val="75FC6AC3"/>
    <w:rsid w:val="7616619B"/>
    <w:rsid w:val="76660D7C"/>
    <w:rsid w:val="766C5968"/>
    <w:rsid w:val="76BE0C8F"/>
    <w:rsid w:val="76CD53B2"/>
    <w:rsid w:val="76F24AF4"/>
    <w:rsid w:val="770719AC"/>
    <w:rsid w:val="776526CC"/>
    <w:rsid w:val="77A262E1"/>
    <w:rsid w:val="77B13C33"/>
    <w:rsid w:val="77ED6F44"/>
    <w:rsid w:val="77F45548"/>
    <w:rsid w:val="78000AED"/>
    <w:rsid w:val="784E7CA6"/>
    <w:rsid w:val="78574801"/>
    <w:rsid w:val="7873527F"/>
    <w:rsid w:val="790A6425"/>
    <w:rsid w:val="790E2D96"/>
    <w:rsid w:val="791B54B2"/>
    <w:rsid w:val="795A0A34"/>
    <w:rsid w:val="797339C3"/>
    <w:rsid w:val="79D57D57"/>
    <w:rsid w:val="79D97DCB"/>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7386</Words>
  <Characters>8229</Characters>
  <Lines>0</Lines>
  <Paragraphs>0</Paragraphs>
  <TotalTime>55</TotalTime>
  <ScaleCrop>false</ScaleCrop>
  <LinksUpToDate>false</LinksUpToDate>
  <CharactersWithSpaces>8304</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GXR</dc:creator>
  <cp:lastModifiedBy>user</cp:lastModifiedBy>
  <dcterms:modified xsi:type="dcterms:W3CDTF">2024-10-14T20:00:21Z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D624B15633CD43C8BF9435464A96BF70</vt:lpwstr>
  </property>
</Properties>
</file>