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pStyle w:val="7"/>
        <w:rPr>
          <w:rFonts w:hint="eastAsia" w:ascii="方正小标宋_GBK" w:hAnsi="宋体" w:eastAsia="方正小标宋_GBK"/>
          <w:sz w:val="44"/>
          <w:szCs w:val="44"/>
          <w:highlight w:val="none"/>
        </w:rPr>
      </w:pPr>
    </w:p>
    <w:p>
      <w:pPr>
        <w:pStyle w:val="7"/>
        <w:rPr>
          <w:rFonts w:hint="eastAsia" w:ascii="方正小标宋_GBK" w:hAnsi="宋体" w:eastAsia="方正小标宋_GBK"/>
          <w:sz w:val="44"/>
          <w:szCs w:val="44"/>
          <w:highlight w:val="none"/>
        </w:rPr>
      </w:pPr>
    </w:p>
    <w:p>
      <w:pPr>
        <w:pStyle w:val="7"/>
        <w:rPr>
          <w:rFonts w:hint="eastAsia" w:ascii="方正小标宋_GBK" w:hAnsi="宋体" w:eastAsia="方正小标宋_GBK"/>
          <w:sz w:val="44"/>
          <w:szCs w:val="44"/>
          <w:highlight w:val="none"/>
        </w:rPr>
      </w:pPr>
    </w:p>
    <w:p>
      <w:pPr>
        <w:pStyle w:val="7"/>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克孜勒苏柯尔克孜自治州无线电管理局</w:t>
      </w:r>
      <w:r>
        <w:rPr>
          <w:rFonts w:hint="eastAsia" w:ascii="方正小标宋_GBK" w:hAnsi="宋体" w:eastAsia="方正小标宋_GBK"/>
          <w:sz w:val="44"/>
          <w:szCs w:val="44"/>
          <w:highlight w:val="none"/>
          <w:lang w:eastAsia="zh-CN"/>
        </w:rPr>
        <w:t>2023年度</w:t>
      </w:r>
      <w:r>
        <w:rPr>
          <w:rFonts w:hint="eastAsia" w:ascii="方正小标宋_GBK" w:hAnsi="宋体" w:eastAsia="方正小标宋_GBK"/>
          <w:sz w:val="44"/>
          <w:szCs w:val="44"/>
          <w:highlight w:val="none"/>
        </w:rPr>
        <w:t>决算公开说明</w:t>
      </w:r>
    </w:p>
    <w:p>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pPr>
        <w:rPr>
          <w:rFonts w:hint="eastAsia" w:ascii="仿宋_GB2312" w:eastAsia="仿宋_GB2312"/>
          <w:sz w:val="32"/>
          <w:szCs w:val="32"/>
          <w:highlight w:val="none"/>
        </w:rPr>
      </w:pPr>
      <w:r>
        <w:rPr>
          <w:rFonts w:hint="eastAsia" w:ascii="仿宋_GB2312" w:eastAsia="仿宋_GB2312"/>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outlineLvl w:val="0"/>
        <w:rPr>
          <w:rFonts w:hint="eastAsia" w:ascii="黑体" w:hAnsi="黑体" w:eastAsia="黑体"/>
          <w:sz w:val="32"/>
          <w:szCs w:val="32"/>
          <w:highlight w:val="none"/>
        </w:rPr>
      </w:pPr>
      <w:bookmarkStart w:id="0" w:name="_Toc32314"/>
      <w:bookmarkStart w:id="1" w:name="_Toc24028"/>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1"/>
        <w:rPr>
          <w:rFonts w:hint="eastAsia" w:ascii="黑体" w:hAnsi="黑体" w:eastAsia="黑体" w:cs="宋体"/>
          <w:bCs/>
          <w:kern w:val="0"/>
          <w:sz w:val="32"/>
          <w:szCs w:val="32"/>
          <w:highlight w:val="none"/>
        </w:rPr>
      </w:pPr>
      <w:bookmarkStart w:id="2" w:name="_Toc30567"/>
      <w:bookmarkStart w:id="3" w:name="_Toc30738"/>
      <w:r>
        <w:rPr>
          <w:rFonts w:hint="eastAsia" w:ascii="黑体" w:hAnsi="黑体" w:eastAsia="黑体" w:cs="宋体"/>
          <w:bCs/>
          <w:kern w:val="0"/>
          <w:sz w:val="32"/>
          <w:szCs w:val="32"/>
          <w:highlight w:val="none"/>
        </w:rPr>
        <w:t>一、主要职能</w:t>
      </w:r>
      <w:bookmarkEnd w:id="2"/>
      <w:bookmarkEnd w:id="3"/>
      <w:bookmarkStart w:id="4" w:name="_Toc31238"/>
      <w:bookmarkStart w:id="5" w:name="_Toc2151"/>
    </w:p>
    <w:p>
      <w:pPr>
        <w:keepNext w:val="0"/>
        <w:keepLines w:val="0"/>
        <w:pageBreakBefore w:val="0"/>
        <w:widowControl w:val="0"/>
        <w:kinsoku/>
        <w:wordWrap/>
        <w:overflowPunct/>
        <w:topLinePunct w:val="0"/>
        <w:autoSpaceDE/>
        <w:autoSpaceDN/>
        <w:bidi w:val="0"/>
        <w:adjustRightInd/>
        <w:snapToGrid/>
        <w:spacing w:line="520" w:lineRule="exact"/>
        <w:ind w:firstLine="676" w:firstLineChars="200"/>
        <w:jc w:val="both"/>
        <w:textAlignment w:val="auto"/>
        <w:outlineLvl w:val="1"/>
        <w:rPr>
          <w:rFonts w:hint="eastAsia" w:ascii="仿宋_GB2312" w:hAnsi="仿宋_GB2312" w:eastAsia="仿宋_GB2312" w:cs="仿宋_GB2312"/>
          <w:spacing w:val="12"/>
          <w:sz w:val="32"/>
          <w:szCs w:val="32"/>
        </w:rPr>
      </w:pPr>
      <w:r>
        <w:rPr>
          <w:rFonts w:hint="eastAsia" w:ascii="仿宋_GB2312" w:hAnsi="仿宋_GB2312" w:eastAsia="仿宋_GB2312" w:cs="仿宋_GB2312"/>
          <w:spacing w:val="9"/>
          <w:sz w:val="32"/>
          <w:szCs w:val="32"/>
        </w:rPr>
        <w:t>根据《中华人民共和国无线电管理条例》《关于</w:t>
      </w:r>
      <w:r>
        <w:rPr>
          <w:rFonts w:hint="eastAsia" w:ascii="仿宋_GB2312" w:hAnsi="仿宋_GB2312" w:eastAsia="仿宋_GB2312" w:cs="仿宋_GB2312"/>
          <w:spacing w:val="8"/>
          <w:sz w:val="32"/>
          <w:szCs w:val="32"/>
        </w:rPr>
        <w:t>调整全区无线电管理机构编制事宜的批复》（新机编办〔2011〕39</w:t>
      </w:r>
      <w:r>
        <w:rPr>
          <w:rFonts w:hint="eastAsia" w:ascii="仿宋_GB2312" w:hAnsi="仿宋_GB2312" w:eastAsia="仿宋_GB2312" w:cs="仿宋_GB2312"/>
          <w:spacing w:val="7"/>
          <w:sz w:val="32"/>
          <w:szCs w:val="32"/>
        </w:rPr>
        <w:t xml:space="preserve"> </w:t>
      </w:r>
      <w:r>
        <w:rPr>
          <w:rFonts w:hint="eastAsia" w:ascii="仿宋_GB2312" w:hAnsi="仿宋_GB2312" w:eastAsia="仿宋_GB2312" w:cs="仿宋_GB2312"/>
          <w:spacing w:val="12"/>
          <w:sz w:val="32"/>
          <w:szCs w:val="32"/>
        </w:rPr>
        <w:t>号）</w:t>
      </w:r>
      <w:r>
        <w:rPr>
          <w:rFonts w:hint="eastAsia" w:ascii="仿宋_GB2312" w:hAnsi="仿宋_GB2312" w:eastAsia="仿宋_GB2312" w:cs="仿宋_GB2312"/>
          <w:spacing w:val="-74"/>
          <w:sz w:val="32"/>
          <w:szCs w:val="32"/>
        </w:rPr>
        <w:t xml:space="preserve"> </w:t>
      </w:r>
      <w:r>
        <w:rPr>
          <w:rFonts w:hint="eastAsia" w:ascii="仿宋_GB2312" w:hAnsi="仿宋_GB2312" w:eastAsia="仿宋_GB2312" w:cs="仿宋_GB2312"/>
          <w:spacing w:val="12"/>
          <w:sz w:val="32"/>
          <w:szCs w:val="32"/>
        </w:rPr>
        <w:t>、《关于印发&lt;新疆维吾尔自治区经济和信息化委员会</w:t>
      </w:r>
      <w:r>
        <w:rPr>
          <w:rFonts w:hint="eastAsia" w:ascii="仿宋_GB2312" w:hAnsi="仿宋_GB2312" w:eastAsia="仿宋_GB2312" w:cs="仿宋_GB2312"/>
          <w:spacing w:val="9"/>
          <w:sz w:val="32"/>
          <w:szCs w:val="32"/>
        </w:rPr>
        <w:t>（新疆维吾尔自治区国防科学技术工业办公室）所属事业单</w:t>
      </w:r>
      <w:r>
        <w:rPr>
          <w:rFonts w:hint="eastAsia" w:ascii="仿宋_GB2312" w:hAnsi="仿宋_GB2312" w:eastAsia="仿宋_GB2312" w:cs="仿宋_GB2312"/>
          <w:spacing w:val="8"/>
          <w:sz w:val="32"/>
          <w:szCs w:val="32"/>
        </w:rPr>
        <w:t>位分类改革方案&gt;的通知》（新事改办〔2014〕11</w:t>
      </w:r>
      <w:r>
        <w:rPr>
          <w:rFonts w:hint="eastAsia" w:ascii="仿宋_GB2312" w:hAnsi="仿宋_GB2312" w:eastAsia="仿宋_GB2312" w:cs="仿宋_GB2312"/>
          <w:spacing w:val="-46"/>
          <w:sz w:val="32"/>
          <w:szCs w:val="32"/>
        </w:rPr>
        <w:t xml:space="preserve"> </w:t>
      </w:r>
      <w:r>
        <w:rPr>
          <w:rFonts w:hint="eastAsia" w:ascii="仿宋_GB2312" w:hAnsi="仿宋_GB2312" w:eastAsia="仿宋_GB2312" w:cs="仿宋_GB2312"/>
          <w:spacing w:val="8"/>
          <w:sz w:val="32"/>
          <w:szCs w:val="32"/>
        </w:rPr>
        <w:t>号</w:t>
      </w:r>
      <w:r>
        <w:rPr>
          <w:rFonts w:hint="eastAsia" w:ascii="仿宋_GB2312" w:hAnsi="仿宋_GB2312" w:eastAsia="仿宋_GB2312" w:cs="仿宋_GB2312"/>
          <w:spacing w:val="34"/>
          <w:sz w:val="32"/>
          <w:szCs w:val="32"/>
        </w:rPr>
        <w:t>），</w:t>
      </w:r>
      <w:r>
        <w:rPr>
          <w:rFonts w:hint="eastAsia" w:ascii="仿宋_GB2312" w:hAnsi="仿宋_GB2312" w:eastAsia="仿宋_GB2312" w:cs="仿宋_GB2312"/>
          <w:spacing w:val="8"/>
          <w:sz w:val="32"/>
          <w:szCs w:val="32"/>
        </w:rPr>
        <w:t>克</w:t>
      </w:r>
      <w:r>
        <w:rPr>
          <w:rFonts w:hint="eastAsia" w:ascii="仿宋_GB2312" w:hAnsi="仿宋_GB2312" w:eastAsia="仿宋_GB2312" w:cs="仿宋_GB2312"/>
          <w:spacing w:val="22"/>
          <w:sz w:val="32"/>
          <w:szCs w:val="32"/>
        </w:rPr>
        <w:t>孜勒苏柯尔克孜自治州无线电管理局是新疆维吾尔</w:t>
      </w:r>
      <w:r>
        <w:rPr>
          <w:rFonts w:hint="eastAsia" w:ascii="仿宋_GB2312" w:hAnsi="仿宋_GB2312" w:eastAsia="仿宋_GB2312" w:cs="仿宋_GB2312"/>
          <w:spacing w:val="12"/>
          <w:sz w:val="32"/>
          <w:szCs w:val="32"/>
        </w:rPr>
        <w:t>自治区工业和信息化厅派驻新疆克州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8" w:firstLineChars="200"/>
        <w:jc w:val="both"/>
        <w:textAlignment w:val="auto"/>
        <w:outlineLvl w:val="1"/>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新疆克孜勒苏柯尔克孜自治州无线电管理局单位</w:t>
      </w:r>
      <w:r>
        <w:rPr>
          <w:rFonts w:hint="eastAsia" w:ascii="仿宋_GB2312" w:hAnsi="仿宋_GB2312" w:eastAsia="仿宋_GB2312" w:cs="仿宋_GB2312"/>
          <w:spacing w:val="12"/>
          <w:sz w:val="32"/>
          <w:szCs w:val="32"/>
          <w:lang w:eastAsia="zh-CN"/>
        </w:rPr>
        <w:t>2023年度，</w:t>
      </w:r>
      <w:r>
        <w:rPr>
          <w:rFonts w:hint="eastAsia" w:ascii="仿宋_GB2312" w:hAnsi="仿宋_GB2312" w:eastAsia="仿宋_GB2312" w:cs="仿宋_GB2312"/>
          <w:spacing w:val="12"/>
          <w:sz w:val="32"/>
          <w:szCs w:val="32"/>
        </w:rPr>
        <w:t>实有人</w:t>
      </w:r>
      <w:r>
        <w:rPr>
          <w:rFonts w:hint="eastAsia" w:ascii="仿宋_GB2312" w:hAnsi="仿宋_GB2312" w:eastAsia="仿宋_GB2312" w:cs="仿宋_GB2312"/>
          <w:spacing w:val="12"/>
          <w:sz w:val="32"/>
          <w:szCs w:val="32"/>
          <w:lang w:val="en-US" w:eastAsia="zh-CN"/>
        </w:rPr>
        <w:t>数6人，其中：在职人员</w:t>
      </w:r>
      <w:r>
        <w:rPr>
          <w:rFonts w:hint="eastAsia" w:ascii="仿宋_GB2312" w:hAnsi="仿宋_GB2312" w:eastAsia="仿宋_GB2312" w:cs="仿宋_GB2312"/>
          <w:spacing w:val="12"/>
          <w:sz w:val="32"/>
          <w:szCs w:val="32"/>
          <w:lang w:val="zh-CN" w:eastAsia="zh-CN"/>
        </w:rPr>
        <w:t>4</w:t>
      </w:r>
      <w:r>
        <w:rPr>
          <w:rFonts w:hint="eastAsia" w:ascii="仿宋_GB2312" w:hAnsi="仿宋_GB2312" w:eastAsia="仿宋_GB2312" w:cs="仿宋_GB2312"/>
          <w:spacing w:val="12"/>
          <w:sz w:val="32"/>
          <w:szCs w:val="32"/>
          <w:lang w:val="en-US" w:eastAsia="zh-CN"/>
        </w:rPr>
        <w:t>人，离休人员</w:t>
      </w:r>
      <w:r>
        <w:rPr>
          <w:rFonts w:hint="eastAsia" w:ascii="仿宋_GB2312" w:hAnsi="仿宋_GB2312" w:eastAsia="仿宋_GB2312" w:cs="仿宋_GB2312"/>
          <w:spacing w:val="12"/>
          <w:sz w:val="32"/>
          <w:szCs w:val="32"/>
          <w:lang w:val="zh-CN" w:eastAsia="zh-CN"/>
        </w:rPr>
        <w:t>0</w:t>
      </w:r>
      <w:r>
        <w:rPr>
          <w:rFonts w:hint="eastAsia" w:ascii="仿宋_GB2312" w:hAnsi="仿宋_GB2312" w:eastAsia="仿宋_GB2312" w:cs="仿宋_GB2312"/>
          <w:spacing w:val="12"/>
          <w:sz w:val="32"/>
          <w:szCs w:val="32"/>
          <w:lang w:val="en-US" w:eastAsia="zh-CN"/>
        </w:rPr>
        <w:t>人，退休人员</w:t>
      </w:r>
      <w:r>
        <w:rPr>
          <w:rFonts w:hint="eastAsia" w:ascii="仿宋_GB2312" w:hAnsi="仿宋_GB2312" w:eastAsia="仿宋_GB2312" w:cs="仿宋_GB2312"/>
          <w:spacing w:val="12"/>
          <w:sz w:val="32"/>
          <w:szCs w:val="32"/>
          <w:lang w:val="zh-CN" w:eastAsia="zh-CN"/>
        </w:rPr>
        <w:t>2</w:t>
      </w:r>
      <w:r>
        <w:rPr>
          <w:rFonts w:hint="eastAsia" w:ascii="仿宋_GB2312" w:hAnsi="仿宋_GB2312" w:eastAsia="仿宋_GB2312" w:cs="仿宋_GB2312"/>
          <w:spacing w:val="12"/>
          <w:sz w:val="32"/>
          <w:szCs w:val="32"/>
          <w:lang w:val="en-US" w:eastAsia="zh-CN"/>
        </w:rPr>
        <w:t>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8" w:firstLineChars="200"/>
        <w:jc w:val="both"/>
        <w:textAlignment w:val="auto"/>
        <w:outlineLvl w:val="1"/>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单位无下属预算单位，下设3个处室，分别是：综合科、业务科、监测站。</w:t>
      </w:r>
    </w:p>
    <w:p>
      <w:pPr>
        <w:pStyle w:val="7"/>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2"/>
        <w:rPr>
          <w:rFonts w:hint="eastAsia" w:ascii="黑体" w:hAnsi="黑体" w:eastAsia="黑体" w:cs="宋体"/>
          <w:b w:val="0"/>
          <w:bCs/>
          <w:kern w:val="0"/>
          <w:sz w:val="32"/>
          <w:szCs w:val="32"/>
          <w:highlight w:val="none"/>
          <w:lang w:val="en-US" w:eastAsia="zh-CN"/>
        </w:rPr>
      </w:pPr>
      <w:bookmarkStart w:id="6" w:name="_Toc29374"/>
      <w:bookmarkStart w:id="7" w:name="_Toc3092"/>
      <w:r>
        <w:rPr>
          <w:rFonts w:hint="eastAsia" w:ascii="黑体" w:hAnsi="黑体" w:eastAsia="黑体" w:cs="宋体"/>
          <w:b w:val="0"/>
          <w:bCs/>
          <w:kern w:val="0"/>
          <w:sz w:val="32"/>
          <w:szCs w:val="32"/>
          <w:highlight w:val="none"/>
          <w:lang w:val="en-US" w:eastAsia="zh-CN"/>
        </w:rPr>
        <w:t>第二部分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kern w:val="0"/>
          <w:sz w:val="32"/>
          <w:szCs w:val="32"/>
          <w:highlight w:val="none"/>
          <w:lang w:val="en-US" w:eastAsia="zh-CN"/>
        </w:rPr>
      </w:pPr>
      <w:bookmarkStart w:id="8" w:name="_Toc25314"/>
      <w:bookmarkStart w:id="9" w:name="_Toc12566"/>
      <w:r>
        <w:rPr>
          <w:rFonts w:hint="eastAsia" w:ascii="黑体" w:hAnsi="黑体" w:eastAsia="黑体" w:cs="宋体"/>
          <w:b w:val="0"/>
          <w:bCs/>
          <w:kern w:val="0"/>
          <w:sz w:val="32"/>
          <w:szCs w:val="32"/>
          <w:highlight w:val="none"/>
          <w:lang w:val="en-US" w:eastAsia="zh-CN"/>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pacing w:val="0"/>
          <w:sz w:val="32"/>
          <w:szCs w:val="32"/>
          <w:highlight w:val="none"/>
          <w:lang w:val="en-US" w:eastAsia="zh-CN"/>
        </w:rPr>
        <w:t>收入总计</w:t>
      </w:r>
      <w:r>
        <w:rPr>
          <w:rFonts w:hint="eastAsia" w:ascii="仿宋_GB2312" w:hAnsi="仿宋_GB2312" w:eastAsia="仿宋_GB2312" w:cs="仿宋_GB2312"/>
          <w:b/>
          <w:bCs/>
          <w:sz w:val="32"/>
          <w:szCs w:val="32"/>
          <w:highlight w:val="none"/>
          <w:lang w:eastAsia="zh-CN"/>
        </w:rPr>
        <w:t>135.95</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其中：本年收入合计</w:t>
      </w:r>
      <w:r>
        <w:rPr>
          <w:rFonts w:hint="eastAsia" w:ascii="仿宋_GB2312" w:hAnsi="仿宋_GB2312" w:eastAsia="仿宋_GB2312" w:cs="仿宋_GB2312"/>
          <w:sz w:val="32"/>
          <w:szCs w:val="32"/>
          <w:highlight w:val="none"/>
          <w:lang w:eastAsia="zh-CN"/>
        </w:rPr>
        <w:t>131.78</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，使用非财政拨款结余0.00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，年初结转和结余4.17</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2023</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度</w:t>
      </w:r>
      <w:r>
        <w:rPr>
          <w:rFonts w:hint="eastAsia" w:ascii="仿宋_GB2312" w:hAnsi="仿宋_GB2312" w:eastAsia="仿宋_GB2312" w:cs="仿宋_GB2312"/>
          <w:b/>
          <w:bCs/>
          <w:sz w:val="32"/>
          <w:szCs w:val="32"/>
          <w:highlight w:val="none"/>
        </w:rPr>
        <w:t>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eastAsia="zh-CN"/>
        </w:rPr>
        <w:t>135.95</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其中：本年支出合计</w:t>
      </w:r>
      <w:r>
        <w:rPr>
          <w:rFonts w:hint="eastAsia" w:ascii="仿宋_GB2312" w:hAnsi="仿宋_GB2312" w:eastAsia="仿宋_GB2312" w:cs="仿宋_GB2312"/>
          <w:sz w:val="32"/>
          <w:szCs w:val="32"/>
          <w:highlight w:val="none"/>
          <w:lang w:eastAsia="zh-CN"/>
        </w:rPr>
        <w:t>131.74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结余分配</w:t>
      </w:r>
      <w:r>
        <w:rPr>
          <w:rFonts w:hint="eastAsia" w:ascii="仿宋_GB2312" w:hAnsi="仿宋_GB2312" w:eastAsia="仿宋_GB2312" w:cs="仿宋_GB2312"/>
          <w:sz w:val="32"/>
          <w:szCs w:val="32"/>
          <w:highlight w:val="none"/>
          <w:lang w:eastAsia="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，年末结转和结余4.21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eastAsia="仿宋_GB2312"/>
          <w:b/>
          <w:bCs/>
          <w:spacing w:val="0"/>
          <w:sz w:val="32"/>
          <w:szCs w:val="32"/>
          <w:highlight w:val="none"/>
          <w:lang w:val="en-US" w:eastAsia="zh-CN"/>
        </w:rPr>
        <w:t>收入支出总体</w:t>
      </w:r>
      <w:r>
        <w:rPr>
          <w:rFonts w:hint="eastAsia" w:ascii="仿宋_GB2312" w:eastAsia="仿宋_GB2312"/>
          <w:b/>
          <w:bCs/>
          <w:spacing w:val="0"/>
          <w:sz w:val="32"/>
          <w:szCs w:val="32"/>
          <w:highlight w:val="none"/>
          <w:lang w:eastAsia="zh-CN"/>
        </w:rPr>
        <w:t>与上年相比，</w:t>
      </w:r>
      <w:r>
        <w:rPr>
          <w:rFonts w:hint="eastAsia" w:ascii="仿宋_GB2312" w:eastAsia="仿宋_GB2312"/>
          <w:spacing w:val="0"/>
          <w:sz w:val="32"/>
          <w:szCs w:val="32"/>
          <w:highlight w:val="none"/>
          <w:lang w:val="zh-CN" w:eastAsia="zh-CN"/>
        </w:rPr>
        <w:t>减少24.44万元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en-US" w:eastAsia="zh-CN"/>
        </w:rPr>
        <w:t>下降15.24%</w:t>
      </w:r>
      <w:r>
        <w:rPr>
          <w:rFonts w:hint="eastAsia" w:ascii="仿宋_GB2312" w:eastAsia="仿宋_GB2312"/>
          <w:spacing w:val="0"/>
          <w:sz w:val="32"/>
          <w:szCs w:val="32"/>
          <w:highlight w:val="none"/>
          <w:lang w:eastAsia="zh-CN"/>
        </w:rPr>
        <w:t>，主要原因是</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bCs w:val="0"/>
          <w:color w:val="auto"/>
          <w:sz w:val="32"/>
          <w:szCs w:val="32"/>
        </w:rPr>
        <w:t>一是</w:t>
      </w:r>
      <w:r>
        <w:rPr>
          <w:rFonts w:hint="eastAsia" w:ascii="仿宋_GB2312" w:hAnsi="仿宋_GB2312" w:eastAsia="仿宋_GB2312" w:cs="仿宋_GB2312"/>
          <w:color w:val="auto"/>
          <w:sz w:val="32"/>
          <w:szCs w:val="32"/>
          <w:highlight w:val="none"/>
          <w:lang w:val="en-US" w:eastAsia="zh-CN"/>
        </w:rPr>
        <w:t>一般公共预算财政拨款收入支出较上年减少，（1）财政拨款基本收入支出较上年减少，主要是较上年在职人员预算编制数减少1人，人员经费减少、公用经费相应减少；（2）一般公共预算财政拨款项目支出收入较上年减少，主要是“中央无线电管理经费”项目减少；</w:t>
      </w:r>
      <w:r>
        <w:rPr>
          <w:rFonts w:hint="eastAsia" w:ascii="仿宋_GB2312" w:hAnsi="仿宋_GB2312" w:eastAsia="仿宋_GB2312" w:cs="仿宋_GB2312"/>
          <w:b w:val="0"/>
          <w:bCs w:val="0"/>
          <w:color w:val="auto"/>
          <w:sz w:val="32"/>
          <w:szCs w:val="32"/>
          <w:highlight w:val="none"/>
          <w:lang w:val="en-US" w:eastAsia="zh-CN"/>
        </w:rPr>
        <w:t>二是</w:t>
      </w:r>
      <w:r>
        <w:rPr>
          <w:rFonts w:hint="eastAsia" w:ascii="仿宋_GB2312" w:hAnsi="仿宋_GB2312" w:eastAsia="仿宋_GB2312" w:cs="仿宋_GB2312"/>
          <w:color w:val="auto"/>
          <w:sz w:val="32"/>
          <w:szCs w:val="32"/>
          <w:highlight w:val="none"/>
          <w:lang w:val="en-US" w:eastAsia="zh-CN"/>
        </w:rPr>
        <w:t>其他收入较上年减少均为银行利息收入。</w:t>
      </w:r>
      <w:r>
        <w:rPr>
          <w:rFonts w:hint="eastAsia" w:ascii="仿宋_GB2312" w:hAnsi="仿宋_GB2312" w:eastAsia="仿宋_GB2312" w:cs="仿宋_GB2312"/>
          <w:b w:val="0"/>
          <w:bCs w:val="0"/>
          <w:color w:val="auto"/>
          <w:sz w:val="32"/>
          <w:szCs w:val="32"/>
          <w:highlight w:val="none"/>
          <w:lang w:val="en-US" w:eastAsia="zh-CN"/>
        </w:rPr>
        <w:t>三是</w:t>
      </w:r>
      <w:r>
        <w:rPr>
          <w:rFonts w:hint="eastAsia" w:ascii="仿宋_GB2312" w:hAnsi="仿宋_GB2312" w:eastAsia="仿宋_GB2312" w:cs="仿宋_GB2312"/>
          <w:color w:val="auto"/>
          <w:sz w:val="32"/>
          <w:szCs w:val="32"/>
          <w:highlight w:val="none"/>
          <w:lang w:val="en-US" w:eastAsia="zh-CN"/>
        </w:rPr>
        <w:t>年初结转结余较上年增加，主要原因是上年银行利息收入结转。</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color w:val="auto"/>
          <w:kern w:val="0"/>
          <w:sz w:val="32"/>
          <w:szCs w:val="32"/>
          <w:highlight w:val="none"/>
          <w:lang w:val="en-US" w:eastAsia="zh-CN"/>
        </w:rPr>
      </w:pPr>
      <w:bookmarkStart w:id="10" w:name="_Toc1979"/>
      <w:bookmarkStart w:id="11" w:name="_Toc12142"/>
      <w:r>
        <w:rPr>
          <w:rFonts w:hint="eastAsia" w:ascii="黑体" w:hAnsi="黑体" w:eastAsia="黑体" w:cs="宋体"/>
          <w:b w:val="0"/>
          <w:bCs/>
          <w:color w:val="auto"/>
          <w:kern w:val="0"/>
          <w:sz w:val="32"/>
          <w:szCs w:val="32"/>
          <w:highlight w:val="none"/>
          <w:lang w:val="en-US"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本年收入</w:t>
      </w:r>
      <w:r>
        <w:rPr>
          <w:rFonts w:hint="eastAsia" w:ascii="仿宋_GB2312" w:hAnsi="仿宋_GB2312" w:eastAsia="仿宋_GB2312" w:cs="仿宋_GB2312"/>
          <w:b/>
          <w:bCs/>
          <w:sz w:val="32"/>
          <w:szCs w:val="32"/>
          <w:highlight w:val="none"/>
          <w:lang w:eastAsia="zh-CN"/>
        </w:rPr>
        <w:t>131.78</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其中：财政拨款收入</w:t>
      </w:r>
      <w:r>
        <w:rPr>
          <w:rFonts w:hint="eastAsia" w:ascii="仿宋_GB2312" w:hAnsi="仿宋_GB2312" w:eastAsia="仿宋_GB2312" w:cs="仿宋_GB2312"/>
          <w:sz w:val="32"/>
          <w:szCs w:val="32"/>
          <w:highlight w:val="none"/>
          <w:lang w:val="zh-CN"/>
        </w:rPr>
        <w:t>131.74</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99.97</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；上级补助收入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；事业收入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附属单位上缴收入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；其他收入</w:t>
      </w:r>
      <w:r>
        <w:rPr>
          <w:rFonts w:hint="eastAsia" w:ascii="仿宋_GB2312" w:hAnsi="仿宋_GB2312" w:eastAsia="仿宋_GB2312" w:cs="仿宋_GB2312"/>
          <w:sz w:val="32"/>
          <w:szCs w:val="32"/>
          <w:highlight w:val="none"/>
          <w:lang w:val="zh-CN"/>
        </w:rPr>
        <w:t>0.04</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kern w:val="0"/>
          <w:sz w:val="32"/>
          <w:szCs w:val="32"/>
          <w:highlight w:val="none"/>
          <w:lang w:val="en-US" w:eastAsia="zh-CN"/>
        </w:rPr>
      </w:pPr>
      <w:bookmarkStart w:id="12" w:name="_Toc13201"/>
      <w:bookmarkStart w:id="13" w:name="_Toc27961"/>
      <w:r>
        <w:rPr>
          <w:rFonts w:hint="eastAsia" w:ascii="黑体" w:hAnsi="黑体" w:eastAsia="黑体" w:cs="宋体"/>
          <w:b w:val="0"/>
          <w:bCs/>
          <w:kern w:val="0"/>
          <w:sz w:val="32"/>
          <w:szCs w:val="32"/>
          <w:highlight w:val="none"/>
          <w:lang w:val="en-US"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本年支出</w:t>
      </w:r>
      <w:r>
        <w:rPr>
          <w:rFonts w:hint="eastAsia" w:ascii="仿宋_GB2312" w:hAnsi="仿宋_GB2312" w:eastAsia="仿宋_GB2312" w:cs="仿宋_GB2312"/>
          <w:b/>
          <w:bCs/>
          <w:sz w:val="32"/>
          <w:szCs w:val="32"/>
          <w:highlight w:val="none"/>
          <w:lang w:eastAsia="zh-CN"/>
        </w:rPr>
        <w:t>131.74万元</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sz w:val="32"/>
          <w:szCs w:val="32"/>
          <w:highlight w:val="none"/>
        </w:rPr>
        <w:t>其中：基本支出</w:t>
      </w:r>
      <w:r>
        <w:rPr>
          <w:rFonts w:hint="eastAsia" w:ascii="仿宋_GB2312" w:hAnsi="仿宋_GB2312" w:eastAsia="仿宋_GB2312" w:cs="仿宋_GB2312"/>
          <w:sz w:val="32"/>
          <w:szCs w:val="32"/>
          <w:highlight w:val="none"/>
          <w:lang w:eastAsia="zh-CN"/>
        </w:rPr>
        <w:t>109.20万元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占82.89%；</w:t>
      </w:r>
      <w:r>
        <w:rPr>
          <w:rFonts w:hint="eastAsia" w:ascii="仿宋_GB2312" w:hAnsi="仿宋_GB2312" w:eastAsia="仿宋_GB2312" w:cs="仿宋_GB2312"/>
          <w:sz w:val="32"/>
          <w:szCs w:val="32"/>
          <w:highlight w:val="none"/>
        </w:rPr>
        <w:t>项目支出</w:t>
      </w:r>
      <w:r>
        <w:rPr>
          <w:rFonts w:hint="eastAsia" w:ascii="仿宋_GB2312" w:hAnsi="仿宋_GB2312" w:eastAsia="仿宋_GB2312" w:cs="仿宋_GB2312"/>
          <w:sz w:val="32"/>
          <w:szCs w:val="32"/>
          <w:highlight w:val="none"/>
          <w:lang w:eastAsia="zh-CN"/>
        </w:rPr>
        <w:t>22.54万元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占17.11</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上缴上级支出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rPr>
        <w:t>对附属单位补助支出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kern w:val="0"/>
          <w:sz w:val="32"/>
          <w:szCs w:val="32"/>
          <w:highlight w:val="none"/>
          <w:lang w:val="en-US" w:eastAsia="zh-CN"/>
        </w:rPr>
      </w:pPr>
      <w:bookmarkStart w:id="14" w:name="_Toc4393"/>
      <w:bookmarkStart w:id="15" w:name="_Toc26564"/>
      <w:r>
        <w:rPr>
          <w:rFonts w:hint="eastAsia" w:ascii="黑体" w:hAnsi="黑体" w:eastAsia="黑体" w:cs="宋体"/>
          <w:b w:val="0"/>
          <w:bCs/>
          <w:kern w:val="0"/>
          <w:sz w:val="32"/>
          <w:szCs w:val="32"/>
          <w:highlight w:val="none"/>
          <w:lang w:val="en-US"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135.56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lang w:val="en-US" w:eastAsia="zh-CN"/>
        </w:rPr>
        <w:t>其中：年初财政拨款结转和结余</w:t>
      </w:r>
      <w:r>
        <w:rPr>
          <w:rFonts w:hint="eastAsia" w:ascii="仿宋_GB2312" w:hAnsi="仿宋_GB2312" w:eastAsia="仿宋_GB2312" w:cs="仿宋_GB2312"/>
          <w:sz w:val="32"/>
          <w:szCs w:val="32"/>
          <w:highlight w:val="none"/>
          <w:lang w:val="zh-CN"/>
        </w:rPr>
        <w:t>3.83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本年财政拨款收入</w:t>
      </w:r>
      <w:r>
        <w:rPr>
          <w:rFonts w:hint="eastAsia" w:ascii="仿宋_GB2312" w:hAnsi="仿宋_GB2312" w:eastAsia="仿宋_GB2312" w:cs="仿宋_GB2312"/>
          <w:sz w:val="32"/>
          <w:szCs w:val="32"/>
          <w:highlight w:val="none"/>
          <w:lang w:val="zh-CN"/>
        </w:rPr>
        <w:t>131.74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sz w:val="32"/>
          <w:szCs w:val="32"/>
          <w:highlight w:val="none"/>
        </w:rPr>
        <w:t>财政拨款支出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135.56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lang w:val="en-US" w:eastAsia="zh-CN"/>
        </w:rPr>
        <w:t>其中：年末财政拨款结转和结余</w:t>
      </w:r>
      <w:r>
        <w:rPr>
          <w:rFonts w:hint="eastAsia" w:ascii="仿宋_GB2312" w:hAnsi="仿宋_GB2312" w:eastAsia="仿宋_GB2312" w:cs="仿宋_GB2312"/>
          <w:sz w:val="32"/>
          <w:szCs w:val="32"/>
          <w:highlight w:val="none"/>
          <w:lang w:val="zh-CN"/>
        </w:rPr>
        <w:t>3.83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本年财政拨款支出</w:t>
      </w:r>
      <w:r>
        <w:rPr>
          <w:rFonts w:hint="eastAsia" w:ascii="仿宋_GB2312" w:hAnsi="仿宋_GB2312" w:eastAsia="仿宋_GB2312" w:cs="仿宋_GB2312"/>
          <w:sz w:val="32"/>
          <w:szCs w:val="32"/>
          <w:highlight w:val="none"/>
          <w:lang w:val="zh-CN"/>
        </w:rPr>
        <w:t>131.74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color w:val="FF0000"/>
          <w:spacing w:val="8"/>
          <w:sz w:val="32"/>
          <w:szCs w:val="32"/>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24.48</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15.30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highlight w:val="none"/>
          <w:lang w:val="en-US" w:eastAsia="zh-CN"/>
        </w:rPr>
        <w:t>财政拨款基本收入支出较上年减少，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主要是较上年在职人员预算编制数减少1人，人员经费减少、公用经费相应减少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一般公共预算财政拨款项目支出较上年减少，主要是“中央无线电管理经费”项目减少</w:t>
      </w:r>
      <w:r>
        <w:rPr>
          <w:rFonts w:hint="eastAsia" w:ascii="仿宋_GB2312" w:eastAsia="仿宋_GB2312"/>
          <w:sz w:val="32"/>
          <w:szCs w:val="32"/>
          <w:highlight w:val="none"/>
        </w:rPr>
        <w:t>。</w:t>
      </w:r>
      <w:r>
        <w:rPr>
          <w:rFonts w:hint="eastAsia" w:ascii="仿宋_GB2312" w:hAnsi="仿宋_GB2312" w:eastAsia="仿宋_GB2312" w:cs="仿宋_GB2312"/>
          <w:b/>
          <w:bCs/>
          <w:sz w:val="32"/>
          <w:szCs w:val="32"/>
          <w:highlight w:val="none"/>
        </w:rPr>
        <w:t>与</w:t>
      </w:r>
      <w:r>
        <w:rPr>
          <w:rFonts w:hint="eastAsia" w:ascii="仿宋_GB2312" w:hAnsi="仿宋_GB2312" w:eastAsia="仿宋_GB2312" w:cs="仿宋_GB2312"/>
          <w:b/>
          <w:bCs/>
          <w:sz w:val="32"/>
          <w:szCs w:val="32"/>
          <w:highlight w:val="none"/>
          <w:lang w:eastAsia="zh-CN"/>
        </w:rPr>
        <w:t>年初预算</w:t>
      </w:r>
      <w:r>
        <w:rPr>
          <w:rFonts w:hint="eastAsia" w:ascii="仿宋_GB2312" w:hAnsi="仿宋_GB2312" w:eastAsia="仿宋_GB2312" w:cs="仿宋_GB2312"/>
          <w:b/>
          <w:bCs/>
          <w:sz w:val="32"/>
          <w:szCs w:val="32"/>
          <w:highlight w:val="none"/>
        </w:rPr>
        <w:t>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eastAsia="zh-CN"/>
        </w:rPr>
        <w:t>年初预算数</w:t>
      </w:r>
      <w:r>
        <w:rPr>
          <w:rFonts w:hint="eastAsia" w:ascii="仿宋_GB2312" w:hAnsi="仿宋_GB2312" w:eastAsia="仿宋_GB2312" w:cs="仿宋_GB2312"/>
          <w:sz w:val="32"/>
          <w:szCs w:val="32"/>
          <w:highlight w:val="none"/>
          <w:lang w:val="zh-CN"/>
        </w:rPr>
        <w:t>147.12</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zh-CN"/>
        </w:rPr>
        <w:t>135.56</w:t>
      </w:r>
      <w:r>
        <w:rPr>
          <w:rFonts w:hint="eastAsia" w:ascii="仿宋_GB2312" w:hAnsi="仿宋_GB2312" w:eastAsia="仿宋_GB2312" w:cs="仿宋_GB2312"/>
          <w:sz w:val="32"/>
          <w:szCs w:val="32"/>
          <w:highlight w:val="none"/>
        </w:rPr>
        <w:t>万元，预决算差异率</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7.86%，主要原因是：</w:t>
      </w:r>
      <w:r>
        <w:rPr>
          <w:rFonts w:hint="eastAsia" w:ascii="仿宋_GB2312" w:hAnsi="仿宋_GB2312" w:eastAsia="仿宋_GB2312" w:cs="仿宋_GB2312"/>
          <w:b/>
          <w:bCs/>
          <w:color w:val="000000" w:themeColor="text1"/>
          <w:spacing w:val="8"/>
          <w:sz w:val="32"/>
          <w:szCs w:val="32"/>
          <w14:textFill>
            <w14:solidFill>
              <w14:schemeClr w14:val="tx1"/>
            </w14:solidFill>
          </w14:textFill>
        </w:rPr>
        <w:t>一是</w:t>
      </w:r>
      <w:r>
        <w:rPr>
          <w:rFonts w:hint="eastAsia" w:ascii="仿宋_GB2312" w:hAnsi="仿宋_GB2312" w:eastAsia="仿宋_GB2312" w:cs="仿宋_GB2312"/>
          <w:color w:val="000000" w:themeColor="text1"/>
          <w:spacing w:val="8"/>
          <w:sz w:val="32"/>
          <w:szCs w:val="32"/>
          <w14:textFill>
            <w14:solidFill>
              <w14:schemeClr w14:val="tx1"/>
            </w14:solidFill>
          </w14:textFill>
        </w:rPr>
        <w:t>在年度执行中，根据自治区财政厅文件追加</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了基础绩效、艰苦边远地区津贴</w:t>
      </w:r>
      <w:r>
        <w:rPr>
          <w:rFonts w:hint="eastAsia" w:ascii="仿宋_GB2312" w:hAnsi="仿宋_GB2312" w:eastAsia="仿宋_GB2312" w:cs="仿宋_GB2312"/>
          <w:color w:val="000000" w:themeColor="text1"/>
          <w:spacing w:val="8"/>
          <w:sz w:val="32"/>
          <w:szCs w:val="32"/>
          <w14:textFill>
            <w14:solidFill>
              <w14:schemeClr w14:val="tx1"/>
            </w14:solidFill>
          </w14:textFill>
        </w:rPr>
        <w:t>预算，</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收回1人的年初预算编制经费指标；</w:t>
      </w:r>
      <w:r>
        <w:rPr>
          <w:rFonts w:hint="eastAsia" w:ascii="仿宋_GB2312" w:hAnsi="仿宋_GB2312" w:eastAsia="仿宋_GB2312" w:cs="仿宋_GB2312"/>
          <w:b/>
          <w:bCs/>
          <w:color w:val="000000" w:themeColor="text1"/>
          <w:spacing w:val="8"/>
          <w:sz w:val="32"/>
          <w:szCs w:val="32"/>
          <w14:textFill>
            <w14:solidFill>
              <w14:schemeClr w14:val="tx1"/>
            </w14:solidFill>
          </w14:textFill>
        </w:rPr>
        <w:t>二是</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收回中央无线电管理经费部分指标</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kern w:val="0"/>
          <w:sz w:val="32"/>
          <w:szCs w:val="32"/>
          <w:highlight w:val="none"/>
          <w:lang w:val="en-US" w:eastAsia="zh-CN"/>
        </w:rPr>
      </w:pPr>
      <w:bookmarkStart w:id="16" w:name="_Toc13833"/>
      <w:bookmarkStart w:id="17" w:name="_Toc20360"/>
      <w:r>
        <w:rPr>
          <w:rFonts w:hint="eastAsia" w:ascii="黑体" w:hAnsi="黑体" w:eastAsia="黑体" w:cs="宋体"/>
          <w:b w:val="0"/>
          <w:bCs/>
          <w:kern w:val="0"/>
          <w:sz w:val="32"/>
          <w:szCs w:val="32"/>
          <w:highlight w:val="none"/>
          <w:lang w:val="en-US"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kern w:val="0"/>
          <w:sz w:val="32"/>
          <w:szCs w:val="32"/>
          <w:highlight w:val="none"/>
          <w:lang w:val="en-US" w:eastAsia="zh-CN"/>
        </w:rPr>
      </w:pPr>
      <w:r>
        <w:rPr>
          <w:rFonts w:hint="eastAsia" w:ascii="黑体" w:hAnsi="黑体" w:eastAsia="黑体" w:cs="宋体"/>
          <w:b w:val="0"/>
          <w:bCs/>
          <w:kern w:val="0"/>
          <w:sz w:val="32"/>
          <w:szCs w:val="32"/>
          <w:highlight w:val="none"/>
          <w:lang w:val="en-US" w:eastAsia="zh-CN"/>
        </w:rPr>
        <w:t>（一）一般公共预算财政拨款支出决算总体情况</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b/>
          <w:bCs/>
          <w:spacing w:val="0"/>
          <w:sz w:val="32"/>
          <w:szCs w:val="32"/>
          <w:highlight w:val="none"/>
          <w:lang w:eastAsia="zh-CN"/>
        </w:rPr>
        <w:t>2023年度一般公共预算财政拨款支出</w:t>
      </w:r>
      <w:r>
        <w:rPr>
          <w:rFonts w:hint="eastAsia" w:ascii="仿宋_GB2312" w:hAnsi="仿宋_GB2312" w:eastAsia="仿宋_GB2312" w:cs="仿宋_GB2312"/>
          <w:b/>
          <w:bCs/>
          <w:sz w:val="32"/>
          <w:szCs w:val="32"/>
          <w:highlight w:val="none"/>
          <w:lang w:eastAsia="zh-CN"/>
        </w:rPr>
        <w:t>131.74</w:t>
      </w:r>
      <w:r>
        <w:rPr>
          <w:rFonts w:hint="eastAsia" w:ascii="仿宋_GB2312" w:hAnsi="仿宋_GB2312" w:eastAsia="仿宋_GB2312" w:cs="仿宋_GB2312"/>
          <w:b/>
          <w:bCs/>
          <w:spacing w:val="0"/>
          <w:sz w:val="32"/>
          <w:szCs w:val="32"/>
          <w:highlight w:val="none"/>
          <w:lang w:eastAsia="zh-CN"/>
        </w:rPr>
        <w:t>万元，</w:t>
      </w:r>
      <w:r>
        <w:rPr>
          <w:rFonts w:hint="eastAsia" w:ascii="仿宋_GB2312" w:hAnsi="仿宋_GB2312" w:eastAsia="仿宋_GB2312" w:cs="仿宋_GB2312"/>
          <w:spacing w:val="0"/>
          <w:sz w:val="32"/>
          <w:szCs w:val="32"/>
          <w:highlight w:val="none"/>
          <w:lang w:eastAsia="zh-CN"/>
        </w:rPr>
        <w:t>占本年支出合计的</w:t>
      </w:r>
      <w:r>
        <w:rPr>
          <w:rFonts w:hint="eastAsia" w:ascii="仿宋_GB2312" w:hAnsi="仿宋_GB2312" w:eastAsia="仿宋_GB2312" w:cs="仿宋_GB2312"/>
          <w:sz w:val="32"/>
          <w:szCs w:val="32"/>
          <w:highlight w:val="none"/>
          <w:lang w:val="zh-CN"/>
        </w:rPr>
        <w:t>100.00%</w:t>
      </w:r>
      <w:r>
        <w:rPr>
          <w:rFonts w:hint="eastAsia" w:ascii="仿宋_GB2312" w:hAnsi="仿宋_GB2312" w:eastAsia="仿宋_GB2312" w:cs="仿宋_GB2312"/>
          <w:spacing w:val="0"/>
          <w:sz w:val="32"/>
          <w:szCs w:val="32"/>
          <w:highlight w:val="none"/>
          <w:lang w:eastAsia="zh-CN"/>
        </w:rPr>
        <w:t>，</w:t>
      </w:r>
      <w:r>
        <w:rPr>
          <w:rFonts w:hint="eastAsia" w:ascii="仿宋_GB2312" w:hAnsi="仿宋_GB2312" w:eastAsia="仿宋_GB2312" w:cs="仿宋_GB2312"/>
          <w:b/>
          <w:bCs/>
          <w:spacing w:val="0"/>
          <w:sz w:val="32"/>
          <w:szCs w:val="32"/>
          <w:highlight w:val="none"/>
        </w:rPr>
        <w:t>与上年相比，</w:t>
      </w:r>
      <w:r>
        <w:rPr>
          <w:rFonts w:hint="eastAsia" w:ascii="仿宋_GB2312" w:hAnsi="仿宋_GB2312" w:eastAsia="仿宋_GB2312" w:cs="仿宋_GB2312"/>
          <w:sz w:val="32"/>
          <w:szCs w:val="32"/>
          <w:highlight w:val="none"/>
          <w:lang w:val="zh-CN"/>
        </w:rPr>
        <w:t>减少24.48万元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下降15.67%，</w:t>
      </w:r>
      <w:r>
        <w:rPr>
          <w:rFonts w:hint="eastAsia" w:ascii="仿宋_GB2312" w:hAnsi="仿宋_GB2312" w:eastAsia="仿宋_GB2312" w:cs="仿宋_GB2312"/>
          <w:spacing w:val="0"/>
          <w:sz w:val="32"/>
          <w:szCs w:val="32"/>
          <w:highlight w:val="none"/>
        </w:rPr>
        <w:t>主要原因是：</w:t>
      </w:r>
      <w:r>
        <w:rPr>
          <w:rFonts w:hint="eastAsia" w:ascii="仿宋_GB2312" w:hAnsi="仿宋_GB2312" w:eastAsia="仿宋_GB2312" w:cs="仿宋_GB2312"/>
          <w:b w:val="0"/>
          <w:bCs w:val="0"/>
          <w:sz w:val="32"/>
          <w:szCs w:val="32"/>
        </w:rPr>
        <w:t>一是</w:t>
      </w:r>
      <w:r>
        <w:rPr>
          <w:rFonts w:hint="eastAsia" w:ascii="仿宋_GB2312" w:hAnsi="仿宋_GB2312" w:eastAsia="仿宋_GB2312" w:cs="仿宋_GB2312"/>
          <w:sz w:val="32"/>
          <w:szCs w:val="32"/>
          <w:highlight w:val="none"/>
          <w:lang w:val="en-US" w:eastAsia="zh-CN"/>
        </w:rPr>
        <w:t>财政拨款基本支出较上年减少，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主要是较上年在职人员预算编制数减少1人，人员经费减少、公用经费相应减少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val="0"/>
          <w:bCs w:val="0"/>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一般公共预算财政拨款项目支出较上年减少，主要是“中央无线电管理经费”项目减少。</w:t>
      </w:r>
      <w:r>
        <w:rPr>
          <w:rFonts w:hint="eastAsia" w:ascii="仿宋_GB2312" w:hAnsi="仿宋_GB2312" w:eastAsia="仿宋_GB2312" w:cs="仿宋_GB2312"/>
          <w:b/>
          <w:bCs/>
          <w:sz w:val="32"/>
          <w:szCs w:val="32"/>
          <w:highlight w:val="none"/>
        </w:rPr>
        <w:t>与</w:t>
      </w:r>
      <w:r>
        <w:rPr>
          <w:rFonts w:hint="eastAsia" w:ascii="仿宋_GB2312" w:hAnsi="仿宋_GB2312" w:eastAsia="仿宋_GB2312" w:cs="仿宋_GB2312"/>
          <w:b/>
          <w:bCs/>
          <w:sz w:val="32"/>
          <w:szCs w:val="32"/>
          <w:highlight w:val="none"/>
          <w:lang w:eastAsia="zh-CN"/>
        </w:rPr>
        <w:t>年初预算</w:t>
      </w:r>
      <w:r>
        <w:rPr>
          <w:rFonts w:hint="eastAsia" w:ascii="仿宋_GB2312" w:hAnsi="仿宋_GB2312" w:eastAsia="仿宋_GB2312" w:cs="仿宋_GB2312"/>
          <w:b/>
          <w:bCs/>
          <w:sz w:val="32"/>
          <w:szCs w:val="32"/>
          <w:highlight w:val="none"/>
        </w:rPr>
        <w:t>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eastAsia="zh-CN"/>
        </w:rPr>
        <w:t>年初预算数</w:t>
      </w:r>
      <w:r>
        <w:rPr>
          <w:rFonts w:hint="eastAsia" w:ascii="仿宋_GB2312" w:hAnsi="仿宋_GB2312" w:eastAsia="仿宋_GB2312" w:cs="仿宋_GB2312"/>
          <w:sz w:val="32"/>
          <w:szCs w:val="32"/>
          <w:highlight w:val="none"/>
          <w:lang w:val="zh-CN"/>
        </w:rPr>
        <w:t>147.12</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zh-CN"/>
        </w:rPr>
        <w:t>131.74</w:t>
      </w:r>
      <w:r>
        <w:rPr>
          <w:rFonts w:hint="eastAsia" w:ascii="仿宋_GB2312" w:hAnsi="仿宋_GB2312" w:eastAsia="仿宋_GB2312" w:cs="仿宋_GB2312"/>
          <w:sz w:val="32"/>
          <w:szCs w:val="32"/>
          <w:highlight w:val="none"/>
        </w:rPr>
        <w:t>万元，预决算差异率</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zh-CN"/>
        </w:rPr>
        <w:t>10.4</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b w:val="0"/>
          <w:bCs w:val="0"/>
          <w:color w:val="000000" w:themeColor="text1"/>
          <w:spacing w:val="8"/>
          <w:sz w:val="32"/>
          <w:szCs w:val="32"/>
          <w14:textFill>
            <w14:solidFill>
              <w14:schemeClr w14:val="tx1"/>
            </w14:solidFill>
          </w14:textFill>
        </w:rPr>
        <w:t>一是</w:t>
      </w:r>
      <w:r>
        <w:rPr>
          <w:rFonts w:hint="eastAsia" w:ascii="仿宋_GB2312" w:hAnsi="仿宋_GB2312" w:eastAsia="仿宋_GB2312" w:cs="仿宋_GB2312"/>
          <w:color w:val="000000" w:themeColor="text1"/>
          <w:spacing w:val="8"/>
          <w:sz w:val="32"/>
          <w:szCs w:val="32"/>
          <w14:textFill>
            <w14:solidFill>
              <w14:schemeClr w14:val="tx1"/>
            </w14:solidFill>
          </w14:textFill>
        </w:rPr>
        <w:t>在年度执行中，根据自治区财政厅文件追加</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了基础绩效、艰苦边远地区津贴</w:t>
      </w:r>
      <w:r>
        <w:rPr>
          <w:rFonts w:hint="eastAsia" w:ascii="仿宋_GB2312" w:hAnsi="仿宋_GB2312" w:eastAsia="仿宋_GB2312" w:cs="仿宋_GB2312"/>
          <w:color w:val="000000" w:themeColor="text1"/>
          <w:spacing w:val="8"/>
          <w:sz w:val="32"/>
          <w:szCs w:val="32"/>
          <w14:textFill>
            <w14:solidFill>
              <w14:schemeClr w14:val="tx1"/>
            </w14:solidFill>
          </w14:textFill>
        </w:rPr>
        <w:t>预算，</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收回了1人的年初预算编制经费指标；</w:t>
      </w:r>
      <w:r>
        <w:rPr>
          <w:rFonts w:hint="eastAsia" w:ascii="仿宋_GB2312" w:hAnsi="仿宋_GB2312" w:eastAsia="仿宋_GB2312" w:cs="仿宋_GB2312"/>
          <w:b w:val="0"/>
          <w:bCs w:val="0"/>
          <w:color w:val="000000" w:themeColor="text1"/>
          <w:spacing w:val="8"/>
          <w:sz w:val="32"/>
          <w:szCs w:val="32"/>
          <w14:textFill>
            <w14:solidFill>
              <w14:schemeClr w14:val="tx1"/>
            </w14:solidFill>
          </w14:textFill>
        </w:rPr>
        <w:t>二是</w:t>
      </w:r>
      <w:r>
        <w:rPr>
          <w:rFonts w:hint="eastAsia" w:ascii="仿宋_GB2312" w:hAnsi="仿宋_GB2312" w:eastAsia="仿宋_GB2312" w:cs="仿宋_GB2312"/>
          <w:color w:val="000000" w:themeColor="text1"/>
          <w:spacing w:val="8"/>
          <w:sz w:val="32"/>
          <w:szCs w:val="32"/>
          <w:lang w:val="en-US" w:eastAsia="zh-CN"/>
          <w14:textFill>
            <w14:solidFill>
              <w14:schemeClr w14:val="tx1"/>
            </w14:solidFill>
          </w14:textFill>
        </w:rPr>
        <w:t>收回了部分中央无线电管理经费指标</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kern w:val="0"/>
          <w:sz w:val="32"/>
          <w:szCs w:val="32"/>
          <w:highlight w:val="none"/>
          <w:lang w:val="en-US" w:eastAsia="zh-CN"/>
        </w:rPr>
      </w:pPr>
      <w:r>
        <w:rPr>
          <w:rFonts w:hint="eastAsia" w:ascii="黑体" w:hAnsi="黑体" w:eastAsia="黑体" w:cs="宋体"/>
          <w:b w:val="0"/>
          <w:bCs/>
          <w:kern w:val="0"/>
          <w:sz w:val="32"/>
          <w:szCs w:val="32"/>
          <w:highlight w:val="none"/>
          <w:lang w:val="en-US" w:eastAsia="zh-CN"/>
        </w:rPr>
        <w:t>（二）一般公共预算财政拨款支出决算结构情况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left="638" w:leftChars="304" w:right="0" w:rightChars="0" w:firstLine="0" w:firstLineChars="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1.</w:t>
      </w:r>
      <w:r>
        <w:rPr>
          <w:rFonts w:hint="eastAsia" w:ascii="仿宋_GB2312" w:hAnsi="仿宋_GB2312" w:eastAsia="仿宋_GB2312" w:cs="仿宋_GB2312"/>
          <w:kern w:val="2"/>
          <w:sz w:val="32"/>
          <w:szCs w:val="32"/>
          <w:highlight w:val="none"/>
          <w:lang w:val="zh-CN" w:eastAsia="zh-CN" w:bidi="ar-SA"/>
        </w:rPr>
        <w:t>社会保障和就业支出（类）22.64万元，占17.19%；</w:t>
      </w: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kern w:val="2"/>
          <w:sz w:val="32"/>
          <w:szCs w:val="32"/>
          <w:highlight w:val="none"/>
          <w:lang w:val="zh-CN" w:eastAsia="zh-CN" w:bidi="ar-SA"/>
        </w:rPr>
        <w:t>卫生健康支出（类）6.09万元，占 4.62%；</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zh-CN" w:eastAsia="zh-CN" w:bidi="ar-SA"/>
        </w:rPr>
        <w:t>资源勘探信息等支出（类） 96.22万元，占73.04%；</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4.</w:t>
      </w:r>
      <w:r>
        <w:rPr>
          <w:rFonts w:hint="eastAsia" w:ascii="仿宋_GB2312" w:hAnsi="仿宋_GB2312" w:eastAsia="仿宋_GB2312" w:cs="仿宋_GB2312"/>
          <w:kern w:val="2"/>
          <w:sz w:val="32"/>
          <w:szCs w:val="32"/>
          <w:highlight w:val="none"/>
          <w:lang w:val="zh-CN" w:eastAsia="zh-CN" w:bidi="ar-SA"/>
        </w:rPr>
        <w:t>住房保障支出（类）6.78万元，占5.15%；</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宋体"/>
          <w:b w:val="0"/>
          <w:bCs/>
          <w:kern w:val="0"/>
          <w:sz w:val="32"/>
          <w:szCs w:val="32"/>
          <w:highlight w:val="none"/>
          <w:lang w:val="en-US" w:eastAsia="zh-CN"/>
        </w:rPr>
      </w:pPr>
      <w:r>
        <w:rPr>
          <w:rFonts w:hint="eastAsia" w:ascii="黑体" w:hAnsi="黑体" w:eastAsia="黑体" w:cs="宋体"/>
          <w:b w:val="0"/>
          <w:bCs/>
          <w:kern w:val="0"/>
          <w:sz w:val="32"/>
          <w:szCs w:val="32"/>
          <w:highlight w:val="none"/>
          <w:lang w:val="en-US" w:eastAsia="zh-CN"/>
        </w:rPr>
        <w:t>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6.41%，主要原因是：</w:t>
      </w:r>
      <w:r>
        <w:rPr>
          <w:rFonts w:hint="eastAsia" w:ascii="仿宋_GB2312" w:hAnsi="仿宋_GB2312" w:eastAsia="仿宋_GB2312" w:cs="仿宋_GB2312"/>
          <w:sz w:val="32"/>
          <w:szCs w:val="32"/>
          <w:highlight w:val="none"/>
          <w:lang w:val="en-US" w:eastAsia="zh-CN"/>
        </w:rPr>
        <w:t>在职人员基本医疗保险缴费增加。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50.91%，主要原因是：</w:t>
      </w:r>
      <w:r>
        <w:rPr>
          <w:rFonts w:hint="eastAsia" w:ascii="仿宋_GB2312" w:hAnsi="仿宋_GB2312" w:eastAsia="仿宋_GB2312" w:cs="仿宋_GB2312"/>
          <w:sz w:val="32"/>
          <w:szCs w:val="32"/>
          <w:highlight w:val="none"/>
          <w:lang w:val="en-US" w:eastAsia="zh-CN"/>
        </w:rPr>
        <w:t>上一年公务员医疗补助弥补当年新增人员工资缺口。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 xml:space="preserve"> 3.资源勘探工业信息等支出（类）工业和信息产业监管（款）无线电及信息通信监管（项）:支出决算数为96.22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21.92%，主要原因是：</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一是</w:t>
      </w:r>
      <w:r>
        <w:rPr>
          <w:rFonts w:hint="eastAsia" w:ascii="仿宋_GB2312" w:hAnsi="仿宋_GB2312" w:eastAsia="仿宋_GB2312" w:cs="仿宋_GB2312"/>
          <w:sz w:val="32"/>
          <w:szCs w:val="32"/>
          <w:highlight w:val="none"/>
          <w:lang w:val="en-US" w:eastAsia="zh-CN"/>
        </w:rPr>
        <w:t>无线电及信息通信监管基本支出较上年减少，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主要是较上年在职人员预算编制数减少1人，人员经费减少、公用经费相应减少；</w:t>
      </w:r>
      <w:r>
        <w:rPr>
          <w:rFonts w:hint="eastAsia" w:ascii="仿宋_GB2312" w:hAnsi="仿宋_GB2312" w:eastAsia="仿宋_GB2312" w:cs="仿宋_GB2312"/>
          <w:b w:val="0"/>
          <w:bCs w:val="0"/>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一般公共预算财政拨款项目支出收入较上年减少，主要是“中央无线电管理经费”项目减少。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16.70%，主要原因是：</w:t>
      </w:r>
      <w:r>
        <w:rPr>
          <w:rFonts w:hint="eastAsia" w:ascii="仿宋_GB2312" w:hAnsi="仿宋_GB2312" w:eastAsia="仿宋_GB2312" w:cs="仿宋_GB2312"/>
          <w:sz w:val="32"/>
          <w:szCs w:val="32"/>
          <w:highlight w:val="none"/>
          <w:lang w:val="en-US" w:eastAsia="zh-CN"/>
        </w:rPr>
        <w:t>人员工资调增公积金增加。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5.社会保障和就业支出（类）行政事业单位养老支出（款）事业单位离退休（项）:支出决算数为5.55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32.40%，主要原因是：</w:t>
      </w:r>
      <w:r>
        <w:rPr>
          <w:rFonts w:hint="eastAsia" w:ascii="仿宋_GB2312" w:hAnsi="仿宋_GB2312" w:eastAsia="仿宋_GB2312" w:cs="仿宋_GB2312"/>
          <w:sz w:val="32"/>
          <w:szCs w:val="32"/>
          <w:highlight w:val="none"/>
          <w:lang w:val="en-US" w:eastAsia="zh-CN"/>
        </w:rPr>
        <w:t>调增了退休人员基础绩效及退回退休人员医疗费额度</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6.社会保障和就业支出（类）行政事业单位养老支出（款）机关事业单位职业年金缴费支出（项）:支出决算数为8.59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93.91%，主要原因是：</w:t>
      </w:r>
      <w:r>
        <w:rPr>
          <w:rFonts w:hint="eastAsia" w:ascii="仿宋_GB2312" w:hAnsi="仿宋_GB2312" w:eastAsia="仿宋_GB2312" w:cs="仿宋_GB2312"/>
          <w:sz w:val="32"/>
          <w:szCs w:val="32"/>
          <w:highlight w:val="none"/>
          <w:lang w:val="en-US" w:eastAsia="zh-CN"/>
        </w:rPr>
        <w:t>上年相比增加了1人的职业年金缴费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7.社会保障和就业支出（类）行政事业单位养老支出（款）机关事业单位基本养老保险缴费支出（项）:支出决算数为8.51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20.71%，主要原因是：</w:t>
      </w:r>
      <w:r>
        <w:rPr>
          <w:rFonts w:hint="eastAsia" w:ascii="仿宋_GB2312" w:hAnsi="仿宋_GB2312" w:eastAsia="仿宋_GB2312" w:cs="仿宋_GB2312"/>
          <w:sz w:val="32"/>
          <w:szCs w:val="32"/>
          <w:highlight w:val="none"/>
          <w:lang w:val="en-US" w:eastAsia="zh-CN"/>
        </w:rPr>
        <w:t>在职人员机关事业单位基本养老保险缴费增长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en-US" w:eastAsia="zh-CN"/>
        </w:rPr>
      </w:pPr>
      <w:bookmarkStart w:id="18" w:name="_Toc30870"/>
      <w:bookmarkStart w:id="19" w:name="_Toc11146"/>
      <w:r>
        <w:rPr>
          <w:rFonts w:hint="eastAsia" w:ascii="黑体" w:hAnsi="黑体" w:eastAsia="黑体" w:cs="宋体"/>
          <w:b w:val="0"/>
          <w:bCs/>
          <w:kern w:val="0"/>
          <w:sz w:val="32"/>
          <w:szCs w:val="32"/>
          <w:highlight w:val="none"/>
          <w:lang w:val="en-US" w:eastAsia="zh-CN"/>
        </w:rPr>
        <w:t>六、一般公共预算财政拨款基本支出决算情况说明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spacing w:val="7"/>
          <w:sz w:val="32"/>
          <w:szCs w:val="32"/>
        </w:rPr>
      </w:pPr>
      <w:r>
        <w:rPr>
          <w:rFonts w:hint="eastAsia" w:ascii="仿宋_GB2312" w:hAnsi="仿宋_GB2312" w:eastAsia="仿宋_GB2312" w:cs="仿宋_GB2312"/>
          <w:spacing w:val="0"/>
          <w:sz w:val="32"/>
          <w:szCs w:val="32"/>
          <w:highlight w:val="none"/>
          <w:lang w:eastAsia="zh-CN"/>
        </w:rPr>
        <w:t>2023年度</w:t>
      </w:r>
      <w:r>
        <w:rPr>
          <w:rFonts w:hint="eastAsia" w:ascii="仿宋_GB2312" w:hAnsi="仿宋_GB2312" w:eastAsia="仿宋_GB2312" w:cs="仿宋_GB2312"/>
          <w:sz w:val="32"/>
          <w:szCs w:val="32"/>
          <w:highlight w:val="none"/>
        </w:rPr>
        <w:t>一般公共预算财政拨款基本支出</w:t>
      </w:r>
      <w:r>
        <w:rPr>
          <w:rFonts w:hint="eastAsia" w:ascii="仿宋_GB2312" w:hAnsi="仿宋_GB2312" w:eastAsia="仿宋_GB2312" w:cs="仿宋_GB2312"/>
          <w:sz w:val="32"/>
          <w:szCs w:val="32"/>
          <w:highlight w:val="none"/>
          <w:lang w:eastAsia="zh-CN"/>
        </w:rPr>
        <w:t>109.20</w:t>
      </w:r>
      <w:r>
        <w:rPr>
          <w:rFonts w:hint="eastAsia" w:ascii="仿宋_GB2312" w:hAnsi="仿宋_GB2312" w:eastAsia="仿宋_GB2312" w:cs="仿宋_GB2312"/>
          <w:sz w:val="32"/>
          <w:szCs w:val="32"/>
          <w:highlight w:val="none"/>
        </w:rPr>
        <w:t>万元，其中：</w:t>
      </w:r>
      <w:r>
        <w:rPr>
          <w:rFonts w:hint="eastAsia" w:ascii="仿宋_GB2312" w:hAnsi="仿宋_GB2312" w:eastAsia="仿宋_GB2312" w:cs="仿宋_GB2312"/>
          <w:b/>
          <w:bCs/>
          <w:sz w:val="32"/>
          <w:szCs w:val="32"/>
          <w:highlight w:val="none"/>
        </w:rPr>
        <w:t>人员经费</w:t>
      </w:r>
      <w:r>
        <w:rPr>
          <w:rFonts w:hint="eastAsia" w:ascii="仿宋_GB2312" w:hAnsi="仿宋_GB2312" w:eastAsia="仿宋_GB2312" w:cs="仿宋_GB2312"/>
          <w:b/>
          <w:bCs/>
          <w:sz w:val="32"/>
          <w:szCs w:val="32"/>
          <w:highlight w:val="none"/>
          <w:lang w:eastAsia="zh-CN"/>
        </w:rPr>
        <w:t>101.48</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包括：</w:t>
      </w:r>
      <w:r>
        <w:rPr>
          <w:rFonts w:hint="eastAsia" w:ascii="仿宋_GB2312" w:hAnsi="仿宋_GB2312" w:eastAsia="仿宋_GB2312" w:cs="仿宋_GB2312"/>
          <w:spacing w:val="11"/>
          <w:sz w:val="32"/>
          <w:szCs w:val="32"/>
        </w:rPr>
        <w:t>基本工资、津</w:t>
      </w:r>
      <w:r>
        <w:rPr>
          <w:rFonts w:hint="eastAsia" w:ascii="仿宋_GB2312" w:hAnsi="仿宋_GB2312" w:eastAsia="仿宋_GB2312" w:cs="仿宋_GB2312"/>
          <w:spacing w:val="10"/>
          <w:sz w:val="32"/>
          <w:szCs w:val="32"/>
        </w:rPr>
        <w:t>贴补贴、</w:t>
      </w:r>
      <w:r>
        <w:rPr>
          <w:rFonts w:hint="eastAsia" w:ascii="仿宋_GB2312" w:hAnsi="仿宋_GB2312" w:eastAsia="仿宋_GB2312" w:cs="仿宋_GB2312"/>
          <w:spacing w:val="8"/>
          <w:sz w:val="32"/>
          <w:szCs w:val="32"/>
        </w:rPr>
        <w:t>奖金、绩效工资、机关事业单位基本养老保险缴费、职业年金缴费、职工基本医疗保险缴费、公务员医疗补助缴费、其他社会保障缴费、住房公积金、退休费、</w:t>
      </w:r>
      <w:r>
        <w:rPr>
          <w:rFonts w:hint="eastAsia" w:ascii="仿宋_GB2312" w:hAnsi="仿宋_GB2312" w:eastAsia="仿宋_GB2312" w:cs="仿宋_GB2312"/>
          <w:spacing w:val="8"/>
          <w:sz w:val="32"/>
          <w:szCs w:val="32"/>
          <w:lang w:val="en-US" w:eastAsia="zh-CN"/>
        </w:rPr>
        <w:t>生活</w:t>
      </w:r>
      <w:r>
        <w:rPr>
          <w:rFonts w:hint="eastAsia" w:ascii="仿宋_GB2312" w:hAnsi="仿宋_GB2312" w:eastAsia="仿宋_GB2312" w:cs="仿宋_GB2312"/>
          <w:spacing w:val="7"/>
          <w:sz w:val="32"/>
          <w:szCs w:val="32"/>
        </w:rPr>
        <w:t>补助、其他对个人和家庭的补助。</w:t>
      </w:r>
    </w:p>
    <w:p>
      <w:pPr>
        <w:keepNext w:val="0"/>
        <w:keepLines w:val="0"/>
        <w:pageBreakBefore w:val="0"/>
        <w:widowControl w:val="0"/>
        <w:kinsoku/>
        <w:wordWrap/>
        <w:overflowPunct/>
        <w:topLinePunct w:val="0"/>
        <w:autoSpaceDE/>
        <w:autoSpaceDN/>
        <w:bidi w:val="0"/>
        <w:adjustRightInd/>
        <w:snapToGrid/>
        <w:spacing w:line="372" w:lineRule="auto"/>
        <w:ind w:left="36" w:right="95" w:firstLine="633"/>
        <w:jc w:val="left"/>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公用经费</w:t>
      </w:r>
      <w:r>
        <w:rPr>
          <w:rFonts w:hint="eastAsia" w:ascii="仿宋_GB2312" w:hAnsi="仿宋_GB2312" w:eastAsia="仿宋_GB2312" w:cs="仿宋_GB2312"/>
          <w:b/>
          <w:bCs/>
          <w:sz w:val="32"/>
          <w:szCs w:val="32"/>
          <w:highlight w:val="none"/>
          <w:lang w:eastAsia="zh-CN"/>
        </w:rPr>
        <w:t>7.72</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包括：办公费、邮电费、差旅费、</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黑体" w:hAnsi="黑体" w:eastAsia="黑体" w:cs="宋体"/>
          <w:b w:val="0"/>
          <w:bCs/>
          <w:kern w:val="0"/>
          <w:sz w:val="32"/>
          <w:szCs w:val="32"/>
          <w:highlight w:val="none"/>
          <w:lang w:val="en-US" w:eastAsia="zh-CN"/>
        </w:rPr>
      </w:pPr>
      <w:r>
        <w:rPr>
          <w:rFonts w:hint="eastAsia" w:ascii="仿宋_GB2312" w:hAnsi="仿宋_GB2312" w:eastAsia="仿宋_GB2312" w:cs="仿宋_GB2312"/>
          <w:sz w:val="32"/>
          <w:szCs w:val="32"/>
          <w:highlight w:val="none"/>
        </w:rPr>
        <w:t>工会经费、福利费、公务用车运行维护费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其他商品和服务支出</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zh-CN" w:eastAsia="zh-CN"/>
        </w:rPr>
      </w:pPr>
      <w:bookmarkStart w:id="20" w:name="_Toc7190"/>
      <w:bookmarkStart w:id="21" w:name="_Toc21518"/>
      <w:r>
        <w:rPr>
          <w:rFonts w:hint="eastAsia" w:ascii="黑体" w:hAnsi="黑体" w:eastAsia="黑体" w:cs="宋体"/>
          <w:b w:val="0"/>
          <w:bCs/>
          <w:kern w:val="0"/>
          <w:sz w:val="32"/>
          <w:szCs w:val="32"/>
          <w:highlight w:val="none"/>
          <w:lang w:val="en-US" w:eastAsia="zh-CN"/>
        </w:rPr>
        <w:t>七、</w:t>
      </w:r>
      <w:r>
        <w:rPr>
          <w:rFonts w:hint="eastAsia" w:ascii="黑体" w:hAnsi="黑体" w:eastAsia="黑体" w:cs="宋体"/>
          <w:b w:val="0"/>
          <w:bCs/>
          <w:kern w:val="0"/>
          <w:sz w:val="32"/>
          <w:szCs w:val="32"/>
          <w:highlight w:val="none"/>
          <w:lang w:val="zh-CN" w:eastAsia="zh-CN"/>
        </w:rPr>
        <w:t>财政拨款“三公”经费支出决算情况说明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bCs/>
          <w:sz w:val="32"/>
          <w:szCs w:val="32"/>
          <w:highlight w:val="none"/>
          <w:lang w:val="zh-CN" w:eastAsia="zh-CN"/>
        </w:rPr>
        <w:t>2023年度</w:t>
      </w:r>
      <w:r>
        <w:rPr>
          <w:rFonts w:hint="eastAsia" w:ascii="仿宋_GB2312" w:hAnsi="仿宋_GB2312" w:eastAsia="仿宋_GB2312" w:cs="仿宋_GB2312"/>
          <w:b/>
          <w:bCs/>
          <w:sz w:val="32"/>
          <w:szCs w:val="32"/>
          <w:highlight w:val="none"/>
          <w:lang w:val="en-US" w:eastAsia="zh-CN"/>
        </w:rPr>
        <w:t>财政拨款</w:t>
      </w:r>
      <w:r>
        <w:rPr>
          <w:rFonts w:hint="eastAsia" w:ascii="仿宋_GB2312" w:hAnsi="仿宋_GB2312" w:eastAsia="仿宋_GB2312" w:cs="仿宋_GB2312"/>
          <w:b/>
          <w:bCs/>
          <w:sz w:val="32"/>
          <w:szCs w:val="32"/>
          <w:highlight w:val="none"/>
          <w:lang w:val="zh-CN"/>
        </w:rPr>
        <w:t>“三公”经费支出决算</w:t>
      </w:r>
      <w:r>
        <w:rPr>
          <w:rFonts w:hint="eastAsia" w:ascii="仿宋_GB2312" w:hAnsi="仿宋_GB2312" w:eastAsia="仿宋_GB2312" w:cs="仿宋_GB2312"/>
          <w:b/>
          <w:bCs/>
          <w:sz w:val="32"/>
          <w:szCs w:val="32"/>
          <w:highlight w:val="none"/>
          <w:lang w:val="zh-CN" w:eastAsia="zh-CN"/>
        </w:rPr>
        <w:t>7.23</w:t>
      </w:r>
      <w:r>
        <w:rPr>
          <w:rFonts w:hint="eastAsia" w:ascii="仿宋_GB2312" w:hAnsi="仿宋_GB2312" w:eastAsia="仿宋_GB2312" w:cs="仿宋_GB2312"/>
          <w:b/>
          <w:bCs/>
          <w:sz w:val="32"/>
          <w:szCs w:val="32"/>
          <w:highlight w:val="none"/>
          <w:lang w:val="zh-CN"/>
        </w:rPr>
        <w:t>万元，</w:t>
      </w:r>
      <w:r>
        <w:rPr>
          <w:rFonts w:hint="eastAsia" w:ascii="仿宋_GB2312" w:hAnsi="仿宋_GB2312" w:eastAsia="仿宋_GB2312" w:cs="仿宋_GB2312"/>
          <w:sz w:val="32"/>
          <w:szCs w:val="32"/>
          <w:highlight w:val="none"/>
          <w:lang w:val="en-US" w:eastAsia="zh-CN"/>
        </w:rPr>
        <w:t>比上年</w:t>
      </w:r>
      <w:r>
        <w:rPr>
          <w:rFonts w:hint="eastAsia" w:ascii="仿宋_GB2312" w:hAnsi="仿宋_GB2312" w:eastAsia="仿宋_GB2312" w:cs="仿宋_GB2312"/>
          <w:sz w:val="32"/>
          <w:szCs w:val="32"/>
          <w:highlight w:val="none"/>
          <w:lang w:val="zh-CN"/>
        </w:rPr>
        <w:t>减少5.31万元，下降42.34%，</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color w:val="000000" w:themeColor="text1"/>
          <w:spacing w:val="1"/>
          <w:sz w:val="32"/>
          <w:szCs w:val="32"/>
          <w:lang w:val="en-US" w:eastAsia="zh-CN"/>
          <w14:textFill>
            <w14:solidFill>
              <w14:schemeClr w14:val="tx1"/>
            </w14:solidFill>
          </w14:textFill>
        </w:rPr>
        <w:t>严格控制三公经费预算支出，做到只减不增</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万元，占0.00%，比上年</w:t>
      </w:r>
      <w:r>
        <w:rPr>
          <w:rFonts w:hint="eastAsia" w:ascii="仿宋_GB2312" w:hAnsi="仿宋_GB2312" w:eastAsia="仿宋_GB2312" w:cs="仿宋_GB2312"/>
          <w:sz w:val="32"/>
          <w:szCs w:val="32"/>
          <w:highlight w:val="none"/>
          <w:lang w:val="en-US" w:eastAsia="zh-CN"/>
        </w:rPr>
        <w:t>增加0.00万元，增长0.00%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pacing w:val="1"/>
          <w:sz w:val="32"/>
          <w:szCs w:val="32"/>
        </w:rPr>
        <w:t>我单位无因</w:t>
      </w:r>
      <w:r>
        <w:rPr>
          <w:rFonts w:hint="eastAsia" w:ascii="仿宋_GB2312" w:hAnsi="仿宋_GB2312" w:eastAsia="仿宋_GB2312" w:cs="仿宋_GB2312"/>
          <w:spacing w:val="6"/>
          <w:sz w:val="32"/>
          <w:szCs w:val="32"/>
        </w:rPr>
        <w:t>公出国（境）费</w:t>
      </w:r>
      <w:r>
        <w:rPr>
          <w:rFonts w:hint="eastAsia" w:ascii="仿宋_GB2312" w:hAnsi="仿宋_GB2312" w:eastAsia="仿宋_GB2312" w:cs="仿宋_GB2312"/>
          <w:sz w:val="32"/>
          <w:szCs w:val="32"/>
          <w:highlight w:val="none"/>
          <w:lang w:val="zh-CN"/>
        </w:rPr>
        <w:t>；公务用车购置及运行维护费支出</w:t>
      </w:r>
      <w:r>
        <w:rPr>
          <w:rFonts w:hint="eastAsia" w:ascii="仿宋_GB2312" w:hAnsi="仿宋_GB2312" w:eastAsia="仿宋_GB2312" w:cs="仿宋_GB2312"/>
          <w:sz w:val="32"/>
          <w:szCs w:val="32"/>
          <w:highlight w:val="none"/>
          <w:lang w:val="zh-CN" w:eastAsia="zh-CN"/>
        </w:rPr>
        <w:t>7.23</w:t>
      </w:r>
      <w:r>
        <w:rPr>
          <w:rFonts w:hint="eastAsia" w:ascii="仿宋_GB2312" w:hAnsi="仿宋_GB2312" w:eastAsia="仿宋_GB2312" w:cs="仿宋_GB2312"/>
          <w:sz w:val="32"/>
          <w:szCs w:val="32"/>
          <w:highlight w:val="none"/>
          <w:lang w:val="zh-CN"/>
        </w:rPr>
        <w:t>万元，占100.00%，比上年减少5.31万元，下降42.34%，</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color w:val="000000" w:themeColor="text1"/>
          <w:spacing w:val="1"/>
          <w:sz w:val="32"/>
          <w:szCs w:val="32"/>
          <w:lang w:val="en-US" w:eastAsia="zh-CN"/>
          <w14:textFill>
            <w14:solidFill>
              <w14:schemeClr w14:val="tx1"/>
            </w14:solidFill>
          </w14:textFill>
        </w:rPr>
        <w:t>严格控制三公经费预算支出，做到只减不增</w:t>
      </w:r>
      <w:r>
        <w:rPr>
          <w:rFonts w:hint="eastAsia" w:ascii="仿宋_GB2312" w:hAnsi="仿宋_GB2312" w:eastAsia="仿宋_GB2312" w:cs="仿宋_GB2312"/>
          <w:sz w:val="32"/>
          <w:szCs w:val="32"/>
          <w:highlight w:val="none"/>
          <w:lang w:val="zh-CN"/>
        </w:rPr>
        <w:t>；公务接待费支出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万元，占0.00%，比上年</w:t>
      </w:r>
      <w:r>
        <w:rPr>
          <w:rFonts w:hint="eastAsia" w:ascii="仿宋_GB2312" w:hAnsi="仿宋_GB2312" w:eastAsia="仿宋_GB2312" w:cs="仿宋_GB2312"/>
          <w:sz w:val="32"/>
          <w:szCs w:val="32"/>
          <w:highlight w:val="none"/>
          <w:lang w:val="en-US" w:eastAsia="zh-CN"/>
        </w:rPr>
        <w:t>增加0.00万元，增长0.00%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pacing w:val="1"/>
          <w:sz w:val="32"/>
          <w:szCs w:val="32"/>
        </w:rPr>
        <w:t>我单位无</w:t>
      </w:r>
      <w:r>
        <w:rPr>
          <w:rFonts w:hint="eastAsia" w:ascii="仿宋_GB2312" w:hAnsi="仿宋_GB2312" w:eastAsia="仿宋_GB2312" w:cs="仿宋_GB2312"/>
          <w:spacing w:val="8"/>
          <w:sz w:val="32"/>
          <w:szCs w:val="32"/>
        </w:rPr>
        <w:t>公务接待费</w:t>
      </w:r>
      <w:r>
        <w:rPr>
          <w:rFonts w:hint="eastAsia" w:ascii="仿宋_GB2312" w:hAnsi="仿宋_GB2312" w:eastAsia="仿宋_GB2312" w:cs="仿宋_GB2312"/>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b/>
          <w:bCs/>
          <w:sz w:val="32"/>
          <w:szCs w:val="32"/>
          <w:highlight w:val="none"/>
          <w:lang w:val="zh-CN"/>
        </w:rPr>
      </w:pPr>
      <w:r>
        <w:rPr>
          <w:rFonts w:hint="eastAsia" w:ascii="仿宋_GB2312" w:hAnsi="仿宋_GB2312" w:eastAsia="仿宋_GB2312" w:cs="仿宋_GB2312"/>
          <w:b/>
          <w:bCs/>
          <w:sz w:val="32"/>
          <w:szCs w:val="32"/>
          <w:highlight w:val="none"/>
          <w:lang w:val="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开支内容包括</w:t>
      </w:r>
      <w:r>
        <w:rPr>
          <w:rFonts w:hint="eastAsia" w:ascii="仿宋_GB2312" w:hAnsi="仿宋_GB2312" w:eastAsia="仿宋_GB2312" w:cs="仿宋_GB2312"/>
          <w:color w:val="000000" w:themeColor="text1"/>
          <w:spacing w:val="9"/>
          <w:sz w:val="32"/>
          <w:szCs w:val="32"/>
          <w:lang w:val="en-US" w:eastAsia="zh-CN"/>
          <w14:textFill>
            <w14:solidFill>
              <w14:schemeClr w14:val="tx1"/>
            </w14:solidFill>
          </w14:textFill>
        </w:rPr>
        <w:t>我单位无</w:t>
      </w:r>
      <w:r>
        <w:rPr>
          <w:rFonts w:hint="eastAsia" w:ascii="仿宋_GB2312" w:hAnsi="仿宋_GB2312" w:eastAsia="仿宋_GB2312" w:cs="仿宋_GB2312"/>
          <w:sz w:val="32"/>
          <w:szCs w:val="32"/>
          <w:highlight w:val="none"/>
          <w:lang w:val="zh-CN"/>
        </w:rPr>
        <w:t>因公出国（境）费。单位全年安排的因公出国（境）团组</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个，因公出国（境）</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公务用车购置及运行维护费</w:t>
      </w:r>
      <w:r>
        <w:rPr>
          <w:rFonts w:hint="eastAsia" w:ascii="仿宋_GB2312" w:hAnsi="仿宋_GB2312" w:eastAsia="仿宋_GB2312" w:cs="仿宋_GB2312"/>
          <w:sz w:val="32"/>
          <w:szCs w:val="32"/>
          <w:highlight w:val="none"/>
          <w:lang w:val="zh-CN" w:eastAsia="zh-CN"/>
        </w:rPr>
        <w:t>7.23</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公务用车购置费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万元，公务用车运行维护费</w:t>
      </w:r>
      <w:r>
        <w:rPr>
          <w:rFonts w:hint="eastAsia" w:ascii="仿宋_GB2312" w:hAnsi="仿宋_GB2312" w:eastAsia="仿宋_GB2312" w:cs="仿宋_GB2312"/>
          <w:sz w:val="32"/>
          <w:szCs w:val="32"/>
          <w:highlight w:val="none"/>
          <w:lang w:val="zh-CN" w:eastAsia="zh-CN"/>
        </w:rPr>
        <w:t>7.23</w:t>
      </w:r>
      <w:r>
        <w:rPr>
          <w:rFonts w:hint="eastAsia" w:ascii="仿宋_GB2312" w:hAnsi="仿宋_GB2312" w:eastAsia="仿宋_GB2312" w:cs="仿宋_GB2312"/>
          <w:sz w:val="32"/>
          <w:szCs w:val="32"/>
          <w:highlight w:val="none"/>
          <w:lang w:val="zh-CN"/>
        </w:rPr>
        <w:t>万元。公务用车运行维护费开支内容包括</w:t>
      </w:r>
      <w:r>
        <w:rPr>
          <w:rFonts w:hint="eastAsia" w:ascii="仿宋_GB2312" w:hAnsi="仿宋_GB2312" w:eastAsia="仿宋_GB2312" w:cs="仿宋_GB2312"/>
          <w:spacing w:val="9"/>
          <w:sz w:val="32"/>
          <w:szCs w:val="32"/>
        </w:rPr>
        <w:t>车辆保险、</w:t>
      </w:r>
      <w:r>
        <w:rPr>
          <w:rFonts w:hint="eastAsia" w:ascii="仿宋_GB2312" w:hAnsi="仿宋_GB2312" w:eastAsia="仿宋_GB2312" w:cs="仿宋_GB2312"/>
          <w:spacing w:val="8"/>
          <w:sz w:val="32"/>
          <w:szCs w:val="32"/>
        </w:rPr>
        <w:t>车</w:t>
      </w:r>
      <w:r>
        <w:rPr>
          <w:rFonts w:hint="eastAsia" w:ascii="仿宋_GB2312" w:hAnsi="仿宋_GB2312" w:eastAsia="仿宋_GB2312" w:cs="仿宋_GB2312"/>
          <w:spacing w:val="7"/>
          <w:sz w:val="32"/>
          <w:szCs w:val="32"/>
        </w:rPr>
        <w:t>辆加油、车辆维修</w:t>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9"/>
          <w:sz w:val="32"/>
          <w:szCs w:val="32"/>
        </w:rPr>
        <w:t>停车过</w:t>
      </w:r>
      <w:r>
        <w:rPr>
          <w:rFonts w:hint="eastAsia" w:ascii="仿宋_GB2312" w:hAnsi="仿宋_GB2312" w:eastAsia="仿宋_GB2312" w:cs="仿宋_GB2312"/>
          <w:spacing w:val="8"/>
          <w:sz w:val="32"/>
          <w:szCs w:val="32"/>
        </w:rPr>
        <w:t>路费</w:t>
      </w:r>
      <w:r>
        <w:rPr>
          <w:rFonts w:hint="eastAsia" w:ascii="仿宋_GB2312" w:hAnsi="仿宋_GB2312" w:eastAsia="仿宋_GB2312" w:cs="仿宋_GB2312"/>
          <w:spacing w:val="7"/>
          <w:sz w:val="32"/>
          <w:szCs w:val="32"/>
        </w:rPr>
        <w:t>等</w:t>
      </w:r>
      <w:r>
        <w:rPr>
          <w:rFonts w:hint="eastAsia" w:ascii="仿宋_GB2312" w:hAnsi="仿宋_GB2312" w:eastAsia="仿宋_GB2312" w:cs="仿宋_GB2312"/>
          <w:spacing w:val="7"/>
          <w:sz w:val="32"/>
          <w:szCs w:val="32"/>
          <w:lang w:val="en-US" w:eastAsia="zh-CN"/>
        </w:rPr>
        <w:t>支出</w:t>
      </w:r>
      <w:r>
        <w:rPr>
          <w:rFonts w:hint="eastAsia" w:ascii="仿宋_GB2312" w:hAnsi="仿宋_GB2312" w:eastAsia="仿宋_GB2312" w:cs="仿宋_GB2312"/>
          <w:sz w:val="32"/>
          <w:szCs w:val="32"/>
          <w:highlight w:val="none"/>
          <w:lang w:val="zh-CN"/>
        </w:rPr>
        <w:t>。公务用车购置数</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辆，公务用车保有量</w:t>
      </w:r>
      <w:r>
        <w:rPr>
          <w:rFonts w:hint="eastAsia" w:ascii="仿宋_GB2312" w:hAnsi="仿宋_GB2312" w:eastAsia="仿宋_GB2312" w:cs="仿宋_GB2312"/>
          <w:sz w:val="32"/>
          <w:szCs w:val="32"/>
          <w:highlight w:val="none"/>
          <w:lang w:val="zh-CN" w:eastAsia="zh-CN"/>
        </w:rPr>
        <w:t>4</w:t>
      </w:r>
      <w:r>
        <w:rPr>
          <w:rFonts w:hint="eastAsia" w:ascii="仿宋_GB2312" w:hAnsi="仿宋_GB2312" w:eastAsia="仿宋_GB2312" w:cs="仿宋_GB2312"/>
          <w:sz w:val="32"/>
          <w:szCs w:val="32"/>
          <w:highlight w:val="none"/>
          <w:lang w:val="zh-CN"/>
        </w:rPr>
        <w:t>辆。国有资产占用情况</w:t>
      </w:r>
      <w:r>
        <w:rPr>
          <w:rFonts w:hint="eastAsia" w:ascii="仿宋_GB2312" w:hAnsi="仿宋_GB2312" w:eastAsia="仿宋_GB2312" w:cs="仿宋_GB2312"/>
          <w:sz w:val="32"/>
          <w:szCs w:val="32"/>
          <w:highlight w:val="none"/>
          <w:lang w:val="en-US" w:eastAsia="zh-CN"/>
        </w:rPr>
        <w:t>中固定资产车辆</w:t>
      </w:r>
      <w:r>
        <w:rPr>
          <w:rFonts w:hint="eastAsia" w:ascii="仿宋_GB2312" w:hAnsi="仿宋_GB2312" w:eastAsia="仿宋_GB2312" w:cs="仿宋_GB2312"/>
          <w:sz w:val="32"/>
          <w:szCs w:val="32"/>
          <w:highlight w:val="none"/>
          <w:lang w:val="zh-CN" w:eastAsia="zh-CN"/>
        </w:rPr>
        <w:t>4</w:t>
      </w:r>
      <w:r>
        <w:rPr>
          <w:rFonts w:hint="eastAsia" w:ascii="仿宋_GB2312" w:hAnsi="仿宋_GB2312" w:eastAsia="仿宋_GB2312" w:cs="仿宋_GB2312"/>
          <w:sz w:val="32"/>
          <w:szCs w:val="32"/>
          <w:highlight w:val="none"/>
          <w:lang w:val="zh-CN"/>
        </w:rPr>
        <w:t>辆</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lang w:val="zh-CN"/>
        </w:rPr>
        <w:t>公务用车</w:t>
      </w:r>
      <w:r>
        <w:rPr>
          <w:rFonts w:hint="eastAsia" w:ascii="仿宋_GB2312" w:hAnsi="仿宋_GB2312" w:eastAsia="仿宋_GB2312" w:cs="仿宋_GB2312"/>
          <w:sz w:val="32"/>
          <w:szCs w:val="32"/>
          <w:highlight w:val="none"/>
          <w:lang w:val="en-US" w:eastAsia="zh-CN"/>
        </w:rPr>
        <w:t>保有量无差异</w:t>
      </w:r>
      <w:r>
        <w:rPr>
          <w:rFonts w:hint="eastAsia" w:ascii="仿宋_GB2312" w:hAnsi="仿宋_GB2312" w:eastAsia="仿宋_GB2312" w:cs="仿宋_GB2312"/>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公务接待费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万元，开支内容包括</w:t>
      </w:r>
      <w:r>
        <w:rPr>
          <w:rFonts w:hint="eastAsia" w:ascii="仿宋_GB2312" w:hAnsi="仿宋_GB2312" w:eastAsia="仿宋_GB2312" w:cs="仿宋_GB2312"/>
          <w:sz w:val="32"/>
          <w:szCs w:val="32"/>
          <w:highlight w:val="none"/>
          <w:lang w:val="en-US" w:eastAsia="zh-CN"/>
        </w:rPr>
        <w:t>我单位无</w:t>
      </w:r>
      <w:r>
        <w:rPr>
          <w:rFonts w:hint="eastAsia" w:ascii="仿宋_GB2312" w:hAnsi="仿宋_GB2312" w:eastAsia="仿宋_GB2312" w:cs="仿宋_GB2312"/>
          <w:sz w:val="32"/>
          <w:szCs w:val="32"/>
          <w:highlight w:val="none"/>
          <w:lang w:val="zh-CN"/>
        </w:rPr>
        <w:t>公务接待费</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zh-CN"/>
        </w:rPr>
        <w:t>单位全年安排的国内公务接待</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批次，</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人次。</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2" w:firstLineChars="200"/>
        <w:jc w:val="left"/>
        <w:textAlignment w:val="auto"/>
        <w:outlineLvl w:val="9"/>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zh-CN"/>
          <w14:textFill>
            <w14:solidFill>
              <w14:schemeClr w14:val="tx1"/>
            </w14:solidFill>
          </w14:textFill>
        </w:rPr>
        <w:t>与</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bCs/>
          <w:color w:val="000000" w:themeColor="text1"/>
          <w:sz w:val="32"/>
          <w:szCs w:val="32"/>
          <w:highlight w:val="none"/>
          <w:lang w:val="zh-CN" w:eastAsia="zh-CN"/>
          <w14:textFill>
            <w14:solidFill>
              <w14:schemeClr w14:val="tx1"/>
            </w14:solidFill>
          </w14:textFill>
        </w:rPr>
        <w:t>预算</w:t>
      </w:r>
      <w:r>
        <w:rPr>
          <w:rFonts w:hint="eastAsia" w:ascii="仿宋_GB2312" w:hAnsi="仿宋_GB2312" w:eastAsia="仿宋_GB2312" w:cs="仿宋_GB2312"/>
          <w:b/>
          <w:bCs/>
          <w:color w:val="000000" w:themeColor="text1"/>
          <w:sz w:val="32"/>
          <w:szCs w:val="32"/>
          <w:highlight w:val="none"/>
          <w:lang w:val="zh-CN"/>
          <w14:textFill>
            <w14:solidFill>
              <w14:schemeClr w14:val="tx1"/>
            </w14:solidFill>
          </w14:textFill>
        </w:rPr>
        <w:t>相比：</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财政拨款</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“三公”经费支出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预算数7.23</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万元，决算数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7.23</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万元，预决算差异率</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主要原因是：</w:t>
      </w:r>
      <w:r>
        <w:rPr>
          <w:rFonts w:hint="eastAsia" w:ascii="仿宋_GB2312" w:hAnsi="仿宋_GB2312" w:eastAsia="仿宋_GB2312" w:cs="仿宋_GB2312"/>
          <w:color w:val="000000" w:themeColor="text1"/>
          <w:spacing w:val="7"/>
          <w:sz w:val="32"/>
          <w:szCs w:val="32"/>
          <w:highlight w:val="none"/>
          <w14:textFill>
            <w14:solidFill>
              <w14:schemeClr w14:val="tx1"/>
            </w14:solidFill>
          </w14:textFill>
        </w:rPr>
        <w:t>严格执行中央八项规定及相关细则，做到“</w:t>
      </w:r>
      <w:r>
        <w:rPr>
          <w:rFonts w:hint="eastAsia" w:ascii="仿宋_GB2312" w:hAnsi="仿宋_GB2312" w:eastAsia="仿宋_GB2312" w:cs="仿宋_GB2312"/>
          <w:color w:val="000000" w:themeColor="text1"/>
          <w:spacing w:val="-107"/>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pacing w:val="7"/>
          <w:sz w:val="32"/>
          <w:szCs w:val="32"/>
          <w:highlight w:val="none"/>
          <w14:textFill>
            <w14:solidFill>
              <w14:schemeClr w14:val="tx1"/>
            </w14:solidFill>
          </w14:textFill>
        </w:rPr>
        <w:t>三公”</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highlight w:val="none"/>
          <w14:textFill>
            <w14:solidFill>
              <w14:schemeClr w14:val="tx1"/>
            </w14:solidFill>
          </w14:textFill>
        </w:rPr>
        <w:t>经费只减不增，无预算不支出。</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其中：因公出国（境）费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全年预算数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万元，决算数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万元，预决算差异率</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主要原因是：</w:t>
      </w:r>
      <w:r>
        <w:rPr>
          <w:rFonts w:hint="eastAsia" w:ascii="仿宋_GB2312" w:hAnsi="仿宋_GB2312" w:eastAsia="仿宋_GB2312" w:cs="仿宋_GB2312"/>
          <w:color w:val="000000" w:themeColor="text1"/>
          <w:spacing w:val="9"/>
          <w:sz w:val="32"/>
          <w:szCs w:val="32"/>
          <w:highlight w:val="none"/>
          <w14:textFill>
            <w14:solidFill>
              <w14:schemeClr w14:val="tx1"/>
            </w14:solidFill>
          </w14:textFill>
        </w:rPr>
        <w:t>我单位无因公出国（境）费</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；公务用车购置费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预算数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万元，决算数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万元，预决算差异率</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主要原因是：</w:t>
      </w:r>
      <w:r>
        <w:rPr>
          <w:rFonts w:hint="eastAsia" w:ascii="仿宋_GB2312" w:hAnsi="仿宋_GB2312" w:eastAsia="仿宋_GB2312" w:cs="仿宋_GB2312"/>
          <w:color w:val="000000" w:themeColor="text1"/>
          <w:spacing w:val="14"/>
          <w:sz w:val="32"/>
          <w:szCs w:val="32"/>
          <w:highlight w:val="none"/>
          <w14:textFill>
            <w14:solidFill>
              <w14:schemeClr w14:val="tx1"/>
            </w14:solidFill>
          </w14:textFill>
        </w:rPr>
        <w:t>我单位</w:t>
      </w:r>
      <w:r>
        <w:rPr>
          <w:rFonts w:hint="eastAsia" w:ascii="仿宋_GB2312" w:hAnsi="仿宋_GB2312" w:eastAsia="仿宋_GB2312" w:cs="仿宋_GB2312"/>
          <w:color w:val="000000" w:themeColor="text1"/>
          <w:spacing w:val="14"/>
          <w:sz w:val="32"/>
          <w:szCs w:val="32"/>
          <w:highlight w:val="none"/>
          <w:lang w:val="en-US" w:eastAsia="zh-CN"/>
          <w14:textFill>
            <w14:solidFill>
              <w14:schemeClr w14:val="tx1"/>
            </w14:solidFill>
          </w14:textFill>
        </w:rPr>
        <w:t>未产生</w:t>
      </w:r>
      <w:r>
        <w:rPr>
          <w:rFonts w:hint="eastAsia" w:ascii="仿宋_GB2312" w:hAnsi="仿宋_GB2312" w:eastAsia="仿宋_GB2312" w:cs="仿宋_GB2312"/>
          <w:color w:val="000000" w:themeColor="text1"/>
          <w:spacing w:val="14"/>
          <w:sz w:val="32"/>
          <w:szCs w:val="32"/>
          <w:highlight w:val="none"/>
          <w14:textFill>
            <w14:solidFill>
              <w14:schemeClr w14:val="tx1"/>
            </w14:solidFill>
          </w14:textFill>
        </w:rPr>
        <w:t>公务用车购置</w:t>
      </w:r>
      <w:r>
        <w:rPr>
          <w:rFonts w:hint="eastAsia" w:ascii="仿宋_GB2312" w:hAnsi="仿宋_GB2312" w:eastAsia="仿宋_GB2312" w:cs="仿宋_GB2312"/>
          <w:color w:val="000000" w:themeColor="text1"/>
          <w:spacing w:val="13"/>
          <w:sz w:val="32"/>
          <w:szCs w:val="32"/>
          <w:highlight w:val="none"/>
          <w14:textFill>
            <w14:solidFill>
              <w14:schemeClr w14:val="tx1"/>
            </w14:solidFill>
          </w14:textFill>
        </w:rPr>
        <w:t>费</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；公务用车运行费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预算数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7.23</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万元，决算数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7.23</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万元，预决算差异率</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主要原因是：</w:t>
      </w:r>
      <w:r>
        <w:rPr>
          <w:rFonts w:hint="eastAsia" w:ascii="仿宋_GB2312" w:hAnsi="仿宋_GB2312" w:eastAsia="仿宋_GB2312" w:cs="仿宋_GB2312"/>
          <w:color w:val="000000" w:themeColor="text1"/>
          <w:spacing w:val="8"/>
          <w:sz w:val="32"/>
          <w:szCs w:val="32"/>
          <w:highlight w:val="none"/>
          <w14:textFill>
            <w14:solidFill>
              <w14:schemeClr w14:val="tx1"/>
            </w14:solidFill>
          </w14:textFill>
        </w:rPr>
        <w:t>严格执行中央八项规定及相关</w:t>
      </w:r>
      <w:r>
        <w:rPr>
          <w:rFonts w:hint="eastAsia" w:ascii="仿宋_GB2312" w:hAnsi="仿宋_GB2312" w:eastAsia="仿宋_GB2312" w:cs="仿宋_GB2312"/>
          <w:color w:val="000000" w:themeColor="text1"/>
          <w:spacing w:val="6"/>
          <w:sz w:val="32"/>
          <w:szCs w:val="32"/>
          <w:highlight w:val="none"/>
          <w14:textFill>
            <w14:solidFill>
              <w14:schemeClr w14:val="tx1"/>
            </w14:solidFill>
          </w14:textFill>
        </w:rPr>
        <w:t>细则，做到</w:t>
      </w:r>
      <w:r>
        <w:rPr>
          <w:rFonts w:hint="eastAsia" w:ascii="仿宋_GB2312" w:hAnsi="仿宋_GB2312" w:eastAsia="仿宋_GB2312" w:cs="仿宋_GB2312"/>
          <w:color w:val="000000" w:themeColor="text1"/>
          <w:spacing w:val="-104"/>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highlight w:val="none"/>
          <w14:textFill>
            <w14:solidFill>
              <w14:schemeClr w14:val="tx1"/>
            </w14:solidFill>
          </w14:textFill>
        </w:rPr>
        <w:t>“</w:t>
      </w:r>
      <w:r>
        <w:rPr>
          <w:rFonts w:hint="eastAsia" w:ascii="仿宋_GB2312" w:hAnsi="仿宋_GB2312" w:eastAsia="仿宋_GB2312" w:cs="仿宋_GB2312"/>
          <w:color w:val="000000" w:themeColor="text1"/>
          <w:spacing w:val="-121"/>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highlight w:val="none"/>
          <w14:textFill>
            <w14:solidFill>
              <w14:schemeClr w14:val="tx1"/>
            </w14:solidFill>
          </w14:textFill>
        </w:rPr>
        <w:t>三公”经费只减不增，无预算</w:t>
      </w:r>
      <w:r>
        <w:rPr>
          <w:rFonts w:hint="eastAsia" w:ascii="仿宋_GB2312" w:hAnsi="仿宋_GB2312" w:eastAsia="仿宋_GB2312" w:cs="仿宋_GB2312"/>
          <w:color w:val="000000" w:themeColor="text1"/>
          <w:spacing w:val="5"/>
          <w:sz w:val="32"/>
          <w:szCs w:val="32"/>
          <w:highlight w:val="none"/>
          <w14:textFill>
            <w14:solidFill>
              <w14:schemeClr w14:val="tx1"/>
            </w14:solidFill>
          </w14:textFill>
        </w:rPr>
        <w:t>不支出</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；公务接待费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预算数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万元，决算数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万元，预决算差异率</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0.00%</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主要原因是：</w:t>
      </w:r>
      <w:r>
        <w:rPr>
          <w:rFonts w:hint="eastAsia" w:ascii="仿宋_GB2312" w:hAnsi="仿宋_GB2312" w:eastAsia="仿宋_GB2312" w:cs="仿宋_GB2312"/>
          <w:color w:val="000000" w:themeColor="text1"/>
          <w:spacing w:val="5"/>
          <w:sz w:val="32"/>
          <w:szCs w:val="32"/>
          <w:highlight w:val="none"/>
          <w14:textFill>
            <w14:solidFill>
              <w14:schemeClr w14:val="tx1"/>
            </w14:solidFill>
          </w14:textFill>
        </w:rPr>
        <w:t>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en-US" w:eastAsia="zh-CN"/>
        </w:rPr>
      </w:pPr>
      <w:bookmarkStart w:id="22" w:name="_Toc7927"/>
      <w:bookmarkStart w:id="23" w:name="_Toc5810"/>
      <w:r>
        <w:rPr>
          <w:rFonts w:hint="eastAsia" w:ascii="黑体" w:hAnsi="黑体" w:eastAsia="黑体" w:cs="宋体"/>
          <w:b w:val="0"/>
          <w:bCs/>
          <w:kern w:val="0"/>
          <w:sz w:val="32"/>
          <w:szCs w:val="32"/>
          <w:highlight w:val="none"/>
          <w:lang w:val="en-US" w:eastAsia="zh-CN"/>
        </w:rPr>
        <w:t>八、政府性基金预算财政拨款收入支出决算情况说明</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本年度无政府性基金预算财政拨款收入、支出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政府性基金预算财政拨款收入支出决算表为空表。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zh-CN" w:eastAsia="zh-CN"/>
        </w:rPr>
      </w:pPr>
      <w:r>
        <w:rPr>
          <w:rFonts w:hint="eastAsia" w:ascii="黑体" w:hAnsi="黑体" w:eastAsia="黑体" w:cs="宋体"/>
          <w:b w:val="0"/>
          <w:bCs/>
          <w:kern w:val="0"/>
          <w:sz w:val="32"/>
          <w:szCs w:val="32"/>
          <w:highlight w:val="none"/>
          <w:lang w:val="en-US" w:eastAsia="zh-CN"/>
        </w:rPr>
        <w:t>九</w:t>
      </w:r>
      <w:r>
        <w:rPr>
          <w:rFonts w:hint="eastAsia" w:ascii="黑体" w:hAnsi="黑体" w:eastAsia="黑体" w:cs="宋体"/>
          <w:b w:val="0"/>
          <w:bCs/>
          <w:kern w:val="0"/>
          <w:sz w:val="32"/>
          <w:szCs w:val="32"/>
          <w:highlight w:val="none"/>
          <w:lang w:val="zh-CN"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本年度无国有资本经营预算财政拨款收入、支出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，国有资本经营</w:t>
      </w:r>
      <w:r>
        <w:rPr>
          <w:rFonts w:hint="eastAsia" w:ascii="仿宋_GB2312" w:hAnsi="仿宋_GB2312" w:eastAsia="仿宋_GB2312" w:cs="仿宋_GB2312"/>
          <w:sz w:val="32"/>
          <w:szCs w:val="32"/>
          <w:highlight w:val="none"/>
        </w:rPr>
        <w:t>预算财政拨款收入支出决算表为空表。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zh-CN" w:eastAsia="zh-CN"/>
        </w:rPr>
      </w:pPr>
      <w:bookmarkStart w:id="24" w:name="_Toc7314"/>
      <w:bookmarkStart w:id="25" w:name="_Toc1235"/>
      <w:r>
        <w:rPr>
          <w:rFonts w:hint="eastAsia" w:ascii="黑体" w:hAnsi="黑体" w:eastAsia="黑体" w:cs="宋体"/>
          <w:b w:val="0"/>
          <w:bCs/>
          <w:kern w:val="0"/>
          <w:sz w:val="32"/>
          <w:szCs w:val="32"/>
          <w:highlight w:val="none"/>
          <w:lang w:val="zh-CN" w:eastAsia="zh-CN"/>
        </w:rPr>
        <w:t>十、其他重要事项的情况说明</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zh-CN" w:eastAsia="zh-CN"/>
        </w:rPr>
      </w:pPr>
      <w:bookmarkStart w:id="26" w:name="_Toc14519"/>
      <w:bookmarkStart w:id="27" w:name="_Toc13105"/>
      <w:r>
        <w:rPr>
          <w:rFonts w:hint="eastAsia" w:ascii="黑体" w:hAnsi="黑体" w:eastAsia="黑体" w:cs="宋体"/>
          <w:b w:val="0"/>
          <w:bCs/>
          <w:kern w:val="0"/>
          <w:sz w:val="32"/>
          <w:szCs w:val="32"/>
          <w:highlight w:val="none"/>
          <w:lang w:val="zh-CN" w:eastAsia="zh-CN"/>
        </w:rPr>
        <w:t>（一）机关运行经费支出情况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eastAsia="zh-CN"/>
        </w:rPr>
      </w:pPr>
      <w:r>
        <w:rPr>
          <w:rFonts w:hint="eastAsia" w:ascii="仿宋_GB2312" w:hAnsi="仿宋_GB2312" w:eastAsia="仿宋_GB2312" w:cs="仿宋_GB2312"/>
          <w:sz w:val="32"/>
          <w:szCs w:val="32"/>
          <w:highlight w:val="none"/>
          <w:lang w:val="en-US" w:eastAsia="zh-CN"/>
        </w:rPr>
        <w:t>2023年度</w:t>
      </w:r>
      <w:bookmarkStart w:id="52" w:name="_GoBack"/>
      <w:bookmarkEnd w:id="52"/>
      <w:r>
        <w:rPr>
          <w:rFonts w:hint="eastAsia" w:ascii="仿宋_GB2312" w:hAnsi="仿宋_GB2312" w:eastAsia="仿宋_GB2312" w:cs="仿宋_GB2312"/>
          <w:sz w:val="32"/>
          <w:szCs w:val="32"/>
          <w:highlight w:val="none"/>
          <w:lang w:val="en-US" w:eastAsia="zh-CN"/>
        </w:rPr>
        <w:t>新疆克孜勒苏柯尔克孜自治州无线电管理局</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pacing w:val="8"/>
          <w:sz w:val="32"/>
          <w:szCs w:val="32"/>
        </w:rPr>
        <w:t>事业单位</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公用</w:t>
      </w:r>
      <w:r>
        <w:rPr>
          <w:rFonts w:hint="eastAsia" w:ascii="仿宋_GB2312" w:hAnsi="仿宋_GB2312" w:eastAsia="仿宋_GB2312" w:cs="仿宋_GB2312"/>
          <w:sz w:val="32"/>
          <w:szCs w:val="32"/>
          <w:highlight w:val="none"/>
          <w:lang w:val="zh-CN" w:eastAsia="zh-CN"/>
        </w:rPr>
        <w:t>经费支出7.72万元，比上年减少1.09万元，下降12.</w:t>
      </w:r>
      <w:r>
        <w:rPr>
          <w:rFonts w:hint="eastAsia" w:ascii="仿宋_GB2312" w:hAnsi="仿宋_GB2312" w:eastAsia="仿宋_GB2312" w:cs="仿宋_GB2312"/>
          <w:sz w:val="32"/>
          <w:szCs w:val="32"/>
          <w:highlight w:val="none"/>
          <w:lang w:val="en-US" w:eastAsia="zh-CN"/>
        </w:rPr>
        <w:t>37</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lang w:val="en-US" w:eastAsia="zh-CN"/>
        </w:rPr>
        <w:t>厉行节约，大力控制公务用车运行维护费、办公费、差旅费等开支</w:t>
      </w:r>
      <w:r>
        <w:rPr>
          <w:rFonts w:hint="eastAsia" w:ascii="仿宋_GB2312" w:hAnsi="仿宋_GB2312" w:eastAsia="仿宋_GB2312" w:cs="仿宋_GB2312"/>
          <w:sz w:val="32"/>
          <w:szCs w:val="32"/>
          <w:highlight w:val="none"/>
          <w:lang w:val="zh-CN" w:eastAsia="zh-CN"/>
        </w:rPr>
        <w:t>。</w:t>
      </w:r>
    </w:p>
    <w:p>
      <w:pPr>
        <w:pStyle w:val="7"/>
        <w:rPr>
          <w:rFonts w:hint="eastAsia"/>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zh-CN" w:eastAsia="zh-CN"/>
        </w:rPr>
      </w:pPr>
      <w:bookmarkStart w:id="28" w:name="_Toc227"/>
      <w:bookmarkStart w:id="29" w:name="_Toc26704"/>
      <w:r>
        <w:rPr>
          <w:rFonts w:hint="eastAsia" w:ascii="黑体" w:hAnsi="黑体" w:eastAsia="黑体" w:cs="宋体"/>
          <w:b w:val="0"/>
          <w:bCs/>
          <w:kern w:val="0"/>
          <w:sz w:val="32"/>
          <w:szCs w:val="32"/>
          <w:highlight w:val="none"/>
          <w:lang w:val="zh-CN" w:eastAsia="zh-CN"/>
        </w:rPr>
        <w:t>（二）政府采购情况</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eastAsia="zh-CN"/>
        </w:rPr>
        <w:t>2023年度</w:t>
      </w:r>
      <w:r>
        <w:rPr>
          <w:rFonts w:hint="eastAsia" w:ascii="仿宋_GB2312" w:hAnsi="仿宋_GB2312" w:eastAsia="仿宋_GB2312" w:cs="仿宋_GB2312"/>
          <w:sz w:val="32"/>
          <w:szCs w:val="32"/>
          <w:highlight w:val="none"/>
          <w:lang w:val="zh-CN"/>
        </w:rPr>
        <w:t>政府采购支出总额</w:t>
      </w:r>
      <w:r>
        <w:rPr>
          <w:rFonts w:hint="eastAsia" w:ascii="仿宋_GB2312" w:hAnsi="仿宋_GB2312" w:eastAsia="仿宋_GB2312" w:cs="仿宋_GB2312"/>
          <w:sz w:val="32"/>
          <w:szCs w:val="32"/>
          <w:highlight w:val="none"/>
          <w:lang w:val="zh-CN" w:eastAsia="zh-CN"/>
        </w:rPr>
        <w:t>11.04</w:t>
      </w:r>
      <w:r>
        <w:rPr>
          <w:rFonts w:hint="eastAsia" w:ascii="仿宋_GB2312" w:hAnsi="仿宋_GB2312" w:eastAsia="仿宋_GB2312" w:cs="仿宋_GB2312"/>
          <w:sz w:val="32"/>
          <w:szCs w:val="32"/>
          <w:highlight w:val="none"/>
          <w:lang w:val="zh-CN"/>
        </w:rPr>
        <w:t>万元，其中：政府采购货物支出</w:t>
      </w:r>
      <w:r>
        <w:rPr>
          <w:rFonts w:hint="eastAsia" w:ascii="仿宋_GB2312" w:hAnsi="仿宋_GB2312" w:eastAsia="仿宋_GB2312" w:cs="仿宋_GB2312"/>
          <w:sz w:val="32"/>
          <w:szCs w:val="32"/>
          <w:highlight w:val="none"/>
          <w:lang w:val="zh-CN" w:eastAsia="zh-CN"/>
        </w:rPr>
        <w:t>1.81</w:t>
      </w:r>
      <w:r>
        <w:rPr>
          <w:rFonts w:hint="eastAsia" w:ascii="仿宋_GB2312" w:hAnsi="仿宋_GB2312" w:eastAsia="仿宋_GB2312" w:cs="仿宋_GB2312"/>
          <w:sz w:val="32"/>
          <w:szCs w:val="32"/>
          <w:highlight w:val="none"/>
          <w:lang w:val="zh-CN"/>
        </w:rPr>
        <w:t>万元、政府采购工程支出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万元、政府采购服务支出</w:t>
      </w:r>
      <w:r>
        <w:rPr>
          <w:rFonts w:hint="eastAsia" w:ascii="仿宋_GB2312" w:hAnsi="仿宋_GB2312" w:eastAsia="仿宋_GB2312" w:cs="仿宋_GB2312"/>
          <w:sz w:val="32"/>
          <w:szCs w:val="32"/>
          <w:highlight w:val="none"/>
          <w:lang w:val="zh-CN" w:eastAsia="zh-CN"/>
        </w:rPr>
        <w:t>9.23</w:t>
      </w:r>
      <w:r>
        <w:rPr>
          <w:rFonts w:hint="eastAsia" w:ascii="仿宋_GB2312" w:hAnsi="仿宋_GB2312" w:eastAsia="仿宋_GB2312" w:cs="仿宋_GB2312"/>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授予中小企业合同金额</w:t>
      </w:r>
      <w:r>
        <w:rPr>
          <w:rFonts w:hint="eastAsia" w:ascii="仿宋_GB2312" w:hAnsi="仿宋_GB2312" w:eastAsia="仿宋_GB2312" w:cs="仿宋_GB2312"/>
          <w:sz w:val="32"/>
          <w:szCs w:val="32"/>
          <w:highlight w:val="none"/>
          <w:lang w:val="zh-CN" w:eastAsia="zh-CN"/>
        </w:rPr>
        <w:t>6.92</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62.6</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，其中：授予小微企业合同金额</w:t>
      </w:r>
      <w:r>
        <w:rPr>
          <w:rFonts w:hint="eastAsia" w:ascii="仿宋_GB2312" w:hAnsi="仿宋_GB2312" w:eastAsia="仿宋_GB2312" w:cs="仿宋_GB2312"/>
          <w:sz w:val="32"/>
          <w:szCs w:val="32"/>
          <w:highlight w:val="none"/>
          <w:lang w:val="zh-CN" w:eastAsia="zh-CN"/>
        </w:rPr>
        <w:t>4.51</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40.8</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 w:val="0"/>
          <w:bCs/>
          <w:kern w:val="0"/>
          <w:sz w:val="32"/>
          <w:szCs w:val="32"/>
          <w:highlight w:val="none"/>
          <w:lang w:val="zh-CN" w:eastAsia="zh-CN"/>
        </w:rPr>
      </w:pPr>
      <w:bookmarkStart w:id="30" w:name="_Toc8391"/>
      <w:bookmarkStart w:id="31" w:name="_Toc4591"/>
      <w:r>
        <w:rPr>
          <w:rFonts w:hint="eastAsia" w:ascii="黑体" w:hAnsi="黑体" w:eastAsia="黑体" w:cs="宋体"/>
          <w:b w:val="0"/>
          <w:bCs/>
          <w:kern w:val="0"/>
          <w:sz w:val="32"/>
          <w:szCs w:val="32"/>
          <w:highlight w:val="none"/>
          <w:lang w:val="zh-CN" w:eastAsia="zh-CN"/>
        </w:rPr>
        <w:t>（三）国有资产占用情况说明</w:t>
      </w:r>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en-US" w:eastAsia="zh-CN"/>
        </w:rPr>
        <w:t>截至2023</w:t>
      </w:r>
      <w:r>
        <w:rPr>
          <w:rFonts w:hint="eastAsia" w:ascii="仿宋_GB2312" w:hAnsi="仿宋_GB2312" w:eastAsia="仿宋_GB2312" w:cs="仿宋_GB2312"/>
          <w:sz w:val="32"/>
          <w:szCs w:val="32"/>
          <w:highlight w:val="none"/>
          <w:lang w:val="zh-CN" w:eastAsia="zh-CN"/>
        </w:rPr>
        <w:t>年</w:t>
      </w:r>
      <w:r>
        <w:rPr>
          <w:rFonts w:hint="eastAsia" w:ascii="仿宋_GB2312" w:hAnsi="仿宋_GB2312" w:eastAsia="仿宋_GB2312" w:cs="仿宋_GB2312"/>
          <w:sz w:val="32"/>
          <w:szCs w:val="32"/>
          <w:highlight w:val="none"/>
          <w:lang w:val="en-US" w:eastAsia="zh-CN"/>
        </w:rPr>
        <w:t>12月31日</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固定资产原值</w:t>
      </w:r>
      <w:r>
        <w:rPr>
          <w:rFonts w:hint="eastAsia" w:ascii="仿宋_GB2312" w:hAnsi="仿宋_GB2312" w:eastAsia="仿宋_GB2312" w:cs="仿宋_GB2312"/>
          <w:sz w:val="32"/>
          <w:szCs w:val="32"/>
          <w:highlight w:val="none"/>
          <w:lang w:val="zh-CN" w:eastAsia="zh-CN"/>
        </w:rPr>
        <w:t>3,039.47</w:t>
      </w:r>
      <w:r>
        <w:rPr>
          <w:rFonts w:hint="eastAsia" w:ascii="仿宋_GB2312" w:hAnsi="仿宋_GB2312" w:eastAsia="仿宋_GB2312" w:cs="仿宋_GB2312"/>
          <w:sz w:val="32"/>
          <w:szCs w:val="32"/>
          <w:highlight w:val="none"/>
          <w:lang w:val="en-US" w:eastAsia="zh-CN"/>
        </w:rPr>
        <w:t>万元，房</w:t>
      </w:r>
      <w:r>
        <w:rPr>
          <w:rFonts w:hint="eastAsia" w:ascii="仿宋_GB2312" w:hAnsi="仿宋_GB2312" w:eastAsia="仿宋_GB2312" w:cs="仿宋_GB2312"/>
          <w:sz w:val="32"/>
          <w:szCs w:val="32"/>
          <w:highlight w:val="none"/>
          <w:lang w:val="zh-CN"/>
        </w:rPr>
        <w:t>屋</w:t>
      </w:r>
      <w:r>
        <w:rPr>
          <w:rFonts w:hint="eastAsia" w:ascii="仿宋_GB2312" w:hAnsi="仿宋_GB2312" w:eastAsia="仿宋_GB2312" w:cs="仿宋_GB2312"/>
          <w:sz w:val="32"/>
          <w:szCs w:val="32"/>
          <w:highlight w:val="none"/>
          <w:lang w:val="zh-CN" w:eastAsia="zh-CN"/>
        </w:rPr>
        <w:t>1435.17</w:t>
      </w:r>
      <w:r>
        <w:rPr>
          <w:rFonts w:hint="eastAsia" w:ascii="仿宋_GB2312" w:hAnsi="仿宋_GB2312" w:eastAsia="仿宋_GB2312" w:cs="仿宋_GB2312"/>
          <w:sz w:val="32"/>
          <w:szCs w:val="32"/>
          <w:highlight w:val="none"/>
          <w:lang w:val="zh-CN"/>
        </w:rPr>
        <w:t>平方米</w:t>
      </w:r>
      <w:r>
        <w:rPr>
          <w:rFonts w:hint="eastAsia" w:ascii="仿宋_GB2312" w:hAnsi="仿宋_GB2312" w:eastAsia="仿宋_GB2312" w:cs="仿宋_GB2312"/>
          <w:sz w:val="32"/>
          <w:szCs w:val="32"/>
          <w:highlight w:val="none"/>
          <w:lang w:val="zh-CN" w:eastAsia="zh-CN"/>
        </w:rPr>
        <w:t>，价值350.98</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车辆</w:t>
      </w:r>
      <w:r>
        <w:rPr>
          <w:rFonts w:hint="eastAsia" w:ascii="仿宋_GB2312" w:hAnsi="仿宋_GB2312" w:eastAsia="仿宋_GB2312" w:cs="仿宋_GB2312"/>
          <w:sz w:val="32"/>
          <w:szCs w:val="32"/>
          <w:highlight w:val="none"/>
          <w:lang w:val="zh-CN" w:eastAsia="zh-CN"/>
        </w:rPr>
        <w:t>4</w:t>
      </w:r>
      <w:r>
        <w:rPr>
          <w:rFonts w:hint="eastAsia" w:ascii="仿宋_GB2312" w:hAnsi="仿宋_GB2312" w:eastAsia="仿宋_GB2312" w:cs="仿宋_GB2312"/>
          <w:sz w:val="32"/>
          <w:szCs w:val="32"/>
          <w:highlight w:val="none"/>
          <w:lang w:val="zh-CN"/>
        </w:rPr>
        <w:t>辆，价值</w:t>
      </w:r>
      <w:r>
        <w:rPr>
          <w:rFonts w:hint="eastAsia" w:ascii="仿宋_GB2312" w:hAnsi="仿宋_GB2312" w:eastAsia="仿宋_GB2312" w:cs="仿宋_GB2312"/>
          <w:sz w:val="32"/>
          <w:szCs w:val="32"/>
          <w:highlight w:val="none"/>
          <w:lang w:val="zh-CN" w:eastAsia="zh-CN"/>
        </w:rPr>
        <w:t>180.34</w:t>
      </w:r>
      <w:r>
        <w:rPr>
          <w:rFonts w:hint="eastAsia" w:ascii="仿宋_GB2312" w:hAnsi="仿宋_GB2312" w:eastAsia="仿宋_GB2312" w:cs="仿宋_GB2312"/>
          <w:sz w:val="32"/>
          <w:szCs w:val="32"/>
          <w:highlight w:val="none"/>
          <w:lang w:val="zh-CN"/>
        </w:rPr>
        <w:t>万元，其中：副部（省）级及以上领导用车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辆、主要</w:t>
      </w:r>
      <w:r>
        <w:rPr>
          <w:rFonts w:hint="eastAsia" w:ascii="仿宋_GB2312" w:hAnsi="仿宋_GB2312" w:eastAsia="仿宋_GB2312" w:cs="仿宋_GB2312"/>
          <w:sz w:val="32"/>
          <w:szCs w:val="32"/>
          <w:highlight w:val="none"/>
          <w:lang w:val="en-US" w:eastAsia="zh-CN"/>
        </w:rPr>
        <w:t>负责人</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辆、机要通信用车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辆、应急保障用车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辆、执法执勤用车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辆、特种专业技术用车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辆、离退休干部</w:t>
      </w:r>
      <w:r>
        <w:rPr>
          <w:rFonts w:hint="eastAsia" w:ascii="仿宋_GB2312" w:hAnsi="仿宋_GB2312" w:eastAsia="仿宋_GB2312" w:cs="仿宋_GB2312"/>
          <w:sz w:val="32"/>
          <w:szCs w:val="32"/>
          <w:highlight w:val="none"/>
          <w:lang w:val="en-US" w:eastAsia="zh-CN"/>
        </w:rPr>
        <w:t>服务</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辆、其他用车</w:t>
      </w:r>
      <w:r>
        <w:rPr>
          <w:rFonts w:hint="eastAsia" w:ascii="仿宋_GB2312" w:hAnsi="仿宋_GB2312" w:eastAsia="仿宋_GB2312" w:cs="仿宋_GB2312"/>
          <w:sz w:val="32"/>
          <w:szCs w:val="32"/>
          <w:highlight w:val="none"/>
          <w:lang w:val="zh-CN" w:eastAsia="zh-CN"/>
        </w:rPr>
        <w:t>4</w:t>
      </w:r>
      <w:r>
        <w:rPr>
          <w:rFonts w:hint="eastAsia" w:ascii="仿宋_GB2312" w:hAnsi="仿宋_GB2312" w:eastAsia="仿宋_GB2312" w:cs="仿宋_GB2312"/>
          <w:sz w:val="32"/>
          <w:szCs w:val="32"/>
          <w:highlight w:val="none"/>
          <w:lang w:val="zh-CN"/>
        </w:rPr>
        <w:t>辆，其他用车主要是：</w:t>
      </w:r>
      <w:r>
        <w:rPr>
          <w:rFonts w:hint="eastAsia" w:ascii="仿宋_GB2312" w:hAnsi="仿宋_GB2312" w:eastAsia="仿宋_GB2312" w:cs="仿宋_GB2312"/>
          <w:spacing w:val="5"/>
          <w:sz w:val="32"/>
          <w:szCs w:val="32"/>
          <w:lang w:val="en-US" w:eastAsia="zh-CN"/>
        </w:rPr>
        <w:t>业务用车</w:t>
      </w:r>
      <w:r>
        <w:rPr>
          <w:rFonts w:hint="eastAsia" w:ascii="仿宋_GB2312" w:hAnsi="仿宋_GB2312" w:eastAsia="仿宋_GB2312" w:cs="仿宋_GB2312"/>
          <w:sz w:val="32"/>
          <w:szCs w:val="32"/>
          <w:highlight w:val="none"/>
          <w:lang w:val="zh-CN"/>
        </w:rPr>
        <w:t>；单价100万元（含）以上设备（不含车辆）</w:t>
      </w:r>
      <w:r>
        <w:rPr>
          <w:rFonts w:hint="eastAsia" w:ascii="仿宋_GB2312" w:hAnsi="仿宋_GB2312" w:eastAsia="仿宋_GB2312" w:cs="仿宋_GB2312"/>
          <w:sz w:val="32"/>
          <w:szCs w:val="32"/>
          <w:highlight w:val="none"/>
          <w:lang w:val="zh-CN" w:eastAsia="zh-CN"/>
        </w:rPr>
        <w:t>3</w:t>
      </w:r>
      <w:r>
        <w:rPr>
          <w:rFonts w:hint="eastAsia" w:ascii="仿宋_GB2312" w:hAnsi="仿宋_GB2312" w:eastAsia="仿宋_GB2312" w:cs="仿宋_GB2312"/>
          <w:sz w:val="32"/>
          <w:szCs w:val="32"/>
          <w:highlight w:val="none"/>
          <w:lang w:val="en-US" w:eastAsia="zh-CN"/>
        </w:rPr>
        <w:t>台（</w:t>
      </w:r>
      <w:r>
        <w:rPr>
          <w:rFonts w:hint="eastAsia" w:ascii="仿宋_GB2312" w:hAnsi="仿宋_GB2312" w:eastAsia="仿宋_GB2312" w:cs="仿宋_GB2312"/>
          <w:sz w:val="32"/>
          <w:szCs w:val="32"/>
          <w:highlight w:val="none"/>
          <w:lang w:val="zh-CN"/>
        </w:rPr>
        <w:t>套）。</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kern w:val="0"/>
          <w:sz w:val="32"/>
          <w:szCs w:val="32"/>
          <w:highlight w:val="none"/>
          <w:lang w:eastAsia="zh-CN"/>
        </w:rPr>
      </w:pPr>
      <w:bookmarkStart w:id="32" w:name="_Toc11283"/>
      <w:bookmarkStart w:id="33" w:name="_Toc4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2"/>
      <w:bookmarkEnd w:id="33"/>
    </w:p>
    <w:p>
      <w:pPr>
        <w:ind w:firstLine="640" w:firstLineChars="200"/>
        <w:rPr>
          <w:rFonts w:hint="eastAsia" w:ascii="仿宋_GB2312" w:hAnsi="仿宋_GB2312" w:eastAsia="仿宋_GB2312" w:cs="仿宋_GB2312"/>
          <w:color w:val="0070C0"/>
          <w:sz w:val="32"/>
          <w:szCs w:val="32"/>
        </w:rPr>
      </w:pPr>
      <w:r>
        <w:rPr>
          <w:rFonts w:hint="eastAsia" w:ascii="仿宋_GB2312" w:eastAsia="仿宋_GB2312"/>
          <w:sz w:val="32"/>
          <w:szCs w:val="32"/>
          <w:highlight w:val="none"/>
          <w:lang w:eastAsia="zh-CN"/>
        </w:rPr>
        <w:t>根据预算绩效管理要求，我单位2023年度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highlight w:val="none"/>
          <w:lang w:eastAsia="zh-CN"/>
        </w:rPr>
        <w:t>预算绩效评价项目</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个，</w:t>
      </w:r>
      <w:r>
        <w:rPr>
          <w:rFonts w:hint="eastAsia" w:ascii="仿宋_GB2312" w:eastAsia="仿宋_GB2312"/>
          <w:sz w:val="32"/>
          <w:szCs w:val="32"/>
          <w:highlight w:val="none"/>
          <w:lang w:val="en-US" w:eastAsia="zh-CN"/>
        </w:rPr>
        <w:t>全年预算数0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全年执行数0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hAnsi="仿宋_GB2312" w:eastAsia="仿宋_GB2312" w:cs="仿宋_GB2312"/>
          <w:spacing w:val="9"/>
          <w:sz w:val="32"/>
          <w:szCs w:val="32"/>
        </w:rPr>
        <w:t>预算绩效</w:t>
      </w:r>
      <w:r>
        <w:rPr>
          <w:rFonts w:hint="eastAsia" w:ascii="仿宋_GB2312" w:hAnsi="仿宋_GB2312" w:eastAsia="仿宋_GB2312" w:cs="仿宋_GB2312"/>
          <w:spacing w:val="8"/>
          <w:sz w:val="32"/>
          <w:szCs w:val="32"/>
        </w:rPr>
        <w:t>管理</w:t>
      </w:r>
      <w:r>
        <w:rPr>
          <w:rFonts w:hint="eastAsia" w:ascii="仿宋_GB2312" w:hAnsi="仿宋_GB2312" w:eastAsia="仿宋_GB2312" w:cs="仿宋_GB2312"/>
          <w:spacing w:val="6"/>
          <w:sz w:val="32"/>
          <w:szCs w:val="32"/>
        </w:rPr>
        <w:t>取得的成效：一是严格执行自治区工信厅预算绩效管理办法，</w:t>
      </w:r>
      <w:r>
        <w:rPr>
          <w:rFonts w:hint="eastAsia" w:ascii="仿宋_GB2312" w:hAnsi="仿宋_GB2312" w:eastAsia="仿宋_GB2312" w:cs="仿宋_GB2312"/>
          <w:spacing w:val="9"/>
          <w:sz w:val="32"/>
          <w:szCs w:val="32"/>
        </w:rPr>
        <w:t>日常对项目资金加快预算执行，确保绩效监控和绩效评</w:t>
      </w:r>
      <w:r>
        <w:rPr>
          <w:rFonts w:hint="eastAsia" w:ascii="仿宋_GB2312" w:hAnsi="仿宋_GB2312" w:eastAsia="仿宋_GB2312" w:cs="仿宋_GB2312"/>
          <w:spacing w:val="8"/>
          <w:sz w:val="32"/>
          <w:szCs w:val="32"/>
        </w:rPr>
        <w:t>价执</w:t>
      </w:r>
      <w:r>
        <w:rPr>
          <w:rFonts w:hint="eastAsia" w:ascii="仿宋_GB2312" w:hAnsi="仿宋_GB2312" w:eastAsia="仿宋_GB2312" w:cs="仿宋_GB2312"/>
          <w:spacing w:val="9"/>
          <w:sz w:val="32"/>
          <w:szCs w:val="32"/>
        </w:rPr>
        <w:t>行率，规范预算执行活动，确保预算执行的准确性</w:t>
      </w:r>
      <w:r>
        <w:rPr>
          <w:rFonts w:hint="eastAsia" w:ascii="仿宋_GB2312" w:hAnsi="仿宋_GB2312" w:eastAsia="仿宋_GB2312" w:cs="仿宋_GB2312"/>
          <w:spacing w:val="8"/>
          <w:sz w:val="32"/>
          <w:szCs w:val="32"/>
        </w:rPr>
        <w:t>、及时性</w:t>
      </w:r>
      <w:r>
        <w:rPr>
          <w:rFonts w:hint="eastAsia" w:ascii="仿宋_GB2312" w:hAnsi="仿宋_GB2312" w:eastAsia="仿宋_GB2312" w:cs="仿宋_GB2312"/>
          <w:spacing w:val="9"/>
          <w:sz w:val="32"/>
          <w:szCs w:val="32"/>
        </w:rPr>
        <w:t>和规范性，发挥资金的最大效用，取得了良</w:t>
      </w:r>
      <w:r>
        <w:rPr>
          <w:rFonts w:hint="eastAsia" w:ascii="仿宋_GB2312" w:hAnsi="仿宋_GB2312" w:eastAsia="仿宋_GB2312" w:cs="仿宋_GB2312"/>
          <w:spacing w:val="8"/>
          <w:sz w:val="32"/>
          <w:szCs w:val="32"/>
        </w:rPr>
        <w:t>好的绩效成果；</w:t>
      </w:r>
      <w:r>
        <w:rPr>
          <w:rFonts w:hint="eastAsia" w:ascii="仿宋_GB2312" w:hAnsi="仿宋_GB2312" w:eastAsia="仿宋_GB2312" w:cs="仿宋_GB2312"/>
          <w:spacing w:val="21"/>
          <w:sz w:val="32"/>
          <w:szCs w:val="32"/>
        </w:rPr>
        <w:t>二是各项工作实施及资金使用情况均在绩效目标设</w:t>
      </w:r>
      <w:r>
        <w:rPr>
          <w:rFonts w:hint="eastAsia" w:ascii="仿宋_GB2312" w:hAnsi="仿宋_GB2312" w:eastAsia="仿宋_GB2312" w:cs="仿宋_GB2312"/>
          <w:spacing w:val="20"/>
          <w:sz w:val="32"/>
          <w:szCs w:val="32"/>
        </w:rPr>
        <w:t>定时限</w:t>
      </w:r>
      <w:r>
        <w:rPr>
          <w:rFonts w:hint="eastAsia" w:ascii="仿宋_GB2312" w:hAnsi="仿宋_GB2312" w:eastAsia="仿宋_GB2312" w:cs="仿宋_GB2312"/>
          <w:spacing w:val="8"/>
          <w:sz w:val="32"/>
          <w:szCs w:val="32"/>
        </w:rPr>
        <w:t>完成，在项目经费的使用上，在保证各项任务顺利完成的同时，严格落实厉行节约的原则；三是做好项目保障工</w:t>
      </w:r>
      <w:r>
        <w:rPr>
          <w:rFonts w:hint="eastAsia" w:ascii="仿宋_GB2312" w:hAnsi="仿宋_GB2312" w:eastAsia="仿宋_GB2312" w:cs="仿宋_GB2312"/>
          <w:spacing w:val="7"/>
          <w:sz w:val="32"/>
          <w:szCs w:val="32"/>
        </w:rPr>
        <w:t>作，确</w:t>
      </w:r>
      <w:r>
        <w:rPr>
          <w:rFonts w:hint="eastAsia" w:ascii="仿宋_GB2312" w:hAnsi="仿宋_GB2312" w:eastAsia="仿宋_GB2312" w:cs="仿宋_GB2312"/>
          <w:spacing w:val="9"/>
          <w:sz w:val="32"/>
          <w:szCs w:val="32"/>
        </w:rPr>
        <w:t>保项目质量和效益，助力经济高质量发展，维护社会稳定和长治久安。发现的问题及原因：组织开展项目</w:t>
      </w:r>
      <w:r>
        <w:rPr>
          <w:rFonts w:hint="eastAsia" w:ascii="仿宋_GB2312" w:hAnsi="仿宋_GB2312" w:eastAsia="仿宋_GB2312" w:cs="仿宋_GB2312"/>
          <w:spacing w:val="8"/>
          <w:sz w:val="32"/>
          <w:szCs w:val="32"/>
        </w:rPr>
        <w:t>绩效评价工作</w:t>
      </w:r>
      <w:r>
        <w:rPr>
          <w:rFonts w:hint="eastAsia" w:ascii="仿宋_GB2312" w:hAnsi="仿宋_GB2312" w:eastAsia="仿宋_GB2312" w:cs="仿宋_GB2312"/>
          <w:spacing w:val="15"/>
          <w:sz w:val="32"/>
          <w:szCs w:val="32"/>
        </w:rPr>
        <w:t>时,因项目采购、合同执行周期长，致使项</w:t>
      </w:r>
      <w:r>
        <w:rPr>
          <w:rFonts w:hint="eastAsia" w:ascii="仿宋_GB2312" w:hAnsi="仿宋_GB2312" w:eastAsia="仿宋_GB2312" w:cs="仿宋_GB2312"/>
          <w:spacing w:val="14"/>
          <w:sz w:val="32"/>
          <w:szCs w:val="32"/>
        </w:rPr>
        <w:t>目在绩效监控节</w:t>
      </w:r>
      <w:r>
        <w:rPr>
          <w:rFonts w:hint="eastAsia" w:ascii="仿宋_GB2312" w:hAnsi="仿宋_GB2312" w:eastAsia="仿宋_GB2312" w:cs="仿宋_GB2312"/>
          <w:spacing w:val="9"/>
          <w:sz w:val="32"/>
          <w:szCs w:val="32"/>
        </w:rPr>
        <w:t>点时，影响单位整体绩效评价总体分值</w:t>
      </w:r>
      <w:r>
        <w:rPr>
          <w:rFonts w:hint="eastAsia" w:ascii="仿宋_GB2312" w:hAnsi="仿宋_GB2312" w:eastAsia="仿宋_GB2312" w:cs="仿宋_GB2312"/>
          <w:spacing w:val="9"/>
          <w:sz w:val="32"/>
          <w:szCs w:val="32"/>
          <w:lang w:eastAsia="zh-CN"/>
        </w:rPr>
        <w:t>。</w:t>
      </w:r>
      <w:r>
        <w:rPr>
          <w:rFonts w:hint="eastAsia" w:ascii="仿宋_GB2312" w:hAnsi="仿宋_GB2312" w:eastAsia="仿宋_GB2312" w:cs="仿宋_GB2312"/>
          <w:spacing w:val="9"/>
          <w:sz w:val="32"/>
          <w:szCs w:val="32"/>
        </w:rPr>
        <w:t>下一</w:t>
      </w:r>
      <w:r>
        <w:rPr>
          <w:rFonts w:hint="eastAsia" w:ascii="仿宋_GB2312" w:hAnsi="仿宋_GB2312" w:eastAsia="仿宋_GB2312" w:cs="仿宋_GB2312"/>
          <w:spacing w:val="8"/>
          <w:sz w:val="32"/>
          <w:szCs w:val="32"/>
        </w:rPr>
        <w:t>步改进措施：</w:t>
      </w:r>
      <w:r>
        <w:rPr>
          <w:rFonts w:hint="eastAsia" w:ascii="仿宋_GB2312" w:hAnsi="仿宋_GB2312" w:eastAsia="仿宋_GB2312" w:cs="仿宋_GB2312"/>
          <w:spacing w:val="9"/>
          <w:sz w:val="32"/>
          <w:szCs w:val="32"/>
        </w:rPr>
        <w:t>一是完善各项内控制度，建立上下协调、科室</w:t>
      </w:r>
      <w:r>
        <w:rPr>
          <w:rFonts w:hint="eastAsia" w:ascii="仿宋_GB2312" w:hAnsi="仿宋_GB2312" w:eastAsia="仿宋_GB2312" w:cs="仿宋_GB2312"/>
          <w:spacing w:val="8"/>
          <w:sz w:val="32"/>
          <w:szCs w:val="32"/>
        </w:rPr>
        <w:t>联动、层层抓</w:t>
      </w:r>
      <w:r>
        <w:rPr>
          <w:rFonts w:hint="eastAsia" w:ascii="仿宋_GB2312" w:hAnsi="仿宋_GB2312" w:eastAsia="仿宋_GB2312" w:cs="仿宋_GB2312"/>
          <w:spacing w:val="9"/>
          <w:sz w:val="32"/>
          <w:szCs w:val="32"/>
        </w:rPr>
        <w:t>落实的工作责任制，将绩效管理责任分解落实</w:t>
      </w:r>
      <w:r>
        <w:rPr>
          <w:rFonts w:hint="eastAsia" w:ascii="仿宋_GB2312" w:hAnsi="仿宋_GB2312" w:eastAsia="仿宋_GB2312" w:cs="仿宋_GB2312"/>
          <w:spacing w:val="8"/>
          <w:sz w:val="32"/>
          <w:szCs w:val="32"/>
        </w:rPr>
        <w:t>到具体科室、</w:t>
      </w:r>
      <w:r>
        <w:rPr>
          <w:rFonts w:hint="eastAsia" w:ascii="仿宋_GB2312" w:hAnsi="仿宋_GB2312" w:eastAsia="仿宋_GB2312" w:cs="仿宋_GB2312"/>
          <w:spacing w:val="9"/>
          <w:sz w:val="32"/>
          <w:szCs w:val="32"/>
        </w:rPr>
        <w:t>明确到具体责任人，确保每一笔资金花得安全</w:t>
      </w:r>
      <w:r>
        <w:rPr>
          <w:rFonts w:hint="eastAsia" w:ascii="仿宋_GB2312" w:hAnsi="仿宋_GB2312" w:eastAsia="仿宋_GB2312" w:cs="仿宋_GB2312"/>
          <w:spacing w:val="8"/>
          <w:sz w:val="32"/>
          <w:szCs w:val="32"/>
        </w:rPr>
        <w:t>、用得高效；二是加强对专项资金预算绩效监控力度，加强对专项资金预</w:t>
      </w:r>
      <w:r>
        <w:rPr>
          <w:rFonts w:hint="eastAsia" w:ascii="仿宋_GB2312" w:hAnsi="仿宋_GB2312" w:eastAsia="仿宋_GB2312" w:cs="仿宋_GB2312"/>
          <w:spacing w:val="9"/>
          <w:sz w:val="32"/>
          <w:szCs w:val="32"/>
        </w:rPr>
        <w:t>算执行力度的考核，确保项目执行按期完成；</w:t>
      </w:r>
      <w:r>
        <w:rPr>
          <w:rFonts w:hint="eastAsia" w:ascii="仿宋_GB2312" w:hAnsi="仿宋_GB2312" w:eastAsia="仿宋_GB2312" w:cs="仿宋_GB2312"/>
          <w:spacing w:val="8"/>
          <w:sz w:val="32"/>
          <w:szCs w:val="32"/>
        </w:rPr>
        <w:t>三是建立健全绩效管理与预算管理有机结合的工作机制</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lang w:val="en-US" w:eastAsia="zh-CN"/>
        </w:rPr>
        <w:t>落实绩效评价结果成为预算编制的重要参考因素</w:t>
      </w:r>
      <w:r>
        <w:rPr>
          <w:rFonts w:hint="eastAsia" w:ascii="仿宋_GB2312" w:hAnsi="仿宋_GB2312" w:eastAsia="仿宋_GB2312" w:cs="仿宋_GB2312"/>
          <w:spacing w:val="8"/>
          <w:sz w:val="32"/>
          <w:szCs w:val="32"/>
          <w:lang w:eastAsia="zh-CN"/>
        </w:rPr>
        <w:t>。</w:t>
      </w:r>
    </w:p>
    <w:p>
      <w:pPr>
        <w:pStyle w:val="7"/>
        <w:rPr>
          <w:rFonts w:hint="eastAsia"/>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4" w:name="_Toc3250"/>
      <w:bookmarkStart w:id="35" w:name="_Toc24143"/>
      <w:r>
        <w:rPr>
          <w:rFonts w:hint="eastAsia" w:ascii="黑体" w:hAnsi="黑体" w:eastAsia="黑体"/>
          <w:sz w:val="32"/>
          <w:szCs w:val="32"/>
          <w:highlight w:val="none"/>
        </w:rPr>
        <w:br w:type="page"/>
      </w: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4"/>
      <w:bookmarkEnd w:id="35"/>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r>
        <w:rPr>
          <w:rFonts w:hint="eastAsia" w:ascii="黑体" w:hAnsi="黑体" w:eastAsia="黑体"/>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6062"/>
      <w:bookmarkStart w:id="37" w:name="_Toc2183"/>
      <w:r>
        <w:rPr>
          <w:rFonts w:hint="eastAsia" w:ascii="黑体" w:hAnsi="黑体" w:eastAsia="黑体" w:cs="宋体"/>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30364"/>
      <w:bookmarkStart w:id="39" w:name="_Toc24532"/>
      <w:r>
        <w:rPr>
          <w:rFonts w:hint="eastAsia" w:ascii="黑体" w:hAnsi="黑体" w:eastAsia="黑体" w:cs="宋体"/>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21304"/>
      <w:bookmarkStart w:id="41" w:name="_Toc32434"/>
      <w:r>
        <w:rPr>
          <w:rFonts w:hint="eastAsia" w:ascii="黑体" w:hAnsi="黑体" w:eastAsia="黑体" w:cs="宋体"/>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14238"/>
      <w:bookmarkStart w:id="43" w:name="_Toc28786"/>
      <w:r>
        <w:rPr>
          <w:rFonts w:hint="eastAsia" w:ascii="黑体" w:hAnsi="黑体" w:eastAsia="黑体" w:cs="宋体"/>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14869"/>
      <w:bookmarkStart w:id="45" w:name="_Toc10347"/>
      <w:r>
        <w:rPr>
          <w:rFonts w:hint="eastAsia" w:ascii="黑体" w:hAnsi="黑体" w:eastAsia="黑体" w:cs="宋体"/>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5626"/>
      <w:bookmarkStart w:id="47" w:name="_Toc8884"/>
      <w:r>
        <w:rPr>
          <w:rFonts w:hint="eastAsia" w:ascii="黑体" w:hAnsi="黑体" w:eastAsia="黑体" w:cs="宋体"/>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七、</w:t>
      </w:r>
      <w:bookmarkStart w:id="48" w:name="_Toc32663"/>
      <w:bookmarkStart w:id="49" w:name="_Toc29106"/>
      <w:r>
        <w:rPr>
          <w:rFonts w:hint="eastAsia" w:ascii="黑体" w:hAnsi="黑体" w:eastAsia="黑体" w:cs="宋体"/>
          <w:bCs/>
          <w:kern w:val="0"/>
          <w:sz w:val="32"/>
          <w:szCs w:val="32"/>
          <w:highlight w:val="none"/>
        </w:rPr>
        <w:t>《财政拨款“三公”经费支出决算表》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5453"/>
      <w:bookmarkStart w:id="51" w:name="_Toc7643"/>
      <w:r>
        <w:rPr>
          <w:rFonts w:hint="eastAsia" w:ascii="黑体" w:hAnsi="黑体" w:eastAsia="黑体" w:cs="宋体"/>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0B714E"/>
    <w:multiLevelType w:val="singleLevel"/>
    <w:tmpl w:val="0B0B714E"/>
    <w:lvl w:ilvl="0" w:tentative="0">
      <w:start w:val="2"/>
      <w:numFmt w:val="chineseCounting"/>
      <w:suff w:val="nothing"/>
      <w:lvlText w:val="%1、"/>
      <w:lvlJc w:val="left"/>
      <w:rPr>
        <w:rFonts w:hint="eastAsia"/>
      </w:rPr>
    </w:lvl>
  </w:abstractNum>
  <w:abstractNum w:abstractNumId="1">
    <w:nsid w:val="66BC7D69"/>
    <w:multiLevelType w:val="singleLevel"/>
    <w:tmpl w:val="66BC7D69"/>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s>
  <w:rsids>
    <w:rsidRoot w:val="00000000"/>
    <w:rsid w:val="00213C59"/>
    <w:rsid w:val="003210CE"/>
    <w:rsid w:val="02252F2F"/>
    <w:rsid w:val="02BB6F86"/>
    <w:rsid w:val="02F73D26"/>
    <w:rsid w:val="034D4FEF"/>
    <w:rsid w:val="039F47CE"/>
    <w:rsid w:val="03E05CE8"/>
    <w:rsid w:val="03F973EE"/>
    <w:rsid w:val="043E5B56"/>
    <w:rsid w:val="04E11AE5"/>
    <w:rsid w:val="053F5AE6"/>
    <w:rsid w:val="057C0B0F"/>
    <w:rsid w:val="05EF4B48"/>
    <w:rsid w:val="05F76ECA"/>
    <w:rsid w:val="06792773"/>
    <w:rsid w:val="08422688"/>
    <w:rsid w:val="0879188F"/>
    <w:rsid w:val="087B7477"/>
    <w:rsid w:val="08A0354D"/>
    <w:rsid w:val="096466E3"/>
    <w:rsid w:val="0968304D"/>
    <w:rsid w:val="09AF3D17"/>
    <w:rsid w:val="0A5922DF"/>
    <w:rsid w:val="0A7B4867"/>
    <w:rsid w:val="0B8C3ECC"/>
    <w:rsid w:val="0B9C639D"/>
    <w:rsid w:val="0BB052B2"/>
    <w:rsid w:val="0BD33FFC"/>
    <w:rsid w:val="0BE97AC1"/>
    <w:rsid w:val="0C1C4780"/>
    <w:rsid w:val="0C3613A3"/>
    <w:rsid w:val="0C7227A7"/>
    <w:rsid w:val="0C7C5409"/>
    <w:rsid w:val="0CA52EE8"/>
    <w:rsid w:val="0CBD6988"/>
    <w:rsid w:val="0CD208AC"/>
    <w:rsid w:val="0E640559"/>
    <w:rsid w:val="0F89358A"/>
    <w:rsid w:val="0F8C6D51"/>
    <w:rsid w:val="107E469F"/>
    <w:rsid w:val="10EA17D0"/>
    <w:rsid w:val="112E58D0"/>
    <w:rsid w:val="11731CAC"/>
    <w:rsid w:val="11C0733B"/>
    <w:rsid w:val="120E0809"/>
    <w:rsid w:val="12F7068C"/>
    <w:rsid w:val="134F113C"/>
    <w:rsid w:val="13DF4C6D"/>
    <w:rsid w:val="14B932DA"/>
    <w:rsid w:val="157F52EF"/>
    <w:rsid w:val="163563C0"/>
    <w:rsid w:val="16560BB2"/>
    <w:rsid w:val="16D50C50"/>
    <w:rsid w:val="16E120E1"/>
    <w:rsid w:val="17385A05"/>
    <w:rsid w:val="176747F9"/>
    <w:rsid w:val="17954A6E"/>
    <w:rsid w:val="17EB22CD"/>
    <w:rsid w:val="183539C6"/>
    <w:rsid w:val="184510FD"/>
    <w:rsid w:val="18D262E3"/>
    <w:rsid w:val="190648B0"/>
    <w:rsid w:val="19071D6C"/>
    <w:rsid w:val="19D26CD4"/>
    <w:rsid w:val="1AB64BE3"/>
    <w:rsid w:val="1AD807E5"/>
    <w:rsid w:val="1ADF413A"/>
    <w:rsid w:val="1B39345B"/>
    <w:rsid w:val="1C317E4F"/>
    <w:rsid w:val="1C472464"/>
    <w:rsid w:val="1DAF458D"/>
    <w:rsid w:val="1DF94ABB"/>
    <w:rsid w:val="1E086ACE"/>
    <w:rsid w:val="1E97358B"/>
    <w:rsid w:val="1EAA4A5F"/>
    <w:rsid w:val="1F0771F7"/>
    <w:rsid w:val="2064678E"/>
    <w:rsid w:val="20DC1AB9"/>
    <w:rsid w:val="20DD6197"/>
    <w:rsid w:val="212631E0"/>
    <w:rsid w:val="212B3679"/>
    <w:rsid w:val="21A53757"/>
    <w:rsid w:val="22A83E6A"/>
    <w:rsid w:val="2380045B"/>
    <w:rsid w:val="23BC04D2"/>
    <w:rsid w:val="243548F6"/>
    <w:rsid w:val="24A32D55"/>
    <w:rsid w:val="25290686"/>
    <w:rsid w:val="25BA2154"/>
    <w:rsid w:val="25C8773F"/>
    <w:rsid w:val="261F571B"/>
    <w:rsid w:val="26832765"/>
    <w:rsid w:val="26F81B7B"/>
    <w:rsid w:val="27286E73"/>
    <w:rsid w:val="27CF2642"/>
    <w:rsid w:val="27E777F5"/>
    <w:rsid w:val="27EA1D4C"/>
    <w:rsid w:val="282459E2"/>
    <w:rsid w:val="28DF2665"/>
    <w:rsid w:val="29072599"/>
    <w:rsid w:val="291029F3"/>
    <w:rsid w:val="295103DE"/>
    <w:rsid w:val="2A053397"/>
    <w:rsid w:val="2A145E96"/>
    <w:rsid w:val="2AF5378F"/>
    <w:rsid w:val="2C6F314E"/>
    <w:rsid w:val="2CC206BE"/>
    <w:rsid w:val="2D1136DF"/>
    <w:rsid w:val="2D20606D"/>
    <w:rsid w:val="2DB93C54"/>
    <w:rsid w:val="2E891204"/>
    <w:rsid w:val="2EF3750F"/>
    <w:rsid w:val="2F3F0A28"/>
    <w:rsid w:val="2F797671"/>
    <w:rsid w:val="2FD0187F"/>
    <w:rsid w:val="2FD27414"/>
    <w:rsid w:val="2FFC0B5D"/>
    <w:rsid w:val="2FFE4BB0"/>
    <w:rsid w:val="312E383F"/>
    <w:rsid w:val="314029C9"/>
    <w:rsid w:val="31436D79"/>
    <w:rsid w:val="31C63837"/>
    <w:rsid w:val="343642F2"/>
    <w:rsid w:val="343F3010"/>
    <w:rsid w:val="34681A08"/>
    <w:rsid w:val="34C13589"/>
    <w:rsid w:val="34FA1F30"/>
    <w:rsid w:val="35E00D72"/>
    <w:rsid w:val="3665184D"/>
    <w:rsid w:val="36C549FD"/>
    <w:rsid w:val="37A755DD"/>
    <w:rsid w:val="37F94FA0"/>
    <w:rsid w:val="38115B1F"/>
    <w:rsid w:val="386E76A4"/>
    <w:rsid w:val="387D6B9E"/>
    <w:rsid w:val="38D45016"/>
    <w:rsid w:val="38D90432"/>
    <w:rsid w:val="38FB618B"/>
    <w:rsid w:val="3914510A"/>
    <w:rsid w:val="3926770B"/>
    <w:rsid w:val="398D3668"/>
    <w:rsid w:val="3A893816"/>
    <w:rsid w:val="3A893B6D"/>
    <w:rsid w:val="3AD1763A"/>
    <w:rsid w:val="3B651900"/>
    <w:rsid w:val="3B6716E3"/>
    <w:rsid w:val="3B6C6B2D"/>
    <w:rsid w:val="3C242659"/>
    <w:rsid w:val="3C577B7C"/>
    <w:rsid w:val="3CA72BE8"/>
    <w:rsid w:val="3CF37F8C"/>
    <w:rsid w:val="3D137554"/>
    <w:rsid w:val="3D5275AC"/>
    <w:rsid w:val="3DCC2473"/>
    <w:rsid w:val="3DEB0883"/>
    <w:rsid w:val="3DFE8D2B"/>
    <w:rsid w:val="3EA7725F"/>
    <w:rsid w:val="3EB03713"/>
    <w:rsid w:val="3EBF1A11"/>
    <w:rsid w:val="3F183429"/>
    <w:rsid w:val="3FB77A1D"/>
    <w:rsid w:val="3FED7F8A"/>
    <w:rsid w:val="40834692"/>
    <w:rsid w:val="40EB2F89"/>
    <w:rsid w:val="414B3C0F"/>
    <w:rsid w:val="41900018"/>
    <w:rsid w:val="41CE128F"/>
    <w:rsid w:val="41DA6F12"/>
    <w:rsid w:val="42171FB1"/>
    <w:rsid w:val="434E6957"/>
    <w:rsid w:val="43C15147"/>
    <w:rsid w:val="43E14DD2"/>
    <w:rsid w:val="43F800E9"/>
    <w:rsid w:val="443A7E4B"/>
    <w:rsid w:val="454E7FD2"/>
    <w:rsid w:val="461404F8"/>
    <w:rsid w:val="464B7E04"/>
    <w:rsid w:val="466C009A"/>
    <w:rsid w:val="468041AA"/>
    <w:rsid w:val="46854026"/>
    <w:rsid w:val="46901EEE"/>
    <w:rsid w:val="469C74D2"/>
    <w:rsid w:val="47445515"/>
    <w:rsid w:val="48387FB0"/>
    <w:rsid w:val="483A6114"/>
    <w:rsid w:val="488727DB"/>
    <w:rsid w:val="48E94B72"/>
    <w:rsid w:val="48F94B6B"/>
    <w:rsid w:val="493D58B5"/>
    <w:rsid w:val="494A7A04"/>
    <w:rsid w:val="4A1E6B2F"/>
    <w:rsid w:val="4A2019A5"/>
    <w:rsid w:val="4A241A0B"/>
    <w:rsid w:val="4A7B2875"/>
    <w:rsid w:val="4AAA220A"/>
    <w:rsid w:val="4B4C0111"/>
    <w:rsid w:val="4C200F7A"/>
    <w:rsid w:val="4CEE3180"/>
    <w:rsid w:val="4D6A573B"/>
    <w:rsid w:val="4E0A1DD5"/>
    <w:rsid w:val="4E8C6496"/>
    <w:rsid w:val="4ED107DE"/>
    <w:rsid w:val="4EFD18DE"/>
    <w:rsid w:val="4F144236"/>
    <w:rsid w:val="4F663C87"/>
    <w:rsid w:val="4F9E1FFC"/>
    <w:rsid w:val="4FA94C3E"/>
    <w:rsid w:val="4FEB39AB"/>
    <w:rsid w:val="50447CC2"/>
    <w:rsid w:val="50895EE7"/>
    <w:rsid w:val="50921B9D"/>
    <w:rsid w:val="50DB5F45"/>
    <w:rsid w:val="51141503"/>
    <w:rsid w:val="52F92565"/>
    <w:rsid w:val="535D1763"/>
    <w:rsid w:val="536E5B27"/>
    <w:rsid w:val="53D03877"/>
    <w:rsid w:val="542F73CA"/>
    <w:rsid w:val="5430786D"/>
    <w:rsid w:val="54560AEA"/>
    <w:rsid w:val="556A442D"/>
    <w:rsid w:val="55933D75"/>
    <w:rsid w:val="55DA564E"/>
    <w:rsid w:val="55F31810"/>
    <w:rsid w:val="5604127D"/>
    <w:rsid w:val="56166703"/>
    <w:rsid w:val="56510474"/>
    <w:rsid w:val="56861525"/>
    <w:rsid w:val="56BD550C"/>
    <w:rsid w:val="56E07045"/>
    <w:rsid w:val="56FF28AF"/>
    <w:rsid w:val="57540E7D"/>
    <w:rsid w:val="577B4878"/>
    <w:rsid w:val="57926973"/>
    <w:rsid w:val="58175352"/>
    <w:rsid w:val="581F2200"/>
    <w:rsid w:val="583059FA"/>
    <w:rsid w:val="584A0929"/>
    <w:rsid w:val="58655638"/>
    <w:rsid w:val="59254A26"/>
    <w:rsid w:val="59326325"/>
    <w:rsid w:val="595C505B"/>
    <w:rsid w:val="595E55C3"/>
    <w:rsid w:val="5A60780B"/>
    <w:rsid w:val="5AB34579"/>
    <w:rsid w:val="5AFC6609"/>
    <w:rsid w:val="5C0D1F49"/>
    <w:rsid w:val="5CBB0CE2"/>
    <w:rsid w:val="5CF306BC"/>
    <w:rsid w:val="5D3F3D64"/>
    <w:rsid w:val="5D4051DA"/>
    <w:rsid w:val="5D833043"/>
    <w:rsid w:val="5DDB1CFD"/>
    <w:rsid w:val="5ED44800"/>
    <w:rsid w:val="5F350BDE"/>
    <w:rsid w:val="5FA10C71"/>
    <w:rsid w:val="5FA17648"/>
    <w:rsid w:val="5FE705CB"/>
    <w:rsid w:val="603D5080"/>
    <w:rsid w:val="60D0261B"/>
    <w:rsid w:val="61947DCA"/>
    <w:rsid w:val="61A46A97"/>
    <w:rsid w:val="61D1382F"/>
    <w:rsid w:val="61F114A2"/>
    <w:rsid w:val="625D7D1A"/>
    <w:rsid w:val="62DD7D21"/>
    <w:rsid w:val="63A5560B"/>
    <w:rsid w:val="63E9091F"/>
    <w:rsid w:val="643A1700"/>
    <w:rsid w:val="64D6010D"/>
    <w:rsid w:val="64D82665"/>
    <w:rsid w:val="651E5741"/>
    <w:rsid w:val="658A4877"/>
    <w:rsid w:val="65A00902"/>
    <w:rsid w:val="65D97752"/>
    <w:rsid w:val="66085536"/>
    <w:rsid w:val="66105BF7"/>
    <w:rsid w:val="6628010D"/>
    <w:rsid w:val="669272D6"/>
    <w:rsid w:val="669B4528"/>
    <w:rsid w:val="67083D42"/>
    <w:rsid w:val="67134CEF"/>
    <w:rsid w:val="67521A59"/>
    <w:rsid w:val="67C304AB"/>
    <w:rsid w:val="68133F4F"/>
    <w:rsid w:val="68C53D72"/>
    <w:rsid w:val="68DB0208"/>
    <w:rsid w:val="691B3D98"/>
    <w:rsid w:val="69846A0E"/>
    <w:rsid w:val="69AD798C"/>
    <w:rsid w:val="69D005C0"/>
    <w:rsid w:val="69D80B96"/>
    <w:rsid w:val="6A47646D"/>
    <w:rsid w:val="6B68175F"/>
    <w:rsid w:val="6BFD799F"/>
    <w:rsid w:val="6C4A2E5A"/>
    <w:rsid w:val="6CEF0725"/>
    <w:rsid w:val="6D4B2604"/>
    <w:rsid w:val="6D8030E4"/>
    <w:rsid w:val="6E0F7A08"/>
    <w:rsid w:val="6E3947F5"/>
    <w:rsid w:val="6F7C1D2E"/>
    <w:rsid w:val="6F8E0407"/>
    <w:rsid w:val="6FDD069F"/>
    <w:rsid w:val="70822A24"/>
    <w:rsid w:val="7111480F"/>
    <w:rsid w:val="71473612"/>
    <w:rsid w:val="71504F32"/>
    <w:rsid w:val="718F7F65"/>
    <w:rsid w:val="7259262A"/>
    <w:rsid w:val="727B234E"/>
    <w:rsid w:val="728C7879"/>
    <w:rsid w:val="72D068C7"/>
    <w:rsid w:val="72E42ED8"/>
    <w:rsid w:val="735F4CB9"/>
    <w:rsid w:val="73674C62"/>
    <w:rsid w:val="73845865"/>
    <w:rsid w:val="73FB6630"/>
    <w:rsid w:val="74491AD5"/>
    <w:rsid w:val="748D790E"/>
    <w:rsid w:val="749820CC"/>
    <w:rsid w:val="74CE04EC"/>
    <w:rsid w:val="74E76DCD"/>
    <w:rsid w:val="7616619B"/>
    <w:rsid w:val="76660D7C"/>
    <w:rsid w:val="766C5968"/>
    <w:rsid w:val="767336E4"/>
    <w:rsid w:val="76BE0C8F"/>
    <w:rsid w:val="77311518"/>
    <w:rsid w:val="77A262E1"/>
    <w:rsid w:val="77B13C33"/>
    <w:rsid w:val="77ED6F44"/>
    <w:rsid w:val="77F45548"/>
    <w:rsid w:val="784E7CA6"/>
    <w:rsid w:val="78C4214C"/>
    <w:rsid w:val="795A0A34"/>
    <w:rsid w:val="79700825"/>
    <w:rsid w:val="79F00650"/>
    <w:rsid w:val="7A6242BF"/>
    <w:rsid w:val="7AE952D2"/>
    <w:rsid w:val="7C976D69"/>
    <w:rsid w:val="7CD752DA"/>
    <w:rsid w:val="7CDE40AB"/>
    <w:rsid w:val="7D1548B5"/>
    <w:rsid w:val="7D2F72F0"/>
    <w:rsid w:val="7D474AC8"/>
    <w:rsid w:val="7E207949"/>
    <w:rsid w:val="7E670C75"/>
    <w:rsid w:val="7EE24272"/>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footnote text"/>
    <w:basedOn w:val="1"/>
    <w:qFormat/>
    <w:uiPriority w:val="0"/>
    <w:pPr>
      <w:snapToGrid w:val="0"/>
      <w:jc w:val="left"/>
    </w:pPr>
    <w:rPr>
      <w:sz w:val="18"/>
      <w:szCs w:val="18"/>
    </w:rPr>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6179</Words>
  <Characters>6761</Characters>
  <Lines>0</Lines>
  <Paragraphs>0</Paragraphs>
  <TotalTime>0</TotalTime>
  <ScaleCrop>false</ScaleCrop>
  <LinksUpToDate>false</LinksUpToDate>
  <CharactersWithSpaces>6783</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user</cp:lastModifiedBy>
  <cp:lastPrinted>2024-08-14T17:35:00Z</cp:lastPrinted>
  <dcterms:modified xsi:type="dcterms:W3CDTF">2024-10-14T19:48:45Z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7F1BA76700A04C6DA077E64EC2EDFE18_13</vt:lpwstr>
  </property>
</Properties>
</file>