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C45FBD">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09B2059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397C265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eastAsia="zh-CN"/>
        </w:rPr>
      </w:pPr>
      <w:r>
        <w:rPr>
          <w:rFonts w:hint="eastAsia" w:ascii="方正小标宋_GBK" w:hAnsi="宋体" w:eastAsia="方正小标宋_GBK"/>
          <w:color w:val="auto"/>
          <w:sz w:val="44"/>
          <w:szCs w:val="44"/>
          <w:highlight w:val="none"/>
          <w:lang w:val="en-US" w:eastAsia="zh-CN"/>
        </w:rPr>
        <w:t>哈密市无线电管理局</w:t>
      </w:r>
      <w:r>
        <w:rPr>
          <w:rFonts w:hint="eastAsia" w:ascii="方正小标宋_GBK" w:hAnsi="宋体" w:eastAsia="方正小标宋_GBK"/>
          <w:color w:val="auto"/>
          <w:sz w:val="44"/>
          <w:szCs w:val="44"/>
          <w:highlight w:val="none"/>
          <w:lang w:eastAsia="zh-CN"/>
        </w:rPr>
        <w:t>2023年度</w:t>
      </w:r>
    </w:p>
    <w:p w14:paraId="49B1EF8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决算公开说明</w:t>
      </w:r>
    </w:p>
    <w:p w14:paraId="2ECCB482">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13670D01">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0ED9BB04">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56FEA6C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3EA9F9B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045F665E">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67E38CE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058BD4B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73969F1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2FEA763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41AE2FA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387598C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482AFE3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1E3779A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724D5584">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6765D40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42452F78">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547B6170">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6AC16B49">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3EE49C6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5FF1E94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56D4B46C">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26DD6FE1">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1FA79EC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13B563B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66507B1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26C6756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0C64EC7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12D1F28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029067B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00A3CF4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3E53706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04B25713">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3A8FCDC7">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23102B9E">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645E616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2B576ED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根据《中华人民共和国无线电管理条例》《关于调整全区无线电管理机构编制事宜的批复》（新机编办〔2011〕39号）《关于印发&lt;新疆维吾尔自治区经济和信息化委员会（新疆维吾尔自治区国防科学技术工业办公室）所属事业单位分类改革方案&gt;的通知》（新事改办〔2014〕11号），哈密市无线电管理局是新疆维吾尔自治区工业和信息化厅派驻哈密市负责无线电管理工作的公益一类事业单位，其主要职责任务是：负责本行政区域除军事系统外的无线电管理工作。贯彻落实国家和自治区无线电管理的法规、规章、政策；根据审批权限实施无线电频率使用许可，审查无线电台（站）的建设布局和台址，核发无线电台执照及无线电台识别码（含呼号）；负责本行政区域无线电监测和干扰查处；协调处理本行政区域无线电管理相关事宜。负责本行政区域无线电管理的行政执法检查，按照有关规定对无线电台(站)的设置、使用和无线电发射设备的研制、生产、进口、销售实施监督检查，征收无线电频率占用费，依法组织实施无线电管制。</w:t>
      </w:r>
    </w:p>
    <w:p w14:paraId="2832FEE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06FFE66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哈密市无线电管理局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8</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8</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14:paraId="7744670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单位无下属预算单位，下设3个处室，分别是：业务科、综合科、监测站。</w:t>
      </w:r>
    </w:p>
    <w:p w14:paraId="01467F5A">
      <w:pPr>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br w:type="page"/>
      </w:r>
    </w:p>
    <w:p w14:paraId="7E99C86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1A4E16E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5A560DEB">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仿宋_GB2312" w:eastAsia="仿宋_GB2312"/>
          <w:b/>
          <w:bCs/>
          <w:color w:val="auto"/>
          <w:spacing w:val="0"/>
          <w:sz w:val="32"/>
          <w:szCs w:val="32"/>
          <w:highlight w:val="none"/>
          <w:lang w:eastAsia="zh-CN"/>
        </w:rPr>
        <w:t>395.02万元，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394.98万元，使用非财政拨款结余0.00万元，年初结转和结余0.04万元。</w:t>
      </w:r>
    </w:p>
    <w:p w14:paraId="02286C2F">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eastAsia="zh-CN"/>
        </w:rPr>
        <w:t>395.02万元，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394.95万元，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0.00万元，年末结转和结余0.08万元。</w:t>
      </w:r>
    </w:p>
    <w:p w14:paraId="6564078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0000FF"/>
          <w:spacing w:val="0"/>
          <w:sz w:val="32"/>
          <w:szCs w:val="32"/>
          <w:highlight w:val="none"/>
          <w:lang w:val="en-US" w:eastAsia="zh-CN"/>
        </w:rPr>
      </w:pPr>
      <w:r>
        <w:rPr>
          <w:rFonts w:hint="eastAsia" w:ascii="仿宋_GB2312" w:eastAsia="仿宋_GB2312"/>
          <w:b/>
          <w:bCs/>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增加49.64万元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增长14.37%</w:t>
      </w:r>
      <w:r>
        <w:rPr>
          <w:rFonts w:hint="eastAsia" w:ascii="仿宋_GB2312" w:eastAsia="仿宋_GB2312"/>
          <w:color w:val="auto"/>
          <w:spacing w:val="0"/>
          <w:sz w:val="32"/>
          <w:szCs w:val="32"/>
          <w:highlight w:val="none"/>
          <w:lang w:eastAsia="zh-CN"/>
        </w:rPr>
        <w:t>，主要原因是：</w:t>
      </w:r>
      <w:r>
        <w:rPr>
          <w:rFonts w:hint="eastAsia" w:ascii="仿宋_GB2312" w:eastAsia="仿宋_GB2312"/>
          <w:b w:val="0"/>
          <w:bCs w:val="0"/>
          <w:color w:val="auto"/>
          <w:spacing w:val="0"/>
          <w:sz w:val="32"/>
          <w:szCs w:val="32"/>
          <w:highlight w:val="none"/>
          <w:lang w:eastAsia="zh-CN"/>
        </w:rPr>
        <w:t>一是在职人员工资标准提高</w:t>
      </w:r>
      <w:r>
        <w:rPr>
          <w:rFonts w:hint="eastAsia" w:ascii="仿宋_GB2312" w:eastAsia="仿宋_GB2312"/>
          <w:b w:val="0"/>
          <w:bCs w:val="0"/>
          <w:color w:val="auto"/>
          <w:spacing w:val="0"/>
          <w:sz w:val="32"/>
          <w:szCs w:val="32"/>
          <w:highlight w:val="none"/>
          <w:lang w:val="en-US" w:eastAsia="zh-CN"/>
        </w:rPr>
        <w:t>，二是</w:t>
      </w:r>
      <w:r>
        <w:rPr>
          <w:rFonts w:hint="eastAsia" w:ascii="仿宋_GB2312" w:hAnsi="仿宋_GB2312" w:eastAsia="仿宋_GB2312" w:cs="仿宋_GB2312"/>
          <w:b w:val="0"/>
          <w:bCs w:val="0"/>
          <w:color w:val="auto"/>
          <w:kern w:val="2"/>
          <w:sz w:val="32"/>
          <w:szCs w:val="32"/>
          <w:lang w:val="en-US" w:eastAsia="zh-CN" w:bidi="ar-SA"/>
        </w:rPr>
        <w:t>中央转移支付</w:t>
      </w:r>
      <w:r>
        <w:rPr>
          <w:rFonts w:hint="eastAsia" w:ascii="仿宋_GB2312" w:eastAsia="仿宋_GB2312"/>
          <w:b w:val="0"/>
          <w:bCs w:val="0"/>
          <w:color w:val="auto"/>
          <w:spacing w:val="0"/>
          <w:sz w:val="32"/>
          <w:szCs w:val="32"/>
          <w:highlight w:val="none"/>
          <w:lang w:val="en-US" w:eastAsia="zh-CN"/>
        </w:rPr>
        <w:t>项目支出收入增加。</w:t>
      </w:r>
    </w:p>
    <w:p w14:paraId="3C46CB3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jc w:val="left"/>
        <w:textAlignment w:val="auto"/>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007E71DA">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rPr>
        <w:t>本年收入</w:t>
      </w:r>
      <w:r>
        <w:rPr>
          <w:rFonts w:hint="eastAsia" w:ascii="仿宋_GB2312" w:eastAsia="仿宋_GB2312"/>
          <w:b/>
          <w:bCs/>
          <w:color w:val="auto"/>
          <w:sz w:val="32"/>
          <w:szCs w:val="32"/>
          <w:highlight w:val="none"/>
          <w:lang w:eastAsia="zh-CN"/>
        </w:rPr>
        <w:t>394.98</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其中：财政拨款收入</w:t>
      </w:r>
      <w:r>
        <w:rPr>
          <w:rFonts w:hint="eastAsia" w:ascii="仿宋_GB2312" w:eastAsia="仿宋_GB2312"/>
          <w:color w:val="auto"/>
          <w:sz w:val="32"/>
          <w:szCs w:val="32"/>
          <w:highlight w:val="none"/>
          <w:lang w:val="zh-CN"/>
        </w:rPr>
        <w:t>394.95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1FDAC28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199BC19E">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b/>
          <w:bCs/>
          <w:color w:val="auto"/>
          <w:sz w:val="32"/>
          <w:szCs w:val="32"/>
          <w:highlight w:val="none"/>
          <w:lang w:val="zh-CN" w:eastAsia="zh-CN"/>
        </w:rPr>
        <w:t>本年支出394.95万元，</w:t>
      </w:r>
      <w:r>
        <w:rPr>
          <w:rFonts w:hint="eastAsia" w:ascii="Times New Roman" w:hAnsi="Times New Roman" w:eastAsia="仿宋_GB2312" w:cs="仿宋_GB2312"/>
          <w:color w:val="auto"/>
          <w:sz w:val="32"/>
          <w:szCs w:val="32"/>
          <w:highlight w:val="none"/>
          <w:lang w:val="zh-CN" w:eastAsia="zh-CN"/>
        </w:rPr>
        <w:t>其中：基本支出175.21万元，占44.36%；项目支出219.74万元，占55.64%；上缴上级支出0.00万元，占0.00%；经营支出0.00万元，占0.00%；对附属单位补助支出0.00万元，占0.00%。</w:t>
      </w:r>
    </w:p>
    <w:p w14:paraId="68A6630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21E28B4C">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2023年度财政拨款收入</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394.95</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394.95</w:t>
      </w:r>
      <w:r>
        <w:rPr>
          <w:rFonts w:hint="eastAsia" w:ascii="仿宋_GB2312" w:eastAsia="仿宋_GB2312"/>
          <w:color w:val="auto"/>
          <w:spacing w:val="0"/>
          <w:sz w:val="32"/>
          <w:szCs w:val="32"/>
          <w:highlight w:val="none"/>
          <w:lang w:eastAsia="zh-CN"/>
        </w:rPr>
        <w:t>万元。</w:t>
      </w:r>
      <w:r>
        <w:rPr>
          <w:rFonts w:hint="eastAsia" w:ascii="仿宋_GB2312" w:eastAsia="仿宋_GB2312"/>
          <w:b/>
          <w:bCs/>
          <w:color w:val="auto"/>
          <w:spacing w:val="0"/>
          <w:sz w:val="32"/>
          <w:szCs w:val="32"/>
          <w:highlight w:val="none"/>
          <w:lang w:eastAsia="zh-CN"/>
        </w:rPr>
        <w:t>财政拨款支出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394.95</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394.95</w:t>
      </w:r>
      <w:r>
        <w:rPr>
          <w:rFonts w:hint="eastAsia" w:ascii="仿宋_GB2312" w:eastAsia="仿宋_GB2312"/>
          <w:color w:val="auto"/>
          <w:spacing w:val="0"/>
          <w:sz w:val="32"/>
          <w:szCs w:val="32"/>
          <w:highlight w:val="none"/>
          <w:lang w:eastAsia="zh-CN"/>
        </w:rPr>
        <w:t>万元。</w:t>
      </w:r>
    </w:p>
    <w:p w14:paraId="12013A1B">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增加49.60万元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增长14.36%，</w:t>
      </w:r>
      <w:r>
        <w:rPr>
          <w:rFonts w:hint="eastAsia" w:ascii="仿宋_GB2312" w:eastAsia="仿宋_GB2312"/>
          <w:color w:val="auto"/>
          <w:spacing w:val="0"/>
          <w:sz w:val="32"/>
          <w:szCs w:val="32"/>
          <w:highlight w:val="none"/>
          <w:lang w:eastAsia="zh-CN"/>
        </w:rPr>
        <w:t>主要原因是：</w:t>
      </w:r>
      <w:r>
        <w:rPr>
          <w:rFonts w:hint="eastAsia" w:ascii="仿宋_GB2312" w:eastAsia="仿宋_GB2312"/>
          <w:b w:val="0"/>
          <w:bCs w:val="0"/>
          <w:color w:val="auto"/>
          <w:spacing w:val="0"/>
          <w:sz w:val="32"/>
          <w:szCs w:val="32"/>
          <w:highlight w:val="none"/>
          <w:lang w:eastAsia="zh-CN"/>
        </w:rPr>
        <w:t>一是在职人员工资标准提高</w:t>
      </w:r>
      <w:r>
        <w:rPr>
          <w:rFonts w:hint="eastAsia" w:ascii="仿宋_GB2312" w:eastAsia="仿宋_GB2312"/>
          <w:b w:val="0"/>
          <w:bCs w:val="0"/>
          <w:color w:val="auto"/>
          <w:spacing w:val="0"/>
          <w:sz w:val="32"/>
          <w:szCs w:val="32"/>
          <w:highlight w:val="none"/>
          <w:lang w:val="en-US" w:eastAsia="zh-CN"/>
        </w:rPr>
        <w:t>，基本支出收入较上年增加3.75万元；二是</w:t>
      </w:r>
      <w:r>
        <w:rPr>
          <w:rFonts w:hint="eastAsia" w:ascii="仿宋_GB2312" w:hAnsi="仿宋_GB2312" w:eastAsia="仿宋_GB2312" w:cs="仿宋_GB2312"/>
          <w:b w:val="0"/>
          <w:bCs w:val="0"/>
          <w:color w:val="auto"/>
          <w:kern w:val="2"/>
          <w:sz w:val="32"/>
          <w:szCs w:val="32"/>
          <w:lang w:val="en-US" w:eastAsia="zh-CN" w:bidi="ar-SA"/>
        </w:rPr>
        <w:t>中央转移支付</w:t>
      </w:r>
      <w:r>
        <w:rPr>
          <w:rFonts w:hint="eastAsia" w:ascii="仿宋_GB2312" w:eastAsia="仿宋_GB2312"/>
          <w:b w:val="0"/>
          <w:bCs w:val="0"/>
          <w:color w:val="auto"/>
          <w:spacing w:val="0"/>
          <w:sz w:val="32"/>
          <w:szCs w:val="32"/>
          <w:highlight w:val="none"/>
          <w:lang w:val="en-US" w:eastAsia="zh-CN"/>
        </w:rPr>
        <w:t>项目支出收入较上年增加45.85万元。</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391.10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394.95</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b/>
          <w:bCs/>
          <w:color w:val="auto"/>
          <w:spacing w:val="0"/>
          <w:sz w:val="32"/>
          <w:szCs w:val="32"/>
          <w:highlight w:val="none"/>
          <w:lang w:eastAsia="zh-CN"/>
        </w:rPr>
        <w:t>0.98%</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追加基本支出人员类预算</w:t>
      </w:r>
      <w:r>
        <w:rPr>
          <w:rFonts w:hint="eastAsia" w:ascii="仿宋_GB2312" w:eastAsia="仿宋_GB2312"/>
          <w:sz w:val="32"/>
          <w:szCs w:val="32"/>
          <w:lang w:val="en-US" w:eastAsia="zh-CN"/>
        </w:rPr>
        <w:t>如考核奖等。</w:t>
      </w:r>
    </w:p>
    <w:p w14:paraId="368A15D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44EB70E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4D06BCA3">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2023年度一般公共预算财政拨款支出394.95万元，</w:t>
      </w:r>
      <w:r>
        <w:rPr>
          <w:rFonts w:hint="eastAsia" w:ascii="仿宋_GB2312" w:eastAsia="仿宋_GB2312"/>
          <w:color w:val="auto"/>
          <w:spacing w:val="0"/>
          <w:sz w:val="32"/>
          <w:szCs w:val="32"/>
          <w:highlight w:val="none"/>
          <w:lang w:eastAsia="zh-CN"/>
        </w:rPr>
        <w:t>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增加49.60万元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增长14.36%，</w:t>
      </w:r>
      <w:r>
        <w:rPr>
          <w:rFonts w:hint="eastAsia" w:ascii="仿宋_GB2312" w:eastAsia="仿宋_GB2312"/>
          <w:color w:val="auto"/>
          <w:spacing w:val="0"/>
          <w:sz w:val="32"/>
          <w:szCs w:val="32"/>
          <w:highlight w:val="none"/>
          <w:lang w:eastAsia="zh-CN"/>
        </w:rPr>
        <w:t>主要原因</w:t>
      </w:r>
      <w:r>
        <w:rPr>
          <w:rFonts w:hint="eastAsia" w:ascii="仿宋_GB2312" w:eastAsia="仿宋_GB2312"/>
          <w:b w:val="0"/>
          <w:bCs w:val="0"/>
          <w:color w:val="auto"/>
          <w:spacing w:val="0"/>
          <w:sz w:val="32"/>
          <w:szCs w:val="32"/>
          <w:highlight w:val="none"/>
          <w:lang w:eastAsia="zh-CN"/>
        </w:rPr>
        <w:t>一是在职人员工资标准提高</w:t>
      </w:r>
      <w:r>
        <w:rPr>
          <w:rFonts w:hint="eastAsia" w:ascii="仿宋_GB2312" w:eastAsia="仿宋_GB2312"/>
          <w:b w:val="0"/>
          <w:bCs w:val="0"/>
          <w:color w:val="auto"/>
          <w:spacing w:val="0"/>
          <w:sz w:val="32"/>
          <w:szCs w:val="32"/>
          <w:highlight w:val="none"/>
          <w:lang w:val="en-US" w:eastAsia="zh-CN"/>
        </w:rPr>
        <w:t>，基本支出收入较上年增加3.75万元；二是</w:t>
      </w:r>
      <w:r>
        <w:rPr>
          <w:rFonts w:hint="eastAsia" w:ascii="仿宋_GB2312" w:hAnsi="仿宋_GB2312" w:eastAsia="仿宋_GB2312" w:cs="仿宋_GB2312"/>
          <w:b w:val="0"/>
          <w:bCs w:val="0"/>
          <w:color w:val="auto"/>
          <w:kern w:val="2"/>
          <w:sz w:val="32"/>
          <w:szCs w:val="32"/>
          <w:lang w:val="en-US" w:eastAsia="zh-CN" w:bidi="ar-SA"/>
        </w:rPr>
        <w:t>中央转移支付</w:t>
      </w:r>
      <w:r>
        <w:rPr>
          <w:rFonts w:hint="eastAsia" w:ascii="仿宋_GB2312" w:eastAsia="仿宋_GB2312"/>
          <w:b w:val="0"/>
          <w:bCs w:val="0"/>
          <w:color w:val="auto"/>
          <w:spacing w:val="0"/>
          <w:sz w:val="32"/>
          <w:szCs w:val="32"/>
          <w:highlight w:val="none"/>
          <w:lang w:val="en-US" w:eastAsia="zh-CN"/>
        </w:rPr>
        <w:t>项目支出收入较上年增加45.85万元。</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391.10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394.95</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0.98%</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追加基本支出人员类预算</w:t>
      </w:r>
      <w:r>
        <w:rPr>
          <w:rFonts w:hint="eastAsia" w:ascii="仿宋_GB2312" w:eastAsia="仿宋_GB2312"/>
          <w:sz w:val="32"/>
          <w:szCs w:val="32"/>
          <w:lang w:val="en-US" w:eastAsia="zh-CN"/>
        </w:rPr>
        <w:t>如考核奖等</w:t>
      </w:r>
      <w:r>
        <w:rPr>
          <w:rFonts w:hint="eastAsia" w:ascii="仿宋_GB2312" w:eastAsia="仿宋_GB2312"/>
          <w:color w:val="auto"/>
          <w:spacing w:val="0"/>
          <w:sz w:val="32"/>
          <w:szCs w:val="32"/>
          <w:highlight w:val="none"/>
          <w:lang w:eastAsia="zh-CN"/>
        </w:rPr>
        <w:t>。</w:t>
      </w:r>
    </w:p>
    <w:p w14:paraId="15E0B527">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2A32956A">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14.78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3.74</w:t>
      </w:r>
      <w:r>
        <w:rPr>
          <w:rFonts w:hint="default" w:ascii="仿宋_GB2312" w:hAnsi="Times New Roman" w:eastAsia="仿宋_GB2312" w:cs="Times New Roman"/>
          <w:color w:val="auto"/>
          <w:spacing w:val="0"/>
          <w:kern w:val="2"/>
          <w:sz w:val="32"/>
          <w:szCs w:val="32"/>
          <w:highlight w:val="none"/>
          <w:lang w:val="zh-CN" w:eastAsia="zh-CN" w:bidi="ar-SA"/>
        </w:rPr>
        <w:t>%；</w:t>
      </w:r>
    </w:p>
    <w:p w14:paraId="0FF8741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default" w:ascii="仿宋_GB2312" w:hAnsi="Times New Roman"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12.04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3.05</w:t>
      </w:r>
      <w:r>
        <w:rPr>
          <w:rFonts w:hint="default" w:ascii="仿宋_GB2312" w:hAnsi="Times New Roman" w:eastAsia="仿宋_GB2312" w:cs="Times New Roman"/>
          <w:color w:val="auto"/>
          <w:spacing w:val="0"/>
          <w:kern w:val="2"/>
          <w:sz w:val="32"/>
          <w:szCs w:val="32"/>
          <w:highlight w:val="none"/>
          <w:lang w:val="zh-CN" w:eastAsia="zh-CN" w:bidi="ar-SA"/>
        </w:rPr>
        <w:t>%；</w:t>
      </w:r>
    </w:p>
    <w:p w14:paraId="4A5F710C">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11.78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2.98</w:t>
      </w:r>
      <w:r>
        <w:rPr>
          <w:rFonts w:hint="default" w:ascii="仿宋_GB2312" w:hAnsi="Times New Roman" w:eastAsia="仿宋_GB2312" w:cs="Times New Roman"/>
          <w:color w:val="auto"/>
          <w:spacing w:val="0"/>
          <w:kern w:val="2"/>
          <w:sz w:val="32"/>
          <w:szCs w:val="32"/>
          <w:highlight w:val="none"/>
          <w:lang w:val="zh-CN" w:eastAsia="zh-CN" w:bidi="ar-SA"/>
        </w:rPr>
        <w:t>%；</w:t>
      </w:r>
    </w:p>
    <w:p w14:paraId="6001352A">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资源勘探信息等支出（类）</w:t>
      </w:r>
      <w:r>
        <w:rPr>
          <w:rFonts w:hint="eastAsia" w:ascii="仿宋_GB2312" w:hAnsi="Times New Roman" w:eastAsia="仿宋_GB2312" w:cs="Times New Roman"/>
          <w:color w:val="auto"/>
          <w:spacing w:val="0"/>
          <w:kern w:val="2"/>
          <w:sz w:val="32"/>
          <w:szCs w:val="32"/>
          <w:highlight w:val="none"/>
          <w:lang w:val="zh-CN" w:eastAsia="zh-CN" w:bidi="ar-SA"/>
        </w:rPr>
        <w:t>356.35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90.23</w:t>
      </w:r>
      <w:r>
        <w:rPr>
          <w:rFonts w:hint="default" w:ascii="仿宋_GB2312" w:hAnsi="Times New Roman" w:eastAsia="仿宋_GB2312" w:cs="Times New Roman"/>
          <w:color w:val="auto"/>
          <w:spacing w:val="0"/>
          <w:kern w:val="2"/>
          <w:sz w:val="32"/>
          <w:szCs w:val="32"/>
          <w:highlight w:val="none"/>
          <w:lang w:val="zh-CN" w:eastAsia="zh-CN" w:bidi="ar-SA"/>
        </w:rPr>
        <w:t>%；</w:t>
      </w:r>
    </w:p>
    <w:p w14:paraId="51F6E9C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6F17DCA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1.卫生健康支出（类）行政事业单位医疗（款）事业单位医疗（项）:支出决算数为7.31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1.66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29.</w:t>
      </w:r>
      <w:r>
        <w:rPr>
          <w:rFonts w:hint="eastAsia" w:eastAsia="仿宋_GB2312" w:cs="Times New Roman"/>
          <w:color w:val="auto"/>
          <w:kern w:val="2"/>
          <w:sz w:val="32"/>
          <w:szCs w:val="32"/>
          <w:highlight w:val="none"/>
          <w:lang w:val="en-US" w:eastAsia="zh-CN" w:bidi="ar-SA"/>
        </w:rPr>
        <w:t>38</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rPr>
        <w:t>在职人员</w:t>
      </w:r>
      <w:r>
        <w:rPr>
          <w:rFonts w:hint="eastAsia" w:ascii="仿宋_GB2312" w:eastAsia="仿宋_GB2312"/>
          <w:sz w:val="32"/>
          <w:szCs w:val="32"/>
          <w:lang w:eastAsia="zh-CN"/>
        </w:rPr>
        <w:t>工资标准调整，缴费基数提高</w:t>
      </w:r>
      <w:r>
        <w:rPr>
          <w:rFonts w:hint="eastAsia" w:eastAsia="仿宋_GB2312" w:cs="Times New Roman"/>
          <w:color w:val="auto"/>
          <w:kern w:val="2"/>
          <w:sz w:val="32"/>
          <w:szCs w:val="32"/>
          <w:highlight w:val="none"/>
          <w:lang w:val="zh-CN" w:eastAsia="zh-CN" w:bidi="ar-SA"/>
        </w:rPr>
        <w:t>。</w:t>
      </w:r>
    </w:p>
    <w:p w14:paraId="3FAD1E6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2.卫生健康支出（类）行政事业单位医疗（款）公务员医疗补助（项）:支出决算数为4.73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w:t>
      </w:r>
      <w:r>
        <w:rPr>
          <w:rFonts w:hint="eastAsia" w:eastAsia="仿宋_GB2312" w:cs="Times New Roman"/>
          <w:color w:val="auto"/>
          <w:kern w:val="2"/>
          <w:sz w:val="32"/>
          <w:szCs w:val="32"/>
          <w:highlight w:val="none"/>
          <w:lang w:val="en-US" w:eastAsia="zh-CN" w:bidi="ar-SA"/>
        </w:rPr>
        <w:t>99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rPr>
        <w:t>在职人员</w:t>
      </w:r>
      <w:r>
        <w:rPr>
          <w:rFonts w:hint="eastAsia" w:ascii="仿宋_GB2312" w:eastAsia="仿宋_GB2312"/>
          <w:sz w:val="32"/>
          <w:szCs w:val="32"/>
          <w:lang w:eastAsia="zh-CN"/>
        </w:rPr>
        <w:t>工资标准调整，缴费基数提高</w:t>
      </w:r>
      <w:r>
        <w:rPr>
          <w:rFonts w:hint="eastAsia" w:eastAsia="仿宋_GB2312" w:cs="Times New Roman"/>
          <w:color w:val="auto"/>
          <w:kern w:val="2"/>
          <w:sz w:val="32"/>
          <w:szCs w:val="32"/>
          <w:highlight w:val="none"/>
          <w:lang w:val="zh-CN" w:eastAsia="zh-CN" w:bidi="ar-SA"/>
        </w:rPr>
        <w:t>。</w:t>
      </w:r>
    </w:p>
    <w:p w14:paraId="130D2CD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3.资源勘探工业信息等支出（类）工业和信息产业监管（款）无线电及信息通信监管（项）:支出决算数为356.35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39.28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12.39%，主要原因</w:t>
      </w:r>
      <w:r>
        <w:rPr>
          <w:rFonts w:hint="eastAsia" w:eastAsia="仿宋_GB2312" w:cs="Times New Roman"/>
          <w:color w:val="auto"/>
          <w:kern w:val="2"/>
          <w:sz w:val="32"/>
          <w:szCs w:val="32"/>
          <w:highlight w:val="none"/>
          <w:lang w:val="en-US" w:eastAsia="zh-CN" w:bidi="ar-SA"/>
        </w:rPr>
        <w:t>一是在职人员</w:t>
      </w:r>
      <w:r>
        <w:rPr>
          <w:rFonts w:hint="eastAsia" w:ascii="仿宋_GB2312" w:eastAsia="仿宋_GB2312"/>
          <w:sz w:val="32"/>
          <w:szCs w:val="32"/>
          <w:lang w:eastAsia="zh-CN"/>
        </w:rPr>
        <w:t>工资</w:t>
      </w:r>
      <w:r>
        <w:rPr>
          <w:rFonts w:hint="eastAsia" w:eastAsia="仿宋_GB2312" w:cs="Times New Roman"/>
          <w:color w:val="auto"/>
          <w:kern w:val="2"/>
          <w:sz w:val="32"/>
          <w:szCs w:val="32"/>
          <w:highlight w:val="none"/>
          <w:lang w:val="en-US" w:eastAsia="zh-CN" w:bidi="ar-SA"/>
        </w:rPr>
        <w:t>标准调整，其他社会保险缴费增加；二是上年度因疫情原因暂缓执行的中央转移支付项目在本年度</w:t>
      </w:r>
      <w:r>
        <w:rPr>
          <w:rFonts w:hint="eastAsia" w:ascii="仿宋_GB2312" w:hAnsi="仿宋_GB2312" w:eastAsia="仿宋_GB2312" w:cs="仿宋_GB2312"/>
          <w:color w:val="auto"/>
          <w:kern w:val="2"/>
          <w:sz w:val="32"/>
          <w:szCs w:val="32"/>
          <w:lang w:val="en-US" w:eastAsia="zh-CN" w:bidi="ar-SA"/>
        </w:rPr>
        <w:t>整体完工，支付率上升</w:t>
      </w:r>
      <w:r>
        <w:rPr>
          <w:rFonts w:hint="eastAsia" w:eastAsia="仿宋_GB2312" w:cs="Times New Roman"/>
          <w:color w:val="auto"/>
          <w:kern w:val="2"/>
          <w:sz w:val="32"/>
          <w:szCs w:val="32"/>
          <w:highlight w:val="none"/>
          <w:lang w:val="zh-CN" w:eastAsia="zh-CN" w:bidi="ar-SA"/>
        </w:rPr>
        <w:t>。</w:t>
      </w:r>
    </w:p>
    <w:p w14:paraId="280CF75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4.住房保障支出（类）住房改革支出（款）住房公积金（项）:支出决算数为11.78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3.96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50.64%，主要原因是</w:t>
      </w:r>
      <w:r>
        <w:rPr>
          <w:rFonts w:hint="eastAsia" w:eastAsia="仿宋_GB2312" w:cs="Times New Roman"/>
          <w:color w:val="auto"/>
          <w:kern w:val="2"/>
          <w:sz w:val="32"/>
          <w:szCs w:val="32"/>
          <w:highlight w:val="none"/>
          <w:lang w:val="en-US" w:eastAsia="zh-CN" w:bidi="ar-SA"/>
        </w:rPr>
        <w:t>在职人员</w:t>
      </w:r>
      <w:r>
        <w:rPr>
          <w:rFonts w:hint="eastAsia" w:ascii="仿宋_GB2312" w:eastAsia="仿宋_GB2312"/>
          <w:sz w:val="32"/>
          <w:szCs w:val="32"/>
          <w:lang w:eastAsia="zh-CN"/>
        </w:rPr>
        <w:t>工资</w:t>
      </w:r>
      <w:r>
        <w:rPr>
          <w:rFonts w:hint="eastAsia" w:eastAsia="仿宋_GB2312" w:cs="Times New Roman"/>
          <w:color w:val="auto"/>
          <w:kern w:val="2"/>
          <w:sz w:val="32"/>
          <w:szCs w:val="32"/>
          <w:highlight w:val="none"/>
          <w:lang w:val="en-US" w:eastAsia="zh-CN" w:bidi="ar-SA"/>
        </w:rPr>
        <w:t>标准调整，</w:t>
      </w:r>
      <w:r>
        <w:rPr>
          <w:rFonts w:hint="eastAsia" w:ascii="仿宋_GB2312" w:eastAsia="仿宋_GB2312"/>
          <w:sz w:val="32"/>
          <w:szCs w:val="32"/>
          <w:lang w:eastAsia="zh-CN"/>
        </w:rPr>
        <w:t>缴费基数提高</w:t>
      </w:r>
      <w:r>
        <w:rPr>
          <w:rFonts w:hint="eastAsia" w:eastAsia="仿宋_GB2312" w:cs="Times New Roman"/>
          <w:color w:val="auto"/>
          <w:kern w:val="2"/>
          <w:sz w:val="32"/>
          <w:szCs w:val="32"/>
          <w:highlight w:val="none"/>
          <w:lang w:val="zh-CN" w:eastAsia="zh-CN" w:bidi="ar-SA"/>
        </w:rPr>
        <w:t>。</w:t>
      </w:r>
    </w:p>
    <w:p w14:paraId="2946A23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5.社会保障和就业支出（类）行政事业单位养老支出（款）机关事业单位基本养老保险缴费支出（项）:支出决算数为14.78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41.</w:t>
      </w:r>
      <w:r>
        <w:rPr>
          <w:rFonts w:hint="eastAsia" w:eastAsia="仿宋_GB2312" w:cs="Times New Roman"/>
          <w:color w:val="auto"/>
          <w:kern w:val="2"/>
          <w:sz w:val="32"/>
          <w:szCs w:val="32"/>
          <w:highlight w:val="none"/>
          <w:lang w:val="en-US" w:eastAsia="zh-CN" w:bidi="ar-SA"/>
        </w:rPr>
        <w:t>71</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rPr>
        <w:t>在职人员</w:t>
      </w:r>
      <w:r>
        <w:rPr>
          <w:rFonts w:hint="eastAsia" w:ascii="仿宋_GB2312" w:eastAsia="仿宋_GB2312"/>
          <w:sz w:val="32"/>
          <w:szCs w:val="32"/>
          <w:lang w:eastAsia="zh-CN"/>
        </w:rPr>
        <w:t>工资</w:t>
      </w:r>
      <w:r>
        <w:rPr>
          <w:rFonts w:hint="eastAsia" w:ascii="仿宋_GB2312" w:eastAsia="仿宋_GB2312"/>
          <w:sz w:val="32"/>
          <w:szCs w:val="32"/>
          <w:lang w:val="en-US" w:eastAsia="zh-CN"/>
        </w:rPr>
        <w:tab/>
      </w:r>
      <w:r>
        <w:rPr>
          <w:rFonts w:hint="eastAsia" w:ascii="仿宋_GB2312" w:eastAsia="仿宋_GB2312"/>
          <w:sz w:val="32"/>
          <w:szCs w:val="32"/>
          <w:lang w:eastAsia="zh-CN"/>
        </w:rPr>
        <w:t>标准调整，缴费基数提高</w:t>
      </w:r>
      <w:r>
        <w:rPr>
          <w:rFonts w:hint="eastAsia" w:eastAsia="仿宋_GB2312" w:cs="Times New Roman"/>
          <w:color w:val="auto"/>
          <w:kern w:val="2"/>
          <w:sz w:val="32"/>
          <w:szCs w:val="32"/>
          <w:highlight w:val="none"/>
          <w:lang w:val="zh-CN" w:eastAsia="zh-CN" w:bidi="ar-SA"/>
        </w:rPr>
        <w:t>。</w:t>
      </w:r>
    </w:p>
    <w:p w14:paraId="2FE7645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3224C3D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175.21</w:t>
      </w:r>
      <w:r>
        <w:rPr>
          <w:rFonts w:hint="eastAsia" w:ascii="仿宋_GB2312" w:eastAsia="仿宋_GB2312"/>
          <w:color w:val="auto"/>
          <w:sz w:val="32"/>
          <w:szCs w:val="32"/>
          <w:highlight w:val="none"/>
        </w:rPr>
        <w:t>万元，其中：</w:t>
      </w:r>
      <w:r>
        <w:rPr>
          <w:rFonts w:hint="eastAsia" w:ascii="仿宋_GB2312" w:eastAsia="仿宋_GB2312"/>
          <w:b/>
          <w:bCs/>
          <w:color w:val="auto"/>
          <w:sz w:val="32"/>
          <w:szCs w:val="32"/>
          <w:highlight w:val="none"/>
        </w:rPr>
        <w:t>人员经费</w:t>
      </w:r>
      <w:r>
        <w:rPr>
          <w:rFonts w:hint="eastAsia" w:ascii="仿宋_GB2312" w:eastAsia="仿宋_GB2312"/>
          <w:b/>
          <w:bCs/>
          <w:color w:val="auto"/>
          <w:sz w:val="32"/>
          <w:szCs w:val="32"/>
          <w:highlight w:val="none"/>
          <w:lang w:eastAsia="zh-CN"/>
        </w:rPr>
        <w:t>150.64</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基本工资、津贴补贴、奖金、绩效工资、机关事业单位基本养老保险缴费、职工基本医疗保险缴费、公务员医疗补助缴费、其他社会保障缴费、住房公积金、其他工资福利支出。</w:t>
      </w:r>
    </w:p>
    <w:p w14:paraId="0E36A3DB">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b/>
          <w:bCs/>
          <w:color w:val="auto"/>
          <w:sz w:val="32"/>
          <w:szCs w:val="32"/>
          <w:highlight w:val="none"/>
        </w:rPr>
        <w:t>公用经费</w:t>
      </w:r>
      <w:r>
        <w:rPr>
          <w:rFonts w:hint="eastAsia" w:ascii="仿宋_GB2312" w:eastAsia="仿宋_GB2312"/>
          <w:b/>
          <w:bCs/>
          <w:color w:val="auto"/>
          <w:sz w:val="32"/>
          <w:szCs w:val="32"/>
          <w:highlight w:val="none"/>
          <w:lang w:eastAsia="zh-CN"/>
        </w:rPr>
        <w:t>24.56</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办公费、水费、邮电费、取暖费、差旅费、工会经费、福利费、公务用车运行维护费。</w:t>
      </w:r>
    </w:p>
    <w:p w14:paraId="1AD6C61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79F97C9E">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2023年度</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“三公”经费支出8.23万元，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减少0.05万元，下降0.</w:t>
      </w:r>
      <w:r>
        <w:rPr>
          <w:rFonts w:hint="eastAsia" w:ascii="仿宋_GB2312" w:eastAsia="仿宋_GB2312"/>
          <w:color w:val="auto"/>
          <w:sz w:val="32"/>
          <w:szCs w:val="32"/>
          <w:highlight w:val="none"/>
          <w:lang w:val="en-US" w:eastAsia="zh-CN"/>
        </w:rPr>
        <w:t>60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严格执行中央八项规定及相关细则，做到“三公”经费只减不增，无预算不支出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；公务用车购置及运行维护费支出8.23万元，占100.00%，比上年减少0.05万元，下降0.</w:t>
      </w:r>
      <w:r>
        <w:rPr>
          <w:rFonts w:hint="eastAsia" w:ascii="仿宋_GB2312" w:eastAsia="仿宋_GB2312"/>
          <w:color w:val="auto"/>
          <w:sz w:val="32"/>
          <w:szCs w:val="32"/>
          <w:highlight w:val="none"/>
          <w:lang w:val="en-US" w:eastAsia="zh-CN"/>
        </w:rPr>
        <w:t>60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严格执行公务车用管理制度，合理</w:t>
      </w:r>
      <w:r>
        <w:rPr>
          <w:rFonts w:hint="eastAsia" w:ascii="仿宋_GB2312" w:eastAsia="仿宋_GB2312"/>
          <w:sz w:val="32"/>
          <w:szCs w:val="32"/>
          <w:lang w:val="en-US" w:eastAsia="zh-CN"/>
        </w:rPr>
        <w:t>控制</w:t>
      </w:r>
      <w:r>
        <w:rPr>
          <w:rFonts w:ascii="仿宋_GB2312" w:eastAsia="仿宋_GB2312"/>
          <w:sz w:val="32"/>
          <w:szCs w:val="32"/>
        </w:rPr>
        <w:t>公务用车运行费</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5D6F8BDB">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b/>
          <w:bCs/>
          <w:color w:val="auto"/>
          <w:sz w:val="32"/>
          <w:szCs w:val="32"/>
          <w:highlight w:val="none"/>
          <w:lang w:val="zh-CN" w:eastAsia="zh-CN"/>
        </w:rPr>
      </w:pPr>
      <w:r>
        <w:rPr>
          <w:rFonts w:hint="eastAsia" w:ascii="仿宋_GB2312" w:eastAsia="仿宋_GB2312"/>
          <w:b/>
          <w:bCs/>
          <w:color w:val="auto"/>
          <w:sz w:val="32"/>
          <w:szCs w:val="32"/>
          <w:highlight w:val="none"/>
          <w:lang w:val="zh-CN" w:eastAsia="zh-CN"/>
        </w:rPr>
        <w:t>具体情况如下：</w:t>
      </w:r>
    </w:p>
    <w:p w14:paraId="5A9ED51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w:t>
      </w:r>
      <w:r>
        <w:rPr>
          <w:rFonts w:hint="eastAsia" w:ascii="仿宋_GB2312" w:eastAsia="仿宋_GB2312"/>
          <w:color w:val="auto"/>
          <w:sz w:val="32"/>
          <w:szCs w:val="32"/>
          <w:highlight w:val="none"/>
          <w:lang w:val="en-US" w:eastAsia="zh-CN"/>
        </w:rPr>
        <w:t>支出内容包括我单位无</w:t>
      </w:r>
      <w:r>
        <w:rPr>
          <w:rFonts w:hint="eastAsia" w:ascii="仿宋_GB2312" w:eastAsia="仿宋_GB2312"/>
          <w:color w:val="auto"/>
          <w:sz w:val="32"/>
          <w:szCs w:val="32"/>
          <w:highlight w:val="none"/>
          <w:lang w:val="zh-CN" w:eastAsia="zh-CN"/>
        </w:rPr>
        <w:t>因公出国（境）费</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单位全年安排的因公出国（境）团组0个，因公出国（境）0人次。</w:t>
      </w:r>
    </w:p>
    <w:p w14:paraId="3CE4E14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公务用车购置及运行维护费8.23万元，其中：公务用车购置费0.00万元，公务用车运行维护费8.23万元。公务用车运行维护费开支内容包括</w:t>
      </w:r>
      <w:r>
        <w:rPr>
          <w:rFonts w:hint="eastAsia" w:ascii="仿宋_GB2312" w:eastAsia="仿宋_GB2312"/>
          <w:sz w:val="32"/>
          <w:szCs w:val="32"/>
        </w:rPr>
        <w:t>车辆保险、停车过路费、车辆加油、车辆维修等费用</w:t>
      </w:r>
      <w:r>
        <w:rPr>
          <w:rFonts w:hint="eastAsia" w:ascii="仿宋_GB2312" w:eastAsia="仿宋_GB2312"/>
          <w:color w:val="auto"/>
          <w:sz w:val="32"/>
          <w:szCs w:val="32"/>
          <w:highlight w:val="none"/>
          <w:lang w:val="zh-CN" w:eastAsia="zh-CN"/>
        </w:rPr>
        <w:t>。公务用车购置数0辆，公务用车保有量4辆。国有资产占用情况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4辆，</w:t>
      </w:r>
      <w:r>
        <w:rPr>
          <w:rFonts w:hint="eastAsia" w:ascii="仿宋_GB2312" w:eastAsia="仿宋_GB2312"/>
          <w:color w:val="auto"/>
          <w:sz w:val="32"/>
          <w:szCs w:val="32"/>
          <w:highlight w:val="none"/>
          <w:lang w:val="en-US" w:eastAsia="zh-CN"/>
        </w:rPr>
        <w:t>与公务用车保有量无差异。</w:t>
      </w:r>
    </w:p>
    <w:p w14:paraId="27A721E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w:t>
      </w:r>
      <w:r>
        <w:rPr>
          <w:rFonts w:hint="eastAsia" w:ascii="仿宋_GB2312" w:eastAsia="仿宋_GB2312"/>
          <w:color w:val="auto"/>
          <w:sz w:val="32"/>
          <w:szCs w:val="32"/>
          <w:highlight w:val="none"/>
          <w:lang w:val="en-US" w:eastAsia="zh-CN"/>
        </w:rPr>
        <w:t>支出内容包括我单位无</w:t>
      </w:r>
      <w:r>
        <w:rPr>
          <w:rFonts w:hint="eastAsia" w:ascii="仿宋_GB2312" w:eastAsia="仿宋_GB2312"/>
          <w:color w:val="auto"/>
          <w:sz w:val="32"/>
          <w:szCs w:val="32"/>
          <w:highlight w:val="none"/>
          <w:lang w:val="zh-CN" w:eastAsia="zh-CN"/>
        </w:rPr>
        <w:t>公务接待费</w:t>
      </w:r>
      <w:bookmarkStart w:id="48" w:name="_GoBack"/>
      <w:bookmarkEnd w:id="48"/>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单位全年安排的国内公务接待0批次，0人次。</w:t>
      </w:r>
    </w:p>
    <w:p w14:paraId="4FDC476F">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与</w:t>
      </w:r>
      <w:r>
        <w:rPr>
          <w:rFonts w:hint="eastAsia" w:ascii="仿宋_GB2312" w:eastAsia="仿宋_GB2312"/>
          <w:b/>
          <w:bCs/>
          <w:color w:val="auto"/>
          <w:sz w:val="32"/>
          <w:szCs w:val="32"/>
          <w:highlight w:val="none"/>
          <w:lang w:val="en-US" w:eastAsia="zh-CN"/>
        </w:rPr>
        <w:t>全年</w:t>
      </w:r>
      <w:r>
        <w:rPr>
          <w:rFonts w:hint="eastAsia" w:ascii="仿宋_GB2312" w:eastAsia="仿宋_GB2312"/>
          <w:b/>
          <w:bCs/>
          <w:color w:val="auto"/>
          <w:sz w:val="32"/>
          <w:szCs w:val="32"/>
          <w:highlight w:val="none"/>
          <w:lang w:val="zh-CN" w:eastAsia="zh-CN"/>
        </w:rPr>
        <w:t>预算相比</w:t>
      </w:r>
      <w:r>
        <w:rPr>
          <w:rFonts w:hint="eastAsia" w:ascii="仿宋_GB2312" w:eastAsia="仿宋_GB2312"/>
          <w:b/>
          <w:bCs/>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预算数8.98万元，决算数8.23万元，预决算差异率-8.3</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严格执行中央八项规定及相关细则，做到“三公”经费只减不增，无预算不支出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预算数8.98万元，决算数8.23万元，预决算差异率-8.3</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严格执行公务车用管理制度，合理</w:t>
      </w:r>
      <w:r>
        <w:rPr>
          <w:rFonts w:hint="eastAsia" w:ascii="仿宋_GB2312" w:eastAsia="仿宋_GB2312"/>
          <w:sz w:val="32"/>
          <w:szCs w:val="32"/>
          <w:lang w:val="en-US" w:eastAsia="zh-CN"/>
        </w:rPr>
        <w:t>控制</w:t>
      </w:r>
      <w:r>
        <w:rPr>
          <w:rFonts w:hint="eastAsia" w:ascii="仿宋_GB2312" w:eastAsia="仿宋_GB2312"/>
          <w:sz w:val="32"/>
          <w:szCs w:val="32"/>
        </w:rPr>
        <w:t>公务用车运行费用</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602FBDF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7EF977D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7653FE6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473C71B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30705FF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7F14FD8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7DF489AB">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哈密市无线电管理局</w:t>
      </w:r>
      <w:r>
        <w:rPr>
          <w:rFonts w:hint="eastAsia" w:ascii="Times New Roman" w:hAnsi="Times New Roman" w:eastAsia="仿宋_GB2312" w:cs="Times New Roman"/>
          <w:color w:val="auto"/>
          <w:sz w:val="32"/>
          <w:szCs w:val="32"/>
          <w:highlight w:val="none"/>
          <w:lang w:val="zh-CN" w:eastAsia="zh-CN"/>
        </w:rPr>
        <w:t>（事业单位）公用经费支出24.56万元，比上年增加2.40万元，增长10.8</w:t>
      </w:r>
      <w:r>
        <w:rPr>
          <w:rFonts w:hint="eastAsia"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val="zh-CN" w:eastAsia="zh-CN"/>
        </w:rPr>
        <w:t>%，主要原因</w:t>
      </w:r>
      <w:r>
        <w:rPr>
          <w:rFonts w:hint="eastAsia" w:eastAsia="仿宋_GB2312" w:cs="Times New Roman"/>
          <w:color w:val="auto"/>
          <w:sz w:val="32"/>
          <w:szCs w:val="32"/>
          <w:highlight w:val="none"/>
          <w:lang w:val="zh-CN" w:eastAsia="zh-CN"/>
        </w:rPr>
        <w:t>是公用经费根据人员工资标准按比例拨付，人员工资基数上调，公用经费支出相应增加。</w:t>
      </w:r>
    </w:p>
    <w:p w14:paraId="0C8CC1C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2526834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175.58万元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其中：政府采购货物支出88.50万元、政府采购工程支出54.65万元、政府采购服务支出32.44万元。</w:t>
      </w:r>
    </w:p>
    <w:p w14:paraId="3B92C00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授予中小企业合同金额170.78万元，占政府采购支出总额的97.27</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，其中：授予小微企业合同金额133.53万元，占政府采购支出总额的76.05</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437E713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64C0C28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4,782.26</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屋4983.05平方米，价值1,479.24万元。车辆4辆，价值216.00万元，其中：副部（省）级及以上领导用车0辆、主要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用车0辆、机要通信用车0辆、应急保障用车0辆、执法执勤用车1辆、特种专业技术用车3辆、离退休干部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用车0辆、其他用车0辆；单价100万元（含）以上设备（不含车辆）2</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1D671A5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5DC4A36F">
      <w:pPr>
        <w:ind w:firstLine="640" w:firstLineChars="200"/>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我单位整体支出绩效自评表由主管部门编报并公开</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ascii="仿宋_GB2312" w:eastAsia="仿宋_GB2312"/>
          <w:sz w:val="32"/>
          <w:szCs w:val="32"/>
        </w:rPr>
        <w:t>。预算绩效管理取得的成效：一是严格执行自治区工信厅预算绩效管理办法，</w:t>
      </w:r>
      <w:r>
        <w:rPr>
          <w:rFonts w:hint="eastAsia" w:ascii="仿宋_GB2312" w:eastAsia="仿宋_GB2312"/>
          <w:sz w:val="32"/>
          <w:szCs w:val="32"/>
          <w:lang w:eastAsia="zh-CN"/>
        </w:rPr>
        <w:t>规范和</w:t>
      </w:r>
      <w:r>
        <w:rPr>
          <w:rFonts w:ascii="仿宋_GB2312" w:eastAsia="仿宋_GB2312"/>
          <w:sz w:val="32"/>
          <w:szCs w:val="32"/>
        </w:rPr>
        <w:t>加快预算执行，积极做好绩效监控和绩效评价工作，确保预算执行的准确性、及时性和规范性,切实发挥财政资金最大效用；二是各项工作实施及资金使用情况均在绩效目标设定时限完成，在项目经费的使用上，在保证各项任务顺利完成的同时，严格落实厉行节约的原则</w:t>
      </w:r>
      <w:r>
        <w:rPr>
          <w:rFonts w:hint="eastAsia" w:ascii="仿宋_GB2312" w:eastAsia="仿宋_GB2312"/>
          <w:sz w:val="32"/>
          <w:szCs w:val="32"/>
          <w:lang w:eastAsia="zh-CN"/>
        </w:rPr>
        <w:t>。</w:t>
      </w:r>
      <w:r>
        <w:rPr>
          <w:rFonts w:hint="eastAsia" w:ascii="仿宋_GB2312" w:eastAsia="仿宋_GB2312"/>
          <w:sz w:val="32"/>
          <w:szCs w:val="32"/>
        </w:rPr>
        <w:t>发现的问题及原因：</w:t>
      </w:r>
      <w:r>
        <w:rPr>
          <w:rFonts w:ascii="仿宋_GB2312" w:eastAsia="仿宋_GB2312"/>
          <w:sz w:val="32"/>
          <w:szCs w:val="32"/>
        </w:rPr>
        <w:t>组织开展项目绩效评价工作时,因项目采购、合同执行周期长，致使项目在绩效监控节点时，影响单位整体绩效评价总体分值</w:t>
      </w:r>
      <w:r>
        <w:rPr>
          <w:rFonts w:hint="eastAsia" w:ascii="仿宋_GB2312" w:eastAsia="仿宋_GB2312"/>
          <w:sz w:val="32"/>
          <w:szCs w:val="32"/>
        </w:rPr>
        <w:t>。下一步改进措施：</w:t>
      </w:r>
      <w:r>
        <w:rPr>
          <w:rFonts w:ascii="仿宋_GB2312" w:eastAsia="仿宋_GB2312"/>
          <w:sz w:val="32"/>
          <w:szCs w:val="32"/>
        </w:rPr>
        <w:t>一是完善各项内控制度，建立上下协调、科室联动、层层抓落实的工作责任制，将绩效管理责任分解落实到具体科室、 明确到具体责任人，确保每一笔资金花得安全、用得高效；二是加强对专项资金预算绩效监控力度，加强对专项资金预算执行力度的考核，确保项目执行按期完成；三是建立健全绩效管理与预算管理有机结合的工作机制，落实绩效评价结果成为预算编制的重要参考因素</w:t>
      </w:r>
      <w:r>
        <w:rPr>
          <w:rFonts w:hint="eastAsia" w:ascii="仿宋_GB2312" w:eastAsia="仿宋_GB2312"/>
          <w:color w:val="auto"/>
          <w:sz w:val="32"/>
          <w:szCs w:val="32"/>
          <w:highlight w:val="none"/>
        </w:rPr>
        <w:t>。</w:t>
      </w:r>
    </w:p>
    <w:p w14:paraId="688CD43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4AD4218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14:paraId="3291F76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1AABE9C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1CE1C3C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796A11D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35A826C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1EA4B72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25E1D2B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1BFED91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6E3C377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B0343A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72F74C6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4B16DBD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59C1629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359BB4C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3DEA2ED8">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1617A6C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7D43D53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71B395C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537BB45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2B54B8F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21DA1B9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0F1917E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236F5D7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37DABAC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2BFD8B6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1DDEE85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425BB1C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C39B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CB515B6">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5CB515B6">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 w:name="KSO_WPS_MARK_KEY" w:val="41ee2a61-2d54-4f93-83be-afdb9a40d732"/>
  </w:docVars>
  <w:rsids>
    <w:rsidRoot w:val="00000000"/>
    <w:rsid w:val="00213C59"/>
    <w:rsid w:val="003210CE"/>
    <w:rsid w:val="008F754A"/>
    <w:rsid w:val="00B70D59"/>
    <w:rsid w:val="00F52A8D"/>
    <w:rsid w:val="010B1CE2"/>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6B238FA"/>
    <w:rsid w:val="07093795"/>
    <w:rsid w:val="07804730"/>
    <w:rsid w:val="079052BE"/>
    <w:rsid w:val="08145C21"/>
    <w:rsid w:val="08422688"/>
    <w:rsid w:val="0857717C"/>
    <w:rsid w:val="085854ED"/>
    <w:rsid w:val="0879188F"/>
    <w:rsid w:val="08A0354D"/>
    <w:rsid w:val="08B374B6"/>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0FBA2DDF"/>
    <w:rsid w:val="105B0B5E"/>
    <w:rsid w:val="10E16B8A"/>
    <w:rsid w:val="1107018F"/>
    <w:rsid w:val="112E58D0"/>
    <w:rsid w:val="11731CAC"/>
    <w:rsid w:val="119500A0"/>
    <w:rsid w:val="11C0733B"/>
    <w:rsid w:val="11D50D17"/>
    <w:rsid w:val="120E0809"/>
    <w:rsid w:val="127F665A"/>
    <w:rsid w:val="12E56BE3"/>
    <w:rsid w:val="12F7068C"/>
    <w:rsid w:val="14207DC0"/>
    <w:rsid w:val="14B932DA"/>
    <w:rsid w:val="14D64C58"/>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C7D2E92"/>
    <w:rsid w:val="1D0E51AB"/>
    <w:rsid w:val="1D22799A"/>
    <w:rsid w:val="1D5C1A72"/>
    <w:rsid w:val="1DAF458D"/>
    <w:rsid w:val="1E086ACE"/>
    <w:rsid w:val="1E62130A"/>
    <w:rsid w:val="1E6C2189"/>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082C6B"/>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696B4B"/>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6B27FC"/>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35704"/>
    <w:rsid w:val="3C242659"/>
    <w:rsid w:val="3C96719C"/>
    <w:rsid w:val="3CA72BE8"/>
    <w:rsid w:val="3CF37F8C"/>
    <w:rsid w:val="3D137554"/>
    <w:rsid w:val="3D5275AC"/>
    <w:rsid w:val="3DCC2473"/>
    <w:rsid w:val="3DEB0883"/>
    <w:rsid w:val="3E2527BF"/>
    <w:rsid w:val="3E731662"/>
    <w:rsid w:val="3E8168DD"/>
    <w:rsid w:val="3EA7725F"/>
    <w:rsid w:val="3EB03713"/>
    <w:rsid w:val="3EB1084F"/>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CE79E7"/>
    <w:rsid w:val="4CEE3180"/>
    <w:rsid w:val="4D0F4AF6"/>
    <w:rsid w:val="4D297313"/>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4C257C"/>
    <w:rsid w:val="57540E7D"/>
    <w:rsid w:val="577B4878"/>
    <w:rsid w:val="57926973"/>
    <w:rsid w:val="57FA1FD8"/>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DDC7A8A"/>
    <w:rsid w:val="5E7E6D93"/>
    <w:rsid w:val="5ED44800"/>
    <w:rsid w:val="5F350BDE"/>
    <w:rsid w:val="5F61632C"/>
    <w:rsid w:val="5FA17648"/>
    <w:rsid w:val="5FE705CB"/>
    <w:rsid w:val="603D5080"/>
    <w:rsid w:val="60D0261B"/>
    <w:rsid w:val="618E3791"/>
    <w:rsid w:val="61947DCA"/>
    <w:rsid w:val="61A46A97"/>
    <w:rsid w:val="61D1382F"/>
    <w:rsid w:val="61F114A2"/>
    <w:rsid w:val="61F129D8"/>
    <w:rsid w:val="6223212B"/>
    <w:rsid w:val="62512BB4"/>
    <w:rsid w:val="625D7D1A"/>
    <w:rsid w:val="62DD7D21"/>
    <w:rsid w:val="637D586B"/>
    <w:rsid w:val="63A5560B"/>
    <w:rsid w:val="63E9091F"/>
    <w:rsid w:val="64322AF9"/>
    <w:rsid w:val="64D6010D"/>
    <w:rsid w:val="64D82665"/>
    <w:rsid w:val="64E47C96"/>
    <w:rsid w:val="64EC2235"/>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AB7081D"/>
    <w:rsid w:val="6B68175F"/>
    <w:rsid w:val="6BFD799F"/>
    <w:rsid w:val="6C4A2E5A"/>
    <w:rsid w:val="6C8138D0"/>
    <w:rsid w:val="6CA43E69"/>
    <w:rsid w:val="6CEF0725"/>
    <w:rsid w:val="6D4B2604"/>
    <w:rsid w:val="6D8030E4"/>
    <w:rsid w:val="6E0E35C4"/>
    <w:rsid w:val="6E0F7A08"/>
    <w:rsid w:val="6E3947F5"/>
    <w:rsid w:val="6E9C74ED"/>
    <w:rsid w:val="6EF72976"/>
    <w:rsid w:val="6F795A80"/>
    <w:rsid w:val="6F7C1D2E"/>
    <w:rsid w:val="6F8E0407"/>
    <w:rsid w:val="6FDD069F"/>
    <w:rsid w:val="702B4D16"/>
    <w:rsid w:val="702C7B5B"/>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1306C"/>
    <w:rsid w:val="7873527F"/>
    <w:rsid w:val="790A6425"/>
    <w:rsid w:val="790E2D96"/>
    <w:rsid w:val="791B54B2"/>
    <w:rsid w:val="795A0A34"/>
    <w:rsid w:val="797339C3"/>
    <w:rsid w:val="79D57D57"/>
    <w:rsid w:val="79F00650"/>
    <w:rsid w:val="7A6242BF"/>
    <w:rsid w:val="7A794513"/>
    <w:rsid w:val="7A9F0216"/>
    <w:rsid w:val="7AE952D2"/>
    <w:rsid w:val="7C625A0B"/>
    <w:rsid w:val="7C976D69"/>
    <w:rsid w:val="7CD752DA"/>
    <w:rsid w:val="7CDE40AB"/>
    <w:rsid w:val="7CF057E2"/>
    <w:rsid w:val="7D1548B5"/>
    <w:rsid w:val="7DF84014"/>
    <w:rsid w:val="7E207949"/>
    <w:rsid w:val="7E5C0A47"/>
    <w:rsid w:val="7E670C75"/>
    <w:rsid w:val="7ED829AA"/>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5391</Words>
  <Characters>5990</Characters>
  <Lines>0</Lines>
  <Paragraphs>0</Paragraphs>
  <TotalTime>0</TotalTime>
  <ScaleCrop>false</ScaleCrop>
  <LinksUpToDate>false</LinksUpToDate>
  <CharactersWithSpaces>6002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岁月无痕</cp:lastModifiedBy>
  <dcterms:modified xsi:type="dcterms:W3CDTF">2024-08-30T13:50:53Z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5BCD4E87D9114946ADF81EBE7FF5C9D6_13</vt:lpwstr>
  </property>
</Properties>
</file>