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eastAsia="华文中宋"/>
          <w:b/>
          <w:kern w:val="0"/>
          <w:sz w:val="72"/>
          <w:szCs w:val="72"/>
        </w:rPr>
      </w:pPr>
    </w:p>
    <w:p>
      <w:pPr>
        <w:pStyle w:val="2"/>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自治区中小企业发展专项资金</w:t>
      </w:r>
      <w:r>
        <w:rPr>
          <w:rFonts w:eastAsia="方正小标宋_GBK"/>
          <w:kern w:val="0"/>
          <w:sz w:val="48"/>
          <w:szCs w:val="48"/>
        </w:rPr>
        <w:t>项目</w:t>
      </w:r>
      <w:r>
        <w:rPr>
          <w:rFonts w:hint="eastAsia" w:eastAsia="方正小标宋_GBK"/>
          <w:kern w:val="0"/>
          <w:sz w:val="48"/>
          <w:szCs w:val="48"/>
        </w:rPr>
        <w:t>（自治区本级）</w:t>
      </w:r>
      <w:r>
        <w:rPr>
          <w:rFonts w:eastAsia="方正小标宋_GBK"/>
          <w:kern w:val="0"/>
          <w:sz w:val="48"/>
          <w:szCs w:val="48"/>
        </w:rPr>
        <w:t>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left="1800" w:hanging="1800" w:hangingChars="500"/>
        <w:jc w:val="left"/>
        <w:rPr>
          <w:rFonts w:hint="eastAsia" w:eastAsia="仿宋_GB2312"/>
          <w:kern w:val="0"/>
          <w:sz w:val="36"/>
          <w:szCs w:val="36"/>
        </w:rPr>
      </w:pPr>
      <w:r>
        <w:rPr>
          <w:rFonts w:eastAsia="仿宋_GB2312"/>
          <w:kern w:val="0"/>
          <w:sz w:val="36"/>
          <w:szCs w:val="36"/>
        </w:rPr>
        <w:t>项目名称：</w:t>
      </w:r>
      <w:r>
        <w:rPr>
          <w:rFonts w:hint="eastAsia" w:eastAsia="仿宋_GB2312"/>
          <w:kern w:val="0"/>
          <w:sz w:val="36"/>
          <w:szCs w:val="36"/>
        </w:rPr>
        <w:t>202</w:t>
      </w:r>
      <w:r>
        <w:rPr>
          <w:rFonts w:hint="eastAsia" w:eastAsia="仿宋_GB2312"/>
          <w:kern w:val="0"/>
          <w:sz w:val="36"/>
          <w:szCs w:val="36"/>
          <w:lang w:val="en-US" w:eastAsia="zh-CN"/>
        </w:rPr>
        <w:t>3</w:t>
      </w:r>
      <w:r>
        <w:rPr>
          <w:rFonts w:hint="eastAsia" w:eastAsia="仿宋_GB2312"/>
          <w:kern w:val="0"/>
          <w:sz w:val="36"/>
          <w:szCs w:val="36"/>
        </w:rPr>
        <w:t>年度自治区中小企业发展专项资金（自治区本级）</w:t>
      </w:r>
    </w:p>
    <w:p>
      <w:pPr>
        <w:spacing w:line="700" w:lineRule="exact"/>
        <w:jc w:val="left"/>
        <w:rPr>
          <w:rFonts w:hint="eastAsia" w:eastAsia="仿宋_GB2312"/>
          <w:kern w:val="0"/>
          <w:sz w:val="36"/>
          <w:szCs w:val="36"/>
        </w:rPr>
      </w:pPr>
      <w:r>
        <w:rPr>
          <w:rFonts w:eastAsia="仿宋_GB2312"/>
          <w:kern w:val="0"/>
          <w:sz w:val="36"/>
          <w:szCs w:val="36"/>
        </w:rPr>
        <w:t>实施单位（公章）：</w:t>
      </w:r>
      <w:r>
        <w:rPr>
          <w:rFonts w:hint="eastAsia" w:eastAsia="仿宋_GB2312"/>
          <w:kern w:val="0"/>
          <w:sz w:val="36"/>
          <w:szCs w:val="36"/>
        </w:rPr>
        <w:t>新疆维吾尔自治区工业和信息化厅</w:t>
      </w:r>
      <w:r>
        <w:rPr>
          <w:rFonts w:eastAsia="仿宋_GB2312"/>
          <w:kern w:val="0"/>
          <w:sz w:val="36"/>
          <w:szCs w:val="36"/>
        </w:rPr>
        <w:t>主管部门（公章）：</w:t>
      </w:r>
      <w:r>
        <w:rPr>
          <w:rFonts w:hint="eastAsia" w:eastAsia="仿宋_GB2312"/>
          <w:kern w:val="0"/>
          <w:sz w:val="36"/>
          <w:szCs w:val="36"/>
        </w:rPr>
        <w:t>新疆维吾尔自治区工业和信息化厅</w:t>
      </w:r>
      <w:r>
        <w:rPr>
          <w:rFonts w:eastAsia="仿宋_GB2312"/>
          <w:kern w:val="0"/>
          <w:sz w:val="36"/>
          <w:szCs w:val="36"/>
        </w:rPr>
        <w:t>项目负责人（签章）：</w:t>
      </w:r>
      <w:r>
        <w:rPr>
          <w:rFonts w:hint="eastAsia" w:eastAsia="仿宋_GB2312"/>
          <w:kern w:val="0"/>
          <w:sz w:val="36"/>
          <w:szCs w:val="36"/>
        </w:rPr>
        <w:t>张华</w:t>
      </w:r>
    </w:p>
    <w:p>
      <w:pPr>
        <w:spacing w:line="700" w:lineRule="exact"/>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6</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3"/>
          <w:rFonts w:eastAsia="黑体"/>
          <w:b w:val="0"/>
          <w:spacing w:val="-4"/>
          <w:sz w:val="32"/>
          <w:szCs w:val="32"/>
        </w:rPr>
      </w:pPr>
    </w:p>
    <w:p>
      <w:pPr>
        <w:spacing w:line="540" w:lineRule="exact"/>
        <w:ind w:firstLine="640"/>
        <w:rPr>
          <w:rStyle w:val="23"/>
          <w:rFonts w:eastAsia="黑体"/>
          <w:b w:val="0"/>
          <w:spacing w:val="-4"/>
          <w:sz w:val="32"/>
          <w:szCs w:val="32"/>
        </w:rPr>
      </w:pPr>
    </w:p>
    <w:p>
      <w:pPr>
        <w:spacing w:line="540" w:lineRule="exact"/>
        <w:rPr>
          <w:rStyle w:val="23"/>
          <w:rFonts w:eastAsia="黑体"/>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黑体"/>
          <w:bCs/>
          <w:sz w:val="32"/>
          <w:szCs w:val="32"/>
        </w:rPr>
      </w:pPr>
      <w:r>
        <w:rPr>
          <w:rFonts w:eastAsia="黑体"/>
          <w:bCs/>
          <w:sz w:val="32"/>
          <w:szCs w:val="32"/>
        </w:rPr>
        <w:t>一、基本情况</w:t>
      </w:r>
    </w:p>
    <w:p>
      <w:pPr>
        <w:keepNext w:val="0"/>
        <w:keepLines w:val="0"/>
        <w:pageBreakBefore w:val="0"/>
        <w:kinsoku/>
        <w:wordWrap/>
        <w:overflowPunct/>
        <w:topLinePunct w:val="0"/>
        <w:autoSpaceDE/>
        <w:autoSpaceDN/>
        <w:bidi w:val="0"/>
        <w:adjustRightInd/>
        <w:snapToGrid/>
        <w:spacing w:line="560" w:lineRule="exact"/>
        <w:ind w:firstLine="641"/>
        <w:textAlignment w:val="auto"/>
        <w:rPr>
          <w:rFonts w:eastAsia="楷体_GB2312"/>
          <w:b/>
          <w:bCs/>
          <w:sz w:val="32"/>
          <w:szCs w:val="32"/>
        </w:rPr>
      </w:pPr>
      <w:r>
        <w:rPr>
          <w:rFonts w:eastAsia="楷体_GB2312"/>
          <w:b/>
          <w:bCs/>
          <w:sz w:val="32"/>
          <w:szCs w:val="32"/>
        </w:rPr>
        <w:t>（一）项目概况</w:t>
      </w:r>
    </w:p>
    <w:p>
      <w:pPr>
        <w:keepNext w:val="0"/>
        <w:keepLines w:val="0"/>
        <w:pageBreakBefore w:val="0"/>
        <w:kinsoku/>
        <w:wordWrap/>
        <w:overflowPunct/>
        <w:topLinePunct w:val="0"/>
        <w:autoSpaceDE/>
        <w:autoSpaceDN/>
        <w:bidi w:val="0"/>
        <w:adjustRightInd/>
        <w:snapToGrid/>
        <w:spacing w:line="560" w:lineRule="exact"/>
        <w:ind w:firstLine="641"/>
        <w:textAlignment w:val="auto"/>
        <w:rPr>
          <w:rFonts w:eastAsia="仿宋_GB2312"/>
          <w:b/>
          <w:bCs/>
          <w:sz w:val="32"/>
          <w:szCs w:val="32"/>
        </w:rPr>
      </w:pPr>
      <w:r>
        <w:rPr>
          <w:rFonts w:eastAsia="仿宋_GB2312"/>
          <w:b/>
          <w:bCs/>
          <w:sz w:val="32"/>
          <w:szCs w:val="32"/>
        </w:rPr>
        <w:t>1</w:t>
      </w:r>
      <w:r>
        <w:rPr>
          <w:rFonts w:hint="eastAsia" w:eastAsia="仿宋_GB2312"/>
          <w:b/>
          <w:bCs/>
          <w:sz w:val="32"/>
          <w:szCs w:val="32"/>
          <w:lang w:val="en-US" w:eastAsia="zh-CN"/>
        </w:rPr>
        <w:t>.</w:t>
      </w:r>
      <w:r>
        <w:rPr>
          <w:rFonts w:eastAsia="仿宋_GB2312"/>
          <w:b/>
          <w:bCs/>
          <w:sz w:val="32"/>
          <w:szCs w:val="32"/>
        </w:rPr>
        <w:t>项目背景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中小企业联系千家万户，是推动创新、促进就业、改善民生的重要力量。中小企业好，中国经济才会好，充满活力的中小企业是中国经济韧性的重要保障，也是经济社会高质量发展的坚实基础。中小企业是国民经济和社会发展的生力军，是建设现代化经济体系、推动经济实现高质量发展的重要基础，是扩大就业、改善民生的重要支撑</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习近平总书记高度重视中小企业工作，多次作出重要指示批示，指出中小企业能办大事，中小企业有灵气、有活力。在致2022全国专精特新中小企业发展大会的贺信中，对新时代中小企业的地位作用予以充分肯定，对专精特新中小企业寄予殷切希望，对各级党委和政府提出明确要求，强调为中小企业发展营造良好环境，加大对中小企业支持力度，激发涌现更多专精特新中小企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工业和信息化部作为国务院促进中小企业发展的综合管理部门，会同各部门各地方，深入贯彻落实党中央、国务院决策部署，坚持“两个毫不动摇”</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坚持管理和服务并重，坚持帮扶和发展并举，进一步健全完善工作体系、政策法规体系、优质高效服务体系，加强优质中小企业梯度培育，通过政策惠企、服务助企、环境活企、创新强企，人才兴企，构建有活力的创新生态系统，推动中小企业走专精特新发展之路。随着国际国内经济环境的复杂变化，我国中小企业面临要素成本上升、创新发展动能不足、国内外市场竞争加剧等问题。国家及相关部门出台一系列政策，从战略设计、基础设施、解决方案、人才支持、资金支持等方面构建中小企业政策体系，全面推进中小企业</w:t>
      </w:r>
      <w:r>
        <w:rPr>
          <w:rFonts w:hint="eastAsia" w:eastAsia="仿宋_GB2312" w:cs="Times New Roman"/>
          <w:sz w:val="32"/>
          <w:szCs w:val="32"/>
          <w:lang w:val="en-US" w:eastAsia="zh-CN"/>
        </w:rPr>
        <w:t>发展</w:t>
      </w:r>
      <w:r>
        <w:rPr>
          <w:rFonts w:hint="eastAsia" w:ascii="Times New Roman" w:hAnsi="Times New Roman" w:eastAsia="仿宋_GB2312" w:cs="Times New Roman"/>
          <w:sz w:val="32"/>
          <w:szCs w:val="32"/>
          <w:lang w:val="en-US" w:eastAsia="zh-CN"/>
        </w:rPr>
        <w:t>加速、扩面、提质、增效。引导中小企业走“专精特新”之路，提出梯度培育机制，跟进配套基础设施建设。新疆中小企业发展规模体量不断提高，产业结构不断优化，创新能力持续提升，服务体系不断完善，发展环境不断改善。但也面临着综合实力弱，专业化程度和精细化程度不够，人才保障支撑不力，融资难、融资贵，中小企业服务机构精准化服务能力弱等问题。自治区党委、人民政府为促进自治区中小企业健康平稳发展，依据《新疆维吾尔自治区实施</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中华人民共和国中小企业促进法&gt;办法》中“自治区人民政府应当在本级财政预算中安排中小企业发展专项资金”的有关要求，实施2023年自治区中小企业发展专项资金项目。</w:t>
      </w:r>
    </w:p>
    <w:p>
      <w:pPr>
        <w:pStyle w:val="2"/>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2" w:firstLineChars="200"/>
        <w:jc w:val="both"/>
        <w:textAlignment w:val="auto"/>
        <w:rPr>
          <w:rFonts w:ascii="Times New Roman" w:hAnsi="Times New Roman" w:eastAsia="仿宋_GB2312"/>
          <w:kern w:val="2"/>
        </w:rPr>
      </w:pPr>
      <w:r>
        <w:rPr>
          <w:rFonts w:hint="eastAsia" w:ascii="Times New Roman" w:hAnsi="Times New Roman" w:eastAsia="仿宋_GB2312"/>
          <w:kern w:val="2"/>
          <w:lang w:val="en-US" w:eastAsia="zh-CN"/>
        </w:rPr>
        <w:t>2.</w:t>
      </w:r>
      <w:r>
        <w:rPr>
          <w:rFonts w:ascii="Times New Roman" w:hAnsi="Times New Roman" w:eastAsia="仿宋_GB2312"/>
          <w:kern w:val="2"/>
        </w:rPr>
        <w:t>项目主要内容：</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自治区中小企业发展专项资金项目（自治区本级）5000万元资金</w:t>
      </w:r>
      <w:r>
        <w:rPr>
          <w:rFonts w:hint="eastAsia" w:cs="Times New Roman"/>
          <w:color w:val="auto"/>
          <w:sz w:val="32"/>
          <w:highlight w:val="none"/>
          <w:lang w:eastAsia="zh-CN"/>
        </w:rPr>
        <w:t>，</w:t>
      </w:r>
      <w:r>
        <w:rPr>
          <w:rFonts w:hint="default" w:ascii="Times New Roman" w:hAnsi="Times New Roman" w:eastAsia="仿宋_GB2312" w:cs="Times New Roman"/>
          <w:color w:val="auto"/>
          <w:sz w:val="32"/>
          <w:highlight w:val="none"/>
        </w:rPr>
        <w:t>安排自治区工信厅机关4750万元</w:t>
      </w:r>
      <w:r>
        <w:rPr>
          <w:rFonts w:hint="eastAsia" w:eastAsia="仿宋_GB2312" w:cs="Times New Roman"/>
          <w:color w:val="auto"/>
          <w:sz w:val="32"/>
          <w:highlight w:val="none"/>
          <w:lang w:eastAsia="zh-CN"/>
        </w:rPr>
        <w:t>，安排自治区中小企业服务中心250万元</w:t>
      </w:r>
      <w:r>
        <w:rPr>
          <w:rFonts w:hint="default" w:ascii="Times New Roman" w:hAnsi="Times New Roman" w:eastAsia="仿宋_GB2312" w:cs="Times New Roman"/>
          <w:color w:val="auto"/>
          <w:sz w:val="32"/>
          <w:highlight w:val="none"/>
        </w:rPr>
        <w:t>。自治区工信厅机关4750万元主要用于以下项目开支：专精特新中小企业培育项目奖励经费4100万元</w:t>
      </w:r>
      <w:r>
        <w:rPr>
          <w:rFonts w:hint="eastAsia" w:cs="Times New Roman"/>
          <w:color w:val="auto"/>
          <w:sz w:val="32"/>
          <w:highlight w:val="none"/>
          <w:lang w:eastAsia="zh-CN"/>
        </w:rPr>
        <w:t>，</w:t>
      </w:r>
      <w:r>
        <w:rPr>
          <w:rFonts w:hint="default" w:ascii="Times New Roman" w:hAnsi="Times New Roman" w:eastAsia="仿宋_GB2312" w:cs="Times New Roman"/>
          <w:color w:val="auto"/>
          <w:sz w:val="32"/>
          <w:highlight w:val="none"/>
        </w:rPr>
        <w:t>中小企业创新服务券项目补助经费190万元</w:t>
      </w:r>
      <w:r>
        <w:rPr>
          <w:rFonts w:hint="eastAsia" w:cs="Times New Roman"/>
          <w:color w:val="auto"/>
          <w:sz w:val="32"/>
          <w:highlight w:val="none"/>
          <w:lang w:eastAsia="zh-CN"/>
        </w:rPr>
        <w:t>，</w:t>
      </w:r>
      <w:r>
        <w:rPr>
          <w:rFonts w:hint="default" w:ascii="Times New Roman" w:hAnsi="Times New Roman" w:eastAsia="仿宋_GB2312" w:cs="Times New Roman"/>
          <w:color w:val="auto"/>
          <w:sz w:val="32"/>
          <w:highlight w:val="none"/>
        </w:rPr>
        <w:t>“创客中国”新疆中小企业创新创业大赛组织经费120万元（含奖金50万元）</w:t>
      </w:r>
      <w:r>
        <w:rPr>
          <w:rFonts w:hint="eastAsia" w:cs="Times New Roman"/>
          <w:color w:val="auto"/>
          <w:sz w:val="32"/>
          <w:highlight w:val="none"/>
          <w:lang w:eastAsia="zh-CN"/>
        </w:rPr>
        <w:t>，</w:t>
      </w:r>
      <w:r>
        <w:rPr>
          <w:rFonts w:hint="default" w:ascii="Times New Roman" w:hAnsi="Times New Roman" w:eastAsia="仿宋_GB2312" w:cs="Times New Roman"/>
          <w:color w:val="auto"/>
          <w:sz w:val="32"/>
          <w:highlight w:val="none"/>
        </w:rPr>
        <w:t>第十八届中国国际中小企业博览会组展经费75万元</w:t>
      </w:r>
      <w:r>
        <w:rPr>
          <w:rFonts w:hint="eastAsia" w:cs="Times New Roman"/>
          <w:color w:val="auto"/>
          <w:sz w:val="32"/>
          <w:highlight w:val="none"/>
          <w:lang w:eastAsia="zh-CN"/>
        </w:rPr>
        <w:t>，</w:t>
      </w:r>
      <w:r>
        <w:rPr>
          <w:rFonts w:hint="default" w:ascii="Times New Roman" w:hAnsi="Times New Roman" w:eastAsia="仿宋_GB2312" w:cs="Times New Roman"/>
          <w:color w:val="auto"/>
          <w:sz w:val="32"/>
          <w:highlight w:val="none"/>
        </w:rPr>
        <w:t>第十二届APEC中小企业技术交流暨展览会组展经费55万元</w:t>
      </w:r>
      <w:r>
        <w:rPr>
          <w:rFonts w:hint="eastAsia" w:cs="Times New Roman"/>
          <w:color w:val="auto"/>
          <w:sz w:val="32"/>
          <w:highlight w:val="none"/>
          <w:lang w:eastAsia="zh-CN"/>
        </w:rPr>
        <w:t>，</w:t>
      </w:r>
      <w:r>
        <w:rPr>
          <w:rFonts w:hint="default" w:ascii="Times New Roman" w:hAnsi="Times New Roman" w:eastAsia="仿宋_GB2312" w:cs="Times New Roman"/>
          <w:color w:val="auto"/>
          <w:sz w:val="32"/>
          <w:highlight w:val="none"/>
        </w:rPr>
        <w:t>中小企业发展环境评估项目经费60万元</w:t>
      </w:r>
      <w:r>
        <w:rPr>
          <w:rFonts w:hint="eastAsia" w:cs="Times New Roman"/>
          <w:color w:val="auto"/>
          <w:sz w:val="32"/>
          <w:highlight w:val="none"/>
          <w:lang w:eastAsia="zh-CN"/>
        </w:rPr>
        <w:t>，</w:t>
      </w:r>
      <w:r>
        <w:rPr>
          <w:rFonts w:hint="default" w:ascii="Times New Roman" w:hAnsi="Times New Roman" w:eastAsia="仿宋_GB2312" w:cs="Times New Roman"/>
          <w:color w:val="auto"/>
          <w:sz w:val="32"/>
          <w:highlight w:val="none"/>
        </w:rPr>
        <w:t>2023年度中小企业发展专项资金使用效果评估项目经费30万元</w:t>
      </w:r>
      <w:r>
        <w:rPr>
          <w:rFonts w:hint="eastAsia" w:cs="Times New Roman"/>
          <w:color w:val="auto"/>
          <w:sz w:val="32"/>
          <w:highlight w:val="none"/>
          <w:lang w:eastAsia="zh-CN"/>
        </w:rPr>
        <w:t>，</w:t>
      </w:r>
      <w:r>
        <w:rPr>
          <w:rFonts w:hint="default" w:ascii="Times New Roman" w:hAnsi="Times New Roman" w:eastAsia="仿宋_GB2312" w:cs="Times New Roman"/>
          <w:color w:val="auto"/>
          <w:sz w:val="32"/>
          <w:highlight w:val="none"/>
        </w:rPr>
        <w:t>中小企业运行监测项目经费30万元</w:t>
      </w:r>
      <w:r>
        <w:rPr>
          <w:rFonts w:hint="eastAsia" w:cs="Times New Roman"/>
          <w:color w:val="auto"/>
          <w:sz w:val="32"/>
          <w:highlight w:val="none"/>
          <w:lang w:eastAsia="zh-CN"/>
        </w:rPr>
        <w:t>，</w:t>
      </w:r>
      <w:r>
        <w:rPr>
          <w:rFonts w:hint="default" w:ascii="Times New Roman" w:hAnsi="Times New Roman" w:eastAsia="仿宋_GB2312" w:cs="Times New Roman"/>
          <w:color w:val="auto"/>
          <w:sz w:val="32"/>
          <w:highlight w:val="none"/>
        </w:rPr>
        <w:t>优质中小企业梯度培育及发展情况研究项目经费40万元</w:t>
      </w:r>
      <w:r>
        <w:rPr>
          <w:rFonts w:hint="eastAsia" w:cs="Times New Roman"/>
          <w:color w:val="auto"/>
          <w:sz w:val="32"/>
          <w:highlight w:val="none"/>
          <w:lang w:eastAsia="zh-CN"/>
        </w:rPr>
        <w:t>，</w:t>
      </w:r>
      <w:r>
        <w:rPr>
          <w:rFonts w:hint="default" w:ascii="Times New Roman" w:hAnsi="Times New Roman" w:eastAsia="仿宋_GB2312" w:cs="Times New Roman"/>
          <w:color w:val="auto"/>
          <w:sz w:val="32"/>
          <w:highlight w:val="none"/>
        </w:rPr>
        <w:t>自治区中小企业数字化转型研究项目经费50万元。自治区中小企业服务中心250万元</w:t>
      </w:r>
      <w:r>
        <w:rPr>
          <w:rFonts w:hint="eastAsia" w:eastAsia="仿宋_GB2312" w:cs="Times New Roman"/>
          <w:color w:val="auto"/>
          <w:sz w:val="32"/>
          <w:highlight w:val="none"/>
          <w:lang w:eastAsia="zh-CN"/>
        </w:rPr>
        <w:t>，</w:t>
      </w:r>
      <w:r>
        <w:rPr>
          <w:rFonts w:hint="default" w:ascii="Times New Roman" w:hAnsi="Times New Roman" w:eastAsia="仿宋_GB2312" w:cs="Times New Roman"/>
          <w:color w:val="auto"/>
          <w:sz w:val="32"/>
          <w:highlight w:val="none"/>
        </w:rPr>
        <w:t>自治区中小企业公共服务平台网络枢纽平台维护经费</w:t>
      </w:r>
      <w:r>
        <w:rPr>
          <w:rFonts w:hint="eastAsia" w:eastAsia="仿宋_GB2312" w:cs="Times New Roman"/>
          <w:color w:val="auto"/>
          <w:sz w:val="32"/>
          <w:highlight w:val="none"/>
          <w:lang w:val="en-US" w:eastAsia="zh-CN"/>
        </w:rPr>
        <w:t>200万元</w:t>
      </w:r>
      <w:r>
        <w:rPr>
          <w:rFonts w:hint="eastAsia" w:cs="Times New Roman"/>
          <w:color w:val="auto"/>
          <w:sz w:val="32"/>
          <w:highlight w:val="none"/>
          <w:lang w:eastAsia="zh-CN"/>
        </w:rPr>
        <w:t>，</w:t>
      </w:r>
      <w:r>
        <w:rPr>
          <w:rFonts w:hint="default" w:ascii="Times New Roman" w:hAnsi="Times New Roman" w:eastAsia="仿宋_GB2312" w:cs="Times New Roman"/>
          <w:color w:val="auto"/>
          <w:sz w:val="32"/>
          <w:highlight w:val="none"/>
        </w:rPr>
        <w:t>枢纽平台子平台</w:t>
      </w:r>
      <w:r>
        <w:rPr>
          <w:rFonts w:hint="eastAsia" w:cs="Times New Roman"/>
          <w:color w:val="auto"/>
          <w:sz w:val="32"/>
          <w:highlight w:val="none"/>
          <w:lang w:eastAsia="zh-CN"/>
        </w:rPr>
        <w:t>“</w:t>
      </w:r>
      <w:r>
        <w:rPr>
          <w:rFonts w:hint="default" w:ascii="Times New Roman" w:hAnsi="Times New Roman" w:eastAsia="仿宋_GB2312" w:cs="Times New Roman"/>
          <w:color w:val="auto"/>
          <w:sz w:val="32"/>
          <w:highlight w:val="none"/>
        </w:rPr>
        <w:t>自治区私营经济发展服务平台</w:t>
      </w:r>
      <w:r>
        <w:rPr>
          <w:rFonts w:hint="eastAsia" w:cs="Times New Roman"/>
          <w:color w:val="auto"/>
          <w:sz w:val="32"/>
          <w:highlight w:val="none"/>
          <w:lang w:eastAsia="zh-CN"/>
        </w:rPr>
        <w:t>”</w:t>
      </w:r>
      <w:r>
        <w:rPr>
          <w:rFonts w:hint="default" w:ascii="Times New Roman" w:hAnsi="Times New Roman" w:eastAsia="仿宋_GB2312" w:cs="Times New Roman"/>
          <w:color w:val="auto"/>
          <w:sz w:val="32"/>
          <w:highlight w:val="none"/>
        </w:rPr>
        <w:t>的维护50万元。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highlight w:val="none"/>
        </w:rPr>
        <w:t>本项目总投资</w:t>
      </w:r>
      <w:r>
        <w:rPr>
          <w:rFonts w:hint="eastAsia" w:eastAsia="仿宋_GB2312"/>
          <w:sz w:val="32"/>
          <w:szCs w:val="32"/>
          <w:highlight w:val="none"/>
          <w:lang w:val="en-US" w:eastAsia="zh-CN"/>
        </w:rPr>
        <w:t>5000</w:t>
      </w:r>
      <w:r>
        <w:rPr>
          <w:rFonts w:eastAsia="仿宋_GB2312"/>
          <w:sz w:val="32"/>
          <w:szCs w:val="32"/>
          <w:highlight w:val="none"/>
        </w:rPr>
        <w:t>万元，其中：财政本级资金</w:t>
      </w:r>
      <w:r>
        <w:rPr>
          <w:rFonts w:hint="eastAsia" w:eastAsia="仿宋_GB2312"/>
          <w:sz w:val="32"/>
          <w:szCs w:val="32"/>
          <w:highlight w:val="none"/>
          <w:lang w:val="en-US" w:eastAsia="zh-CN"/>
        </w:rPr>
        <w:t>5000</w:t>
      </w:r>
      <w:r>
        <w:rPr>
          <w:rFonts w:eastAsia="仿宋_GB2312"/>
          <w:sz w:val="32"/>
          <w:szCs w:val="32"/>
          <w:highlight w:val="none"/>
        </w:rPr>
        <w:t>万元。</w:t>
      </w:r>
      <w:r>
        <w:rPr>
          <w:rFonts w:eastAsia="仿宋_GB2312"/>
          <w:sz w:val="32"/>
          <w:szCs w:val="32"/>
        </w:rPr>
        <w:t>项</w:t>
      </w:r>
      <w:r>
        <w:rPr>
          <w:rFonts w:eastAsia="仿宋_GB2312"/>
          <w:sz w:val="32"/>
          <w:szCs w:val="32"/>
          <w:highlight w:val="none"/>
        </w:rPr>
        <w:t>目实际支出</w:t>
      </w:r>
      <w:r>
        <w:rPr>
          <w:rFonts w:hint="eastAsia" w:eastAsia="仿宋_GB2312"/>
          <w:sz w:val="32"/>
          <w:szCs w:val="32"/>
          <w:highlight w:val="none"/>
          <w:lang w:val="en-US" w:eastAsia="zh-CN"/>
        </w:rPr>
        <w:t>4999.9983</w:t>
      </w:r>
      <w:r>
        <w:rPr>
          <w:rFonts w:eastAsia="仿宋_GB2312"/>
          <w:sz w:val="32"/>
          <w:szCs w:val="32"/>
          <w:highlight w:val="none"/>
        </w:rPr>
        <w:t>万元，支出率为</w:t>
      </w:r>
      <w:r>
        <w:rPr>
          <w:rFonts w:hint="eastAsia" w:eastAsia="仿宋_GB2312"/>
          <w:sz w:val="32"/>
          <w:szCs w:val="32"/>
          <w:highlight w:val="none"/>
          <w:lang w:val="en-US" w:eastAsia="zh-CN"/>
        </w:rPr>
        <w:t>99.99</w:t>
      </w:r>
      <w:r>
        <w:rPr>
          <w:rFonts w:eastAsia="仿宋_GB2312"/>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eastAsia="仿宋_GB2312"/>
          <w:b/>
          <w:bCs/>
          <w:sz w:val="32"/>
          <w:szCs w:val="32"/>
        </w:rPr>
      </w:pPr>
      <w:r>
        <w:rPr>
          <w:rFonts w:eastAsia="仿宋_GB2312"/>
          <w:b/>
          <w:bCs/>
          <w:sz w:val="32"/>
          <w:szCs w:val="32"/>
        </w:rPr>
        <w:t>3</w:t>
      </w:r>
      <w:r>
        <w:rPr>
          <w:rFonts w:hint="eastAsia" w:eastAsia="仿宋_GB2312"/>
          <w:b/>
          <w:bCs/>
          <w:sz w:val="32"/>
          <w:szCs w:val="32"/>
          <w:lang w:eastAsia="zh-CN"/>
        </w:rPr>
        <w:t>.</w:t>
      </w:r>
      <w:r>
        <w:rPr>
          <w:rFonts w:eastAsia="仿宋_GB2312"/>
          <w:b/>
          <w:bCs/>
          <w:sz w:val="32"/>
          <w:szCs w:val="32"/>
        </w:rPr>
        <w:t>资金投入和使用情况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sz w:val="20"/>
          <w:szCs w:val="20"/>
        </w:rPr>
      </w:pPr>
      <w:r>
        <w:rPr>
          <w:rFonts w:eastAsia="仿宋_GB2312"/>
          <w:sz w:val="32"/>
          <w:szCs w:val="32"/>
        </w:rPr>
        <w:t>（1）</w:t>
      </w:r>
      <w:r>
        <w:rPr>
          <w:rFonts w:hint="eastAsia" w:eastAsia="仿宋_GB2312"/>
          <w:sz w:val="32"/>
          <w:szCs w:val="32"/>
        </w:rPr>
        <w:t>资金投入情况</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仿宋_GB2312"/>
          <w:sz w:val="32"/>
          <w:szCs w:val="32"/>
          <w:highlight w:val="none"/>
        </w:rPr>
      </w:pPr>
      <w:r>
        <w:rPr>
          <w:rFonts w:hint="eastAsia" w:ascii="仿宋_GB2312" w:hAnsi="仿宋_GB2312" w:eastAsia="仿宋_GB2312" w:cs="仿宋_GB2312"/>
          <w:sz w:val="32"/>
          <w:szCs w:val="32"/>
          <w:highlight w:val="none"/>
          <w:lang w:val="en-US" w:eastAsia="zh-CN"/>
        </w:rPr>
        <w:t>该项目年初预算数5000万元，全年预算数5000万元，实际总投入5000万元，该项目资金已全部落实到位，资金来源为</w:t>
      </w:r>
      <w:r>
        <w:rPr>
          <w:rFonts w:hint="eastAsia" w:ascii="Times New Roman" w:hAnsi="Times New Roman" w:eastAsia="仿宋_GB2312" w:cs="Times New Roman"/>
          <w:b w:val="0"/>
          <w:bCs w:val="0"/>
          <w:kern w:val="2"/>
          <w:sz w:val="32"/>
          <w:szCs w:val="32"/>
          <w:highlight w:val="none"/>
          <w:lang w:val="en-US" w:eastAsia="zh-CN" w:bidi="ar-SA"/>
        </w:rPr>
        <w:t>中小企业发展专项资金</w:t>
      </w:r>
      <w:r>
        <w:rPr>
          <w:rFonts w:hint="eastAsia" w:ascii="仿宋_GB2312" w:hAnsi="仿宋_GB2312" w:eastAsia="仿宋_GB2312" w:cs="仿宋_GB2312"/>
          <w:sz w:val="32"/>
          <w:szCs w:val="32"/>
          <w:highlight w:val="none"/>
          <w:lang w:val="en-US" w:eastAsia="zh-CN"/>
        </w:rPr>
        <w:t>。</w:t>
      </w:r>
      <w:r>
        <w:rPr>
          <w:rFonts w:eastAsia="仿宋_GB2312"/>
          <w:sz w:val="32"/>
          <w:szCs w:val="32"/>
          <w:highlight w:val="none"/>
        </w:rPr>
        <w:t>按照单位财务制度等相关规定，资金支出符合</w:t>
      </w:r>
      <w:r>
        <w:rPr>
          <w:rFonts w:hint="eastAsia" w:eastAsia="仿宋_GB2312"/>
          <w:sz w:val="32"/>
          <w:szCs w:val="32"/>
          <w:highlight w:val="none"/>
          <w:lang w:val="en-US" w:eastAsia="zh-CN"/>
        </w:rPr>
        <w:t>中小企业发展</w:t>
      </w:r>
      <w:r>
        <w:rPr>
          <w:rFonts w:eastAsia="仿宋_GB2312"/>
          <w:sz w:val="32"/>
          <w:szCs w:val="32"/>
          <w:highlight w:val="none"/>
        </w:rPr>
        <w:t>专项资金费用范围，做到了专款专用。在项目资金拨付和使用过程中，为确保项目资金的安全性，提高项目资金使用效率，严格遵循</w:t>
      </w:r>
      <w:r>
        <w:rPr>
          <w:rFonts w:hint="eastAsia" w:eastAsia="仿宋_GB2312"/>
          <w:sz w:val="32"/>
          <w:szCs w:val="32"/>
          <w:highlight w:val="none"/>
        </w:rPr>
        <w:t>中小企业发展</w:t>
      </w:r>
      <w:r>
        <w:rPr>
          <w:rFonts w:eastAsia="仿宋_GB2312"/>
          <w:sz w:val="32"/>
          <w:szCs w:val="32"/>
          <w:highlight w:val="none"/>
        </w:rPr>
        <w:t>资金的拨付程序，认真审核项目实施各阶段的相关材料和手续，根据项目实施进展情况拨付资金。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（2）资金使用情况</w:t>
      </w:r>
      <w:bookmarkStart w:id="0" w:name="page10"/>
      <w:bookmarkEnd w:id="0"/>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该项目年初预算数5000万元，全年预算数5000万元，全年执行数</w:t>
      </w:r>
      <w:r>
        <w:rPr>
          <w:rFonts w:hint="eastAsia" w:ascii="Times New Roman" w:hAnsi="Times New Roman" w:eastAsia="仿宋_GB2312" w:cs="Times New Roman"/>
          <w:b w:val="0"/>
          <w:bCs w:val="0"/>
          <w:kern w:val="2"/>
          <w:sz w:val="32"/>
          <w:szCs w:val="32"/>
          <w:highlight w:val="none"/>
          <w:lang w:val="en-US" w:eastAsia="zh-CN" w:bidi="ar-SA"/>
        </w:rPr>
        <w:t>4999.9983万元</w:t>
      </w:r>
      <w:r>
        <w:rPr>
          <w:rFonts w:hint="eastAsia" w:ascii="仿宋_GB2312" w:hAnsi="仿宋_GB2312" w:eastAsia="仿宋_GB2312" w:cs="仿宋_GB2312"/>
          <w:sz w:val="32"/>
          <w:szCs w:val="32"/>
          <w:highlight w:val="none"/>
          <w:lang w:val="en-US" w:eastAsia="zh-CN"/>
        </w:rPr>
        <w:t>，预算执行率为</w:t>
      </w:r>
      <w:r>
        <w:rPr>
          <w:rFonts w:hint="eastAsia" w:ascii="Times New Roman" w:hAnsi="Times New Roman" w:eastAsia="仿宋_GB2312" w:cs="Times New Roman"/>
          <w:b w:val="0"/>
          <w:bCs w:val="0"/>
          <w:kern w:val="2"/>
          <w:sz w:val="32"/>
          <w:szCs w:val="32"/>
          <w:highlight w:val="none"/>
          <w:lang w:val="en-US" w:eastAsia="zh-CN" w:bidi="ar-SA"/>
        </w:rPr>
        <w:t>99.99</w:t>
      </w:r>
      <w:r>
        <w:rPr>
          <w:rFonts w:ascii="Times New Roman" w:hAnsi="Times New Roman" w:eastAsia="仿宋_GB2312" w:cs="Times New Roman"/>
          <w:b w:val="0"/>
          <w:bCs w:val="0"/>
          <w:kern w:val="2"/>
          <w:sz w:val="32"/>
          <w:szCs w:val="32"/>
          <w:highlight w:val="none"/>
          <w:lang w:val="en-US" w:eastAsia="zh-CN" w:bidi="ar-SA"/>
        </w:rPr>
        <w:t>%</w:t>
      </w:r>
      <w:r>
        <w:rPr>
          <w:rFonts w:hint="eastAsia" w:ascii="仿宋_GB2312" w:hAnsi="仿宋_GB2312" w:eastAsia="仿宋_GB2312" w:cs="仿宋_GB2312"/>
          <w:sz w:val="32"/>
          <w:szCs w:val="32"/>
          <w:highlight w:val="none"/>
          <w:lang w:val="en-US" w:eastAsia="zh-CN"/>
        </w:rPr>
        <w:t>，主要用于</w:t>
      </w:r>
      <w:r>
        <w:rPr>
          <w:rFonts w:ascii="Times New Roman" w:hAnsi="Times New Roman" w:eastAsia="仿宋_GB2312" w:cs="Times New Roman"/>
          <w:b w:val="0"/>
          <w:bCs w:val="0"/>
          <w:kern w:val="2"/>
          <w:sz w:val="32"/>
          <w:szCs w:val="32"/>
          <w:highlight w:val="none"/>
          <w:lang w:val="en-US" w:eastAsia="zh-CN" w:bidi="ar-SA"/>
        </w:rPr>
        <w:t>支付项目实施进程中的各项费用</w:t>
      </w:r>
      <w:r>
        <w:rPr>
          <w:rFonts w:hint="eastAsia" w:ascii="仿宋_GB2312" w:hAnsi="仿宋_GB2312" w:eastAsia="仿宋_GB2312" w:cs="仿宋_GB2312"/>
          <w:sz w:val="32"/>
          <w:szCs w:val="32"/>
          <w:highlight w:val="none"/>
          <w:lang w:val="en-US" w:eastAsia="zh-CN"/>
        </w:rPr>
        <w:t>。</w:t>
      </w:r>
    </w:p>
    <w:p>
      <w:pPr>
        <w:spacing w:line="600" w:lineRule="exact"/>
        <w:ind w:firstLine="642" w:firstLineChars="200"/>
        <w:rPr>
          <w:rFonts w:eastAsia="楷体_GB2312"/>
          <w:b/>
          <w:bCs/>
          <w:sz w:val="32"/>
          <w:szCs w:val="32"/>
        </w:rPr>
      </w:pPr>
      <w:r>
        <w:rPr>
          <w:rFonts w:eastAsia="楷体_GB2312"/>
          <w:b/>
          <w:bCs/>
          <w:sz w:val="32"/>
          <w:szCs w:val="32"/>
        </w:rPr>
        <w:t>（二）项目绩效目标</w:t>
      </w:r>
    </w:p>
    <w:p>
      <w:pPr>
        <w:spacing w:line="60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lang w:val="en-US" w:eastAsia="zh-CN"/>
        </w:rPr>
        <w:t>.</w:t>
      </w:r>
      <w:r>
        <w:rPr>
          <w:rFonts w:eastAsia="仿宋_GB2312"/>
          <w:sz w:val="32"/>
          <w:szCs w:val="32"/>
        </w:rPr>
        <w:t>总体目标</w:t>
      </w:r>
    </w:p>
    <w:p>
      <w:pPr>
        <w:spacing w:after="0" w:line="560" w:lineRule="exact"/>
        <w:ind w:left="0" w:leftChars="0" w:firstLine="0" w:firstLineChars="0"/>
        <w:jc w:val="center"/>
        <w:rPr>
          <w:rFonts w:hint="eastAsia" w:ascii="方正小标宋_GBK" w:hAnsi="方正小标宋_GBK" w:eastAsia="方正小标宋_GBK" w:cs="方正小标宋_GBK"/>
          <w:b w:val="0"/>
          <w:bCs w:val="0"/>
          <w:i w:val="0"/>
          <w:iCs w:val="0"/>
          <w:color w:val="auto"/>
          <w:kern w:val="0"/>
          <w:sz w:val="32"/>
          <w:szCs w:val="32"/>
          <w:highlight w:val="none"/>
          <w:u w:val="none"/>
          <w:lang w:val="en-US" w:eastAsia="zh-CN" w:bidi="ar"/>
        </w:rPr>
      </w:pPr>
      <w:r>
        <w:rPr>
          <w:rFonts w:hint="eastAsia" w:ascii="方正小标宋_GBK" w:hAnsi="方正小标宋_GBK" w:eastAsia="方正小标宋_GBK" w:cs="方正小标宋_GBK"/>
          <w:b w:val="0"/>
          <w:bCs w:val="0"/>
          <w:i w:val="0"/>
          <w:iCs w:val="0"/>
          <w:color w:val="auto"/>
          <w:kern w:val="0"/>
          <w:sz w:val="32"/>
          <w:szCs w:val="32"/>
          <w:highlight w:val="none"/>
          <w:u w:val="none"/>
          <w:lang w:val="en-US" w:eastAsia="zh-CN" w:bidi="ar"/>
        </w:rPr>
        <w:t>项目支出绩效目标表</w:t>
      </w:r>
    </w:p>
    <w:p>
      <w:pPr>
        <w:pStyle w:val="53"/>
        <w:ind w:left="0" w:leftChars="0" w:firstLine="0" w:firstLineChars="0"/>
        <w:jc w:val="center"/>
        <w:rPr>
          <w:rFonts w:hint="eastAsia"/>
          <w:lang w:val="en-US" w:eastAsia="zh-CN"/>
        </w:rPr>
      </w:pPr>
      <w:r>
        <w:rPr>
          <w:rFonts w:hint="eastAsia"/>
          <w:lang w:val="en-US" w:eastAsia="zh-CN"/>
        </w:rPr>
        <w:t>（2023年度）</w:t>
      </w:r>
    </w:p>
    <w:tbl>
      <w:tblPr>
        <w:tblStyle w:val="21"/>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2"/>
        <w:gridCol w:w="990"/>
        <w:gridCol w:w="1109"/>
        <w:gridCol w:w="2229"/>
        <w:gridCol w:w="1954"/>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755" w:type="pct"/>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专项名称</w:t>
            </w:r>
          </w:p>
        </w:tc>
        <w:tc>
          <w:tcPr>
            <w:tcW w:w="4244" w:type="pct"/>
            <w:gridSpan w:val="5"/>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自治区中小企业发展专项资金（自治区本级）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55" w:type="pct"/>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省级财政部门</w:t>
            </w:r>
          </w:p>
        </w:tc>
        <w:tc>
          <w:tcPr>
            <w:tcW w:w="1198" w:type="pct"/>
            <w:gridSpan w:val="2"/>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新疆维吾尔自治区财政厅</w:t>
            </w:r>
          </w:p>
        </w:tc>
        <w:tc>
          <w:tcPr>
            <w:tcW w:w="1272" w:type="pct"/>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省级主管部门</w:t>
            </w:r>
          </w:p>
        </w:tc>
        <w:tc>
          <w:tcPr>
            <w:tcW w:w="1774" w:type="pct"/>
            <w:gridSpan w:val="2"/>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新疆维吾尔自治区工业和信息化厅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755" w:type="pct"/>
            <w:vMerge w:val="restart"/>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资金情况</w:t>
            </w:r>
          </w:p>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（万元）</w:t>
            </w:r>
          </w:p>
        </w:tc>
        <w:tc>
          <w:tcPr>
            <w:tcW w:w="1198" w:type="pct"/>
            <w:gridSpan w:val="2"/>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年度金额：</w:t>
            </w:r>
          </w:p>
        </w:tc>
        <w:tc>
          <w:tcPr>
            <w:tcW w:w="3046" w:type="pct"/>
            <w:gridSpan w:val="3"/>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75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p>
        </w:tc>
        <w:tc>
          <w:tcPr>
            <w:tcW w:w="1198" w:type="pct"/>
            <w:gridSpan w:val="2"/>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其中：中央补助</w:t>
            </w:r>
          </w:p>
        </w:tc>
        <w:tc>
          <w:tcPr>
            <w:tcW w:w="3046" w:type="pct"/>
            <w:gridSpan w:val="3"/>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755" w:type="pct"/>
            <w:vMerge w:val="continue"/>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p>
        </w:tc>
        <w:tc>
          <w:tcPr>
            <w:tcW w:w="1198" w:type="pct"/>
            <w:gridSpan w:val="2"/>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地方资金</w:t>
            </w:r>
          </w:p>
        </w:tc>
        <w:tc>
          <w:tcPr>
            <w:tcW w:w="3046" w:type="pct"/>
            <w:gridSpan w:val="3"/>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jc w:val="center"/>
        </w:trPr>
        <w:tc>
          <w:tcPr>
            <w:tcW w:w="755" w:type="pct"/>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rPr>
              <w:t>年度</w:t>
            </w:r>
            <w:r>
              <w:rPr>
                <w:rFonts w:hint="eastAsia" w:ascii="宋体" w:hAnsi="宋体" w:eastAsia="宋体" w:cs="宋体"/>
                <w:color w:val="auto"/>
                <w:kern w:val="0"/>
                <w:sz w:val="20"/>
                <w:szCs w:val="20"/>
                <w:highlight w:val="none"/>
              </w:rPr>
              <w:t>总体目标</w:t>
            </w:r>
          </w:p>
        </w:tc>
        <w:tc>
          <w:tcPr>
            <w:tcW w:w="4244" w:type="pct"/>
            <w:gridSpan w:val="5"/>
            <w:noWrap w:val="0"/>
            <w:vAlign w:val="center"/>
          </w:tcPr>
          <w:p>
            <w:pPr>
              <w:widowControl/>
              <w:spacing w:line="240" w:lineRule="auto"/>
              <w:ind w:firstLine="0" w:firstLineChars="0"/>
              <w:jc w:val="left"/>
              <w:rPr>
                <w:rFonts w:hint="eastAsia" w:ascii="宋体" w:hAnsi="宋体" w:eastAsia="宋体" w:cs="宋体"/>
                <w:color w:val="auto"/>
                <w:kern w:val="0"/>
                <w:sz w:val="20"/>
                <w:szCs w:val="20"/>
                <w:highlight w:val="none"/>
                <w:lang w:eastAsia="zh-CN"/>
              </w:rPr>
            </w:pPr>
            <w:r>
              <w:rPr>
                <w:rFonts w:hint="eastAsia" w:ascii="宋体" w:hAnsi="宋体" w:eastAsia="宋体" w:cs="宋体"/>
                <w:color w:val="auto"/>
                <w:kern w:val="0"/>
                <w:sz w:val="20"/>
                <w:szCs w:val="20"/>
                <w:highlight w:val="none"/>
                <w:lang w:eastAsia="zh-CN"/>
              </w:rPr>
              <w:t>加强自治区优质中小企业梯度培育，加大专精特新中小企业支持力度，推动中小企业</w:t>
            </w:r>
            <w:r>
              <w:rPr>
                <w:rFonts w:hint="eastAsia" w:ascii="宋体" w:hAnsi="宋体" w:eastAsia="宋体" w:cs="宋体"/>
                <w:color w:val="auto"/>
                <w:kern w:val="0"/>
                <w:sz w:val="20"/>
                <w:szCs w:val="20"/>
                <w:highlight w:val="none"/>
                <w:lang w:val="en-US" w:eastAsia="zh-CN"/>
              </w:rPr>
              <w:t>数</w:t>
            </w:r>
            <w:r>
              <w:rPr>
                <w:rFonts w:hint="eastAsia" w:ascii="宋体" w:hAnsi="宋体" w:eastAsia="宋体" w:cs="宋体"/>
                <w:color w:val="auto"/>
                <w:kern w:val="0"/>
                <w:sz w:val="20"/>
                <w:szCs w:val="20"/>
                <w:highlight w:val="none"/>
                <w:lang w:eastAsia="zh-CN"/>
              </w:rPr>
              <w:t>字化转型，提升企业创新能力，促进企业高质量发展；引导服务机构加大对</w:t>
            </w:r>
            <w:r>
              <w:rPr>
                <w:rFonts w:hint="eastAsia" w:ascii="宋体" w:hAnsi="宋体" w:eastAsia="宋体" w:cs="宋体"/>
                <w:color w:val="auto"/>
                <w:kern w:val="0"/>
                <w:sz w:val="20"/>
                <w:szCs w:val="20"/>
                <w:highlight w:val="none"/>
                <w:lang w:val="en-US" w:eastAsia="zh-CN"/>
              </w:rPr>
              <w:t>企</w:t>
            </w:r>
            <w:r>
              <w:rPr>
                <w:rFonts w:hint="eastAsia" w:ascii="宋体" w:hAnsi="宋体" w:eastAsia="宋体" w:cs="宋体"/>
                <w:color w:val="auto"/>
                <w:kern w:val="0"/>
                <w:sz w:val="20"/>
                <w:szCs w:val="20"/>
                <w:highlight w:val="none"/>
                <w:lang w:eastAsia="zh-CN"/>
              </w:rPr>
              <w:t>业的创新服务力度，组织企业和创客参加“创客中国”中小企业创业创新大赛，提高企业创业创新能力；组织企业参加第十八届中博会、第十二届APEC技展会，促</w:t>
            </w:r>
            <w:r>
              <w:rPr>
                <w:rFonts w:hint="eastAsia" w:ascii="宋体" w:hAnsi="宋体" w:eastAsia="宋体" w:cs="宋体"/>
                <w:color w:val="auto"/>
                <w:kern w:val="0"/>
                <w:sz w:val="20"/>
                <w:szCs w:val="20"/>
                <w:highlight w:val="none"/>
                <w:lang w:val="en-US" w:eastAsia="zh-CN"/>
              </w:rPr>
              <w:t>进</w:t>
            </w:r>
            <w:r>
              <w:rPr>
                <w:rFonts w:hint="eastAsia" w:ascii="宋体" w:hAnsi="宋体" w:eastAsia="宋体" w:cs="宋体"/>
                <w:color w:val="auto"/>
                <w:kern w:val="0"/>
                <w:sz w:val="20"/>
                <w:szCs w:val="20"/>
                <w:highlight w:val="none"/>
                <w:lang w:eastAsia="zh-CN"/>
              </w:rPr>
              <w:t>企业对外交流合作；对自治区中小企业发展现状进行研究分析，优化企业发展环境；加强中小企业运行监测，掌握企业运行情况，促进企业发展；对专项资金使用</w:t>
            </w:r>
            <w:r>
              <w:rPr>
                <w:rFonts w:hint="eastAsia" w:ascii="宋体" w:hAnsi="宋体" w:eastAsia="宋体" w:cs="宋体"/>
                <w:color w:val="auto"/>
                <w:kern w:val="0"/>
                <w:sz w:val="20"/>
                <w:szCs w:val="20"/>
                <w:highlight w:val="none"/>
                <w:lang w:val="en-US" w:eastAsia="zh-CN"/>
              </w:rPr>
              <w:t>效</w:t>
            </w:r>
            <w:r>
              <w:rPr>
                <w:rFonts w:hint="eastAsia" w:ascii="宋体" w:hAnsi="宋体" w:eastAsia="宋体" w:cs="宋体"/>
                <w:color w:val="auto"/>
                <w:kern w:val="0"/>
                <w:sz w:val="20"/>
                <w:szCs w:val="20"/>
                <w:highlight w:val="none"/>
                <w:lang w:eastAsia="zh-CN"/>
              </w:rPr>
              <w:t>果进行评估，提高资金使用监控力度</w:t>
            </w:r>
            <w:r>
              <w:rPr>
                <w:rFonts w:hint="eastAsia" w:ascii="宋体" w:hAnsi="宋体" w:cs="宋体"/>
                <w:color w:val="auto"/>
                <w:kern w:val="0"/>
                <w:sz w:val="20"/>
                <w:szCs w:val="20"/>
                <w:highlight w:val="none"/>
                <w:lang w:eastAsia="zh-CN"/>
              </w:rPr>
              <w:t>；</w:t>
            </w:r>
            <w:r>
              <w:rPr>
                <w:rFonts w:hint="eastAsia" w:ascii="宋体" w:hAnsi="宋体" w:eastAsia="宋体" w:cs="宋体"/>
                <w:color w:val="auto"/>
                <w:kern w:val="0"/>
                <w:sz w:val="20"/>
                <w:szCs w:val="20"/>
                <w:highlight w:val="none"/>
                <w:lang w:eastAsia="zh-CN"/>
              </w:rPr>
              <w:t>保障新疆中小企业公共服务平台有效运行，丰富服务手段，强化服务功能，提升服务水平，为中小企业提供特色化、精准化</w:t>
            </w:r>
            <w:r>
              <w:rPr>
                <w:rFonts w:hint="eastAsia" w:ascii="宋体" w:hAnsi="宋体" w:eastAsia="宋体" w:cs="宋体"/>
                <w:color w:val="auto"/>
                <w:kern w:val="0"/>
                <w:sz w:val="20"/>
                <w:szCs w:val="20"/>
                <w:highlight w:val="none"/>
                <w:lang w:val="en-US" w:eastAsia="zh-CN"/>
              </w:rPr>
              <w:t>服</w:t>
            </w:r>
            <w:r>
              <w:rPr>
                <w:rFonts w:hint="eastAsia" w:ascii="宋体" w:hAnsi="宋体" w:eastAsia="宋体" w:cs="宋体"/>
                <w:color w:val="auto"/>
                <w:kern w:val="0"/>
                <w:sz w:val="20"/>
                <w:szCs w:val="20"/>
                <w:highlight w:val="none"/>
                <w:lang w:eastAsia="zh-CN"/>
              </w:rPr>
              <w:t>务，提高服务效率。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55" w:type="pct"/>
            <w:vMerge w:val="restart"/>
            <w:noWrap w:val="0"/>
            <w:vAlign w:val="center"/>
          </w:tcPr>
          <w:p>
            <w:pPr>
              <w:widowControl/>
              <w:spacing w:line="240" w:lineRule="auto"/>
              <w:ind w:firstLine="0" w:firstLineChars="0"/>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绩效指标</w:t>
            </w:r>
          </w:p>
        </w:tc>
        <w:tc>
          <w:tcPr>
            <w:tcW w:w="565" w:type="pct"/>
            <w:noWrap w:val="0"/>
            <w:vAlign w:val="center"/>
          </w:tcPr>
          <w:p>
            <w:pPr>
              <w:widowControl/>
              <w:spacing w:line="240" w:lineRule="auto"/>
              <w:ind w:firstLine="0" w:firstLineChars="0"/>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一级指标</w:t>
            </w:r>
          </w:p>
        </w:tc>
        <w:tc>
          <w:tcPr>
            <w:tcW w:w="632" w:type="pct"/>
            <w:noWrap w:val="0"/>
            <w:vAlign w:val="center"/>
          </w:tcPr>
          <w:p>
            <w:pPr>
              <w:widowControl/>
              <w:spacing w:line="240" w:lineRule="auto"/>
              <w:ind w:firstLine="0" w:firstLineChars="0"/>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二级指标</w:t>
            </w:r>
          </w:p>
        </w:tc>
        <w:tc>
          <w:tcPr>
            <w:tcW w:w="2387" w:type="pct"/>
            <w:gridSpan w:val="2"/>
            <w:noWrap w:val="0"/>
            <w:vAlign w:val="center"/>
          </w:tcPr>
          <w:p>
            <w:pPr>
              <w:widowControl/>
              <w:spacing w:line="240" w:lineRule="auto"/>
              <w:ind w:firstLine="0" w:firstLineChars="0"/>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三级指标</w:t>
            </w:r>
          </w:p>
        </w:tc>
        <w:tc>
          <w:tcPr>
            <w:tcW w:w="659" w:type="pct"/>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5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565" w:type="pct"/>
            <w:vMerge w:val="restart"/>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rPr>
              <w:t>产出指标</w:t>
            </w:r>
          </w:p>
        </w:tc>
        <w:tc>
          <w:tcPr>
            <w:tcW w:w="632" w:type="pct"/>
            <w:vMerge w:val="restart"/>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rPr>
              <w:t>数量指标</w:t>
            </w:r>
          </w:p>
        </w:tc>
        <w:tc>
          <w:tcPr>
            <w:tcW w:w="2387" w:type="pct"/>
            <w:gridSpan w:val="2"/>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奖励专精特新“小巨人”企业数量</w:t>
            </w:r>
            <w:r>
              <w:rPr>
                <w:rFonts w:hint="eastAsia" w:ascii="宋体" w:hAnsi="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lang w:val="en-US" w:eastAsia="zh-CN"/>
              </w:rPr>
              <w:t>家</w:t>
            </w:r>
            <w:r>
              <w:rPr>
                <w:rFonts w:hint="eastAsia" w:ascii="宋体" w:hAnsi="宋体" w:cs="宋体"/>
                <w:color w:val="auto"/>
                <w:kern w:val="0"/>
                <w:sz w:val="20"/>
                <w:szCs w:val="20"/>
                <w:highlight w:val="none"/>
                <w:lang w:val="en-US" w:eastAsia="zh-CN"/>
              </w:rPr>
              <w:t>）</w:t>
            </w:r>
          </w:p>
        </w:tc>
        <w:tc>
          <w:tcPr>
            <w:tcW w:w="659" w:type="pct"/>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≥10家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5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56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p>
        </w:tc>
        <w:tc>
          <w:tcPr>
            <w:tcW w:w="632"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p>
        </w:tc>
        <w:tc>
          <w:tcPr>
            <w:tcW w:w="2387" w:type="pct"/>
            <w:gridSpan w:val="2"/>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奖励自治区专精特新中小企业数量</w:t>
            </w:r>
            <w:r>
              <w:rPr>
                <w:rFonts w:hint="eastAsia" w:ascii="宋体" w:hAnsi="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lang w:val="en-US" w:eastAsia="zh-CN"/>
              </w:rPr>
              <w:t>家</w:t>
            </w:r>
            <w:r>
              <w:rPr>
                <w:rFonts w:hint="eastAsia" w:ascii="宋体" w:hAnsi="宋体" w:cs="宋体"/>
                <w:color w:val="auto"/>
                <w:kern w:val="0"/>
                <w:sz w:val="20"/>
                <w:szCs w:val="20"/>
                <w:highlight w:val="none"/>
                <w:lang w:val="en-US" w:eastAsia="zh-CN"/>
              </w:rPr>
              <w:t>）</w:t>
            </w:r>
          </w:p>
        </w:tc>
        <w:tc>
          <w:tcPr>
            <w:tcW w:w="659" w:type="pct"/>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≥80家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5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56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p>
        </w:tc>
        <w:tc>
          <w:tcPr>
            <w:tcW w:w="632"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p>
        </w:tc>
        <w:tc>
          <w:tcPr>
            <w:tcW w:w="2387" w:type="pct"/>
            <w:gridSpan w:val="2"/>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组织举办“创客中国”创新创业大赛新疆区域赛各级赛事数量</w:t>
            </w:r>
            <w:r>
              <w:rPr>
                <w:rFonts w:hint="eastAsia" w:ascii="宋体" w:hAnsi="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lang w:val="en-US" w:eastAsia="zh-CN"/>
              </w:rPr>
              <w:t>场</w:t>
            </w:r>
            <w:r>
              <w:rPr>
                <w:rFonts w:hint="eastAsia" w:ascii="宋体" w:hAnsi="宋体" w:cs="宋体"/>
                <w:color w:val="auto"/>
                <w:kern w:val="0"/>
                <w:sz w:val="20"/>
                <w:szCs w:val="20"/>
                <w:highlight w:val="none"/>
                <w:lang w:val="en-US" w:eastAsia="zh-CN"/>
              </w:rPr>
              <w:t>）</w:t>
            </w:r>
          </w:p>
        </w:tc>
        <w:tc>
          <w:tcPr>
            <w:tcW w:w="659" w:type="pct"/>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≥16场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5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56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p>
        </w:tc>
        <w:tc>
          <w:tcPr>
            <w:tcW w:w="632"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p>
        </w:tc>
        <w:tc>
          <w:tcPr>
            <w:tcW w:w="2387" w:type="pct"/>
            <w:gridSpan w:val="2"/>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组织参加第十八届中博会企业数量</w:t>
            </w:r>
            <w:r>
              <w:rPr>
                <w:rFonts w:hint="eastAsia" w:ascii="宋体" w:hAnsi="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lang w:val="en-US" w:eastAsia="zh-CN"/>
              </w:rPr>
              <w:t>家</w:t>
            </w:r>
            <w:r>
              <w:rPr>
                <w:rFonts w:hint="eastAsia" w:ascii="宋体" w:hAnsi="宋体" w:cs="宋体"/>
                <w:color w:val="auto"/>
                <w:kern w:val="0"/>
                <w:sz w:val="20"/>
                <w:szCs w:val="20"/>
                <w:highlight w:val="none"/>
                <w:lang w:val="en-US" w:eastAsia="zh-CN"/>
              </w:rPr>
              <w:t>）</w:t>
            </w:r>
          </w:p>
        </w:tc>
        <w:tc>
          <w:tcPr>
            <w:tcW w:w="659" w:type="pct"/>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≥40家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75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56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p>
        </w:tc>
        <w:tc>
          <w:tcPr>
            <w:tcW w:w="632"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p>
        </w:tc>
        <w:tc>
          <w:tcPr>
            <w:tcW w:w="2387" w:type="pct"/>
            <w:gridSpan w:val="2"/>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组织参加第十二届APEC技展会企业数量</w:t>
            </w:r>
            <w:r>
              <w:rPr>
                <w:rFonts w:hint="eastAsia" w:ascii="宋体" w:hAnsi="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lang w:val="en-US" w:eastAsia="zh-CN"/>
              </w:rPr>
              <w:t>家</w:t>
            </w:r>
            <w:r>
              <w:rPr>
                <w:rFonts w:hint="eastAsia" w:ascii="宋体" w:hAnsi="宋体" w:cs="宋体"/>
                <w:color w:val="auto"/>
                <w:kern w:val="0"/>
                <w:sz w:val="20"/>
                <w:szCs w:val="20"/>
                <w:highlight w:val="none"/>
                <w:lang w:val="en-US" w:eastAsia="zh-CN"/>
              </w:rPr>
              <w:t>）</w:t>
            </w:r>
          </w:p>
        </w:tc>
        <w:tc>
          <w:tcPr>
            <w:tcW w:w="659" w:type="pct"/>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≥30家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5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56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632"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2387" w:type="pct"/>
            <w:gridSpan w:val="2"/>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对全疆地州市进行中小企业发展环境评估的数量</w:t>
            </w:r>
            <w:r>
              <w:rPr>
                <w:rFonts w:hint="eastAsia" w:ascii="宋体" w:hAnsi="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lang w:val="en-US" w:eastAsia="zh-CN"/>
              </w:rPr>
              <w:t>个</w:t>
            </w:r>
            <w:r>
              <w:rPr>
                <w:rFonts w:hint="eastAsia" w:ascii="宋体" w:hAnsi="宋体" w:cs="宋体"/>
                <w:color w:val="auto"/>
                <w:kern w:val="0"/>
                <w:sz w:val="20"/>
                <w:szCs w:val="20"/>
                <w:highlight w:val="none"/>
                <w:lang w:val="en-US" w:eastAsia="zh-CN"/>
              </w:rPr>
              <w:t>）</w:t>
            </w:r>
          </w:p>
        </w:tc>
        <w:tc>
          <w:tcPr>
            <w:tcW w:w="659" w:type="pct"/>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14个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5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56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632"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2387" w:type="pct"/>
            <w:gridSpan w:val="2"/>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核查专项资金的实施地州市数量</w:t>
            </w:r>
            <w:r>
              <w:rPr>
                <w:rFonts w:hint="eastAsia" w:ascii="宋体" w:hAnsi="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lang w:val="en-US" w:eastAsia="zh-CN"/>
              </w:rPr>
              <w:t>个</w:t>
            </w:r>
            <w:r>
              <w:rPr>
                <w:rFonts w:hint="eastAsia" w:ascii="宋体" w:hAnsi="宋体" w:cs="宋体"/>
                <w:color w:val="auto"/>
                <w:kern w:val="0"/>
                <w:sz w:val="20"/>
                <w:szCs w:val="20"/>
                <w:highlight w:val="none"/>
                <w:lang w:val="en-US" w:eastAsia="zh-CN"/>
              </w:rPr>
              <w:t>）</w:t>
            </w:r>
          </w:p>
        </w:tc>
        <w:tc>
          <w:tcPr>
            <w:tcW w:w="659" w:type="pct"/>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14个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75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56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632"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2387" w:type="pct"/>
            <w:gridSpan w:val="2"/>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纳入</w:t>
            </w:r>
            <w:r>
              <w:rPr>
                <w:rFonts w:hint="eastAsia" w:ascii="宋体" w:hAnsi="宋体" w:eastAsia="宋体" w:cs="宋体"/>
                <w:color w:val="auto"/>
                <w:kern w:val="0"/>
                <w:sz w:val="20"/>
                <w:szCs w:val="20"/>
                <w:highlight w:val="none"/>
                <w:lang w:val="en-US" w:eastAsia="zh-CN"/>
              </w:rPr>
              <w:t>运行监测的企业数量</w:t>
            </w:r>
            <w:r>
              <w:rPr>
                <w:rFonts w:hint="eastAsia" w:ascii="宋体" w:hAnsi="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lang w:val="en-US" w:eastAsia="zh-CN"/>
              </w:rPr>
              <w:t>家</w:t>
            </w:r>
            <w:r>
              <w:rPr>
                <w:rFonts w:hint="eastAsia" w:ascii="宋体" w:hAnsi="宋体" w:cs="宋体"/>
                <w:color w:val="auto"/>
                <w:kern w:val="0"/>
                <w:sz w:val="20"/>
                <w:szCs w:val="20"/>
                <w:highlight w:val="none"/>
                <w:lang w:val="en-US" w:eastAsia="zh-CN"/>
              </w:rPr>
              <w:t>）</w:t>
            </w:r>
          </w:p>
        </w:tc>
        <w:tc>
          <w:tcPr>
            <w:tcW w:w="659" w:type="pct"/>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≥500家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75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56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632"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2387" w:type="pct"/>
            <w:gridSpan w:val="2"/>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申领中小企业服务券企业数量</w:t>
            </w:r>
            <w:r>
              <w:rPr>
                <w:rFonts w:hint="eastAsia" w:ascii="宋体" w:hAnsi="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lang w:val="en-US" w:eastAsia="zh-CN"/>
              </w:rPr>
              <w:t>家</w:t>
            </w:r>
            <w:r>
              <w:rPr>
                <w:rFonts w:hint="eastAsia" w:ascii="宋体" w:hAnsi="宋体" w:cs="宋体"/>
                <w:color w:val="auto"/>
                <w:kern w:val="0"/>
                <w:sz w:val="20"/>
                <w:szCs w:val="20"/>
                <w:highlight w:val="none"/>
                <w:lang w:val="en-US" w:eastAsia="zh-CN"/>
              </w:rPr>
              <w:t>）</w:t>
            </w:r>
          </w:p>
        </w:tc>
        <w:tc>
          <w:tcPr>
            <w:tcW w:w="659" w:type="pct"/>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≥50家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75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56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632"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2387" w:type="pct"/>
            <w:gridSpan w:val="2"/>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推送各类政策信息数量</w:t>
            </w:r>
            <w:r>
              <w:rPr>
                <w:rFonts w:hint="eastAsia" w:ascii="宋体" w:hAnsi="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lang w:val="en-US" w:eastAsia="zh-CN"/>
              </w:rPr>
              <w:t>条</w:t>
            </w:r>
            <w:r>
              <w:rPr>
                <w:rFonts w:hint="eastAsia" w:ascii="宋体" w:hAnsi="宋体" w:cs="宋体"/>
                <w:color w:val="auto"/>
                <w:kern w:val="0"/>
                <w:sz w:val="20"/>
                <w:szCs w:val="20"/>
                <w:highlight w:val="none"/>
                <w:lang w:val="en-US" w:eastAsia="zh-CN"/>
              </w:rPr>
              <w:t>）</w:t>
            </w:r>
          </w:p>
        </w:tc>
        <w:tc>
          <w:tcPr>
            <w:tcW w:w="659" w:type="pct"/>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≥1500条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75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56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632" w:type="pct"/>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rPr>
              <w:t>时效指标</w:t>
            </w:r>
          </w:p>
        </w:tc>
        <w:tc>
          <w:tcPr>
            <w:tcW w:w="2387" w:type="pct"/>
            <w:gridSpan w:val="2"/>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资金拨付及时率</w:t>
            </w:r>
          </w:p>
        </w:tc>
        <w:tc>
          <w:tcPr>
            <w:tcW w:w="659" w:type="pct"/>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5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565" w:type="pct"/>
            <w:vMerge w:val="restart"/>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效益指标</w:t>
            </w:r>
          </w:p>
        </w:tc>
        <w:tc>
          <w:tcPr>
            <w:tcW w:w="632" w:type="pct"/>
            <w:vMerge w:val="restart"/>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经济效益指标</w:t>
            </w:r>
          </w:p>
        </w:tc>
        <w:tc>
          <w:tcPr>
            <w:tcW w:w="2387" w:type="pct"/>
            <w:gridSpan w:val="2"/>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第十八届中博会同国内企业协议签约额</w:t>
            </w:r>
          </w:p>
        </w:tc>
        <w:tc>
          <w:tcPr>
            <w:tcW w:w="659" w:type="pct"/>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≥1500万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75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56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632"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2387" w:type="pct"/>
            <w:gridSpan w:val="2"/>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第十二届APEC技展会同国内企业协议签约额</w:t>
            </w:r>
          </w:p>
        </w:tc>
        <w:tc>
          <w:tcPr>
            <w:tcW w:w="659" w:type="pct"/>
            <w:noWrap w:val="0"/>
            <w:vAlign w:val="center"/>
          </w:tcPr>
          <w:p>
            <w:pPr>
              <w:widowControl/>
              <w:spacing w:line="240" w:lineRule="auto"/>
              <w:ind w:firstLine="0" w:firstLineChars="0"/>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≥1000万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75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56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632" w:type="pct"/>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rPr>
              <w:t>社会效益指标</w:t>
            </w:r>
          </w:p>
        </w:tc>
        <w:tc>
          <w:tcPr>
            <w:tcW w:w="2387" w:type="pct"/>
            <w:gridSpan w:val="2"/>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提高企业经营水平</w:t>
            </w:r>
          </w:p>
        </w:tc>
        <w:tc>
          <w:tcPr>
            <w:tcW w:w="659" w:type="pct"/>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有效提高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755" w:type="pct"/>
            <w:vMerge w:val="continue"/>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rPr>
            </w:pPr>
          </w:p>
        </w:tc>
        <w:tc>
          <w:tcPr>
            <w:tcW w:w="565" w:type="pct"/>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满意度指标</w:t>
            </w:r>
          </w:p>
        </w:tc>
        <w:tc>
          <w:tcPr>
            <w:tcW w:w="632" w:type="pct"/>
            <w:noWrap w:val="0"/>
            <w:vAlign w:val="center"/>
          </w:tcPr>
          <w:p>
            <w:pPr>
              <w:widowControl/>
              <w:spacing w:line="240" w:lineRule="auto"/>
              <w:ind w:firstLine="0" w:firstLineChars="0"/>
              <w:jc w:val="both"/>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满意度指标</w:t>
            </w:r>
          </w:p>
        </w:tc>
        <w:tc>
          <w:tcPr>
            <w:tcW w:w="2387" w:type="pct"/>
            <w:gridSpan w:val="2"/>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被服务对象满意率</w:t>
            </w:r>
          </w:p>
        </w:tc>
        <w:tc>
          <w:tcPr>
            <w:tcW w:w="659" w:type="pct"/>
            <w:noWrap w:val="0"/>
            <w:vAlign w:val="center"/>
          </w:tcPr>
          <w:p>
            <w:pPr>
              <w:widowControl/>
              <w:spacing w:line="240" w:lineRule="auto"/>
              <w:ind w:firstLine="0" w:firstLineChars="0"/>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≥90%</w:t>
            </w:r>
          </w:p>
        </w:tc>
      </w:tr>
    </w:tbl>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b/>
          <w:bCs/>
        </w:rPr>
      </w:pPr>
      <w:r>
        <w:rPr>
          <w:rFonts w:eastAsia="仿宋_GB2312"/>
          <w:b/>
          <w:bCs/>
          <w:sz w:val="32"/>
          <w:szCs w:val="32"/>
        </w:rPr>
        <w:t>2</w:t>
      </w:r>
      <w:r>
        <w:rPr>
          <w:rFonts w:hint="eastAsia" w:eastAsia="仿宋_GB2312"/>
          <w:b/>
          <w:bCs/>
          <w:sz w:val="32"/>
          <w:szCs w:val="32"/>
          <w:lang w:val="en-US" w:eastAsia="zh-CN"/>
        </w:rPr>
        <w:t>.</w:t>
      </w:r>
      <w:r>
        <w:rPr>
          <w:rFonts w:eastAsia="仿宋_GB2312"/>
          <w:b/>
          <w:bCs/>
          <w:sz w:val="32"/>
          <w:szCs w:val="32"/>
        </w:rPr>
        <w:t>阶段性目标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（1）前期准备：通过制定项目实施方案，经项目负责人审核通过后，有序开展后续工作。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w:t>
      </w:r>
      <w:r>
        <w:rPr>
          <w:rFonts w:hint="eastAsia" w:eastAsia="仿宋_GB2312"/>
          <w:sz w:val="32"/>
          <w:szCs w:val="32"/>
          <w:lang w:eastAsia="zh-CN"/>
        </w:rPr>
        <w:t>效率</w:t>
      </w:r>
      <w:r>
        <w:rPr>
          <w:rFonts w:eastAsia="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eastAsia="楷体_GB2312"/>
          <w:b/>
          <w:bCs/>
          <w:sz w:val="32"/>
          <w:szCs w:val="32"/>
        </w:rPr>
      </w:pPr>
      <w:r>
        <w:rPr>
          <w:rFonts w:eastAsia="楷体_GB2312"/>
          <w:b/>
          <w:bCs/>
          <w:sz w:val="32"/>
          <w:szCs w:val="32"/>
        </w:rPr>
        <w:t>（一）绩效评价目的、对象和范围</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ascii="Times New Roman" w:hAnsi="Times New Roman" w:eastAsia="仿宋_GB2312"/>
          <w:b/>
          <w:bCs/>
        </w:rPr>
      </w:pPr>
      <w:r>
        <w:rPr>
          <w:rFonts w:ascii="Times New Roman" w:hAnsi="Times New Roman" w:eastAsia="仿宋_GB2312"/>
          <w:b/>
          <w:bCs/>
        </w:rPr>
        <w:t>1</w:t>
      </w:r>
      <w:r>
        <w:rPr>
          <w:rFonts w:hint="eastAsia" w:ascii="Times New Roman" w:hAnsi="Times New Roman" w:eastAsia="仿宋_GB2312"/>
          <w:b/>
          <w:bCs/>
          <w:lang w:val="en-US" w:eastAsia="zh-CN"/>
        </w:rPr>
        <w:t>.</w:t>
      </w:r>
      <w:r>
        <w:rPr>
          <w:rFonts w:ascii="Times New Roman" w:hAnsi="Times New Roman" w:eastAsia="仿宋_GB2312"/>
          <w:b/>
          <w:bCs/>
        </w:rPr>
        <w:t>绩效评价的目的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22"/>
          <w:highlight w:val="none"/>
        </w:rPr>
      </w:pPr>
      <w:r>
        <w:rPr>
          <w:rFonts w:hint="default" w:ascii="Times New Roman" w:hAnsi="Times New Roman" w:eastAsia="仿宋_GB2312" w:cs="Times New Roman"/>
          <w:sz w:val="32"/>
          <w:szCs w:val="22"/>
          <w:highlight w:val="none"/>
        </w:rPr>
        <w:t>通过开展中小企业发展专项资金绩效评价，考察项目决策、项目管理、项目绩效等方面来反映项目总体管理及执行情况，以期通过绩效评价达到提高财政资金使用效益、强化预算主管部门预算绩效管理目的。具体而言，评估目的主要包括以下三个方面：</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sz w:val="32"/>
          <w:szCs w:val="22"/>
          <w:highlight w:val="none"/>
        </w:rPr>
      </w:pPr>
      <w:r>
        <w:rPr>
          <w:rFonts w:hint="default" w:ascii="Times New Roman" w:hAnsi="Times New Roman" w:eastAsia="仿宋_GB2312" w:cs="Times New Roman"/>
          <w:b/>
          <w:bCs/>
          <w:sz w:val="32"/>
          <w:szCs w:val="22"/>
          <w:highlight w:val="none"/>
          <w:lang w:val="en-US" w:eastAsia="zh-CN"/>
        </w:rPr>
        <w:t>（1）</w:t>
      </w:r>
      <w:r>
        <w:rPr>
          <w:rFonts w:hint="default" w:ascii="Times New Roman" w:hAnsi="Times New Roman" w:eastAsia="仿宋_GB2312" w:cs="Times New Roman"/>
          <w:b/>
          <w:bCs/>
          <w:sz w:val="32"/>
          <w:szCs w:val="22"/>
          <w:highlight w:val="none"/>
        </w:rPr>
        <w:t>全面反映中小企业发展专项资金使用成效</w:t>
      </w:r>
      <w:r>
        <w:rPr>
          <w:rFonts w:hint="default" w:ascii="Times New Roman" w:hAnsi="Times New Roman" w:eastAsia="仿宋_GB2312" w:cs="Times New Roman"/>
          <w:b/>
          <w:bCs/>
          <w:sz w:val="32"/>
          <w:szCs w:val="22"/>
          <w:highlight w:val="none"/>
          <w:lang w:eastAsia="zh-CN"/>
        </w:rPr>
        <w:t>。</w:t>
      </w:r>
      <w:r>
        <w:rPr>
          <w:rFonts w:hint="default" w:ascii="Times New Roman" w:hAnsi="Times New Roman" w:eastAsia="仿宋_GB2312" w:cs="Times New Roman"/>
          <w:sz w:val="32"/>
          <w:szCs w:val="22"/>
          <w:highlight w:val="none"/>
        </w:rPr>
        <w:t>通过建立科学、合理的评价指标体系，对新疆202</w:t>
      </w:r>
      <w:r>
        <w:rPr>
          <w:rFonts w:hint="eastAsia" w:eastAsia="仿宋_GB2312" w:cs="Times New Roman"/>
          <w:sz w:val="32"/>
          <w:szCs w:val="22"/>
          <w:highlight w:val="none"/>
          <w:lang w:val="en-US" w:eastAsia="zh-CN"/>
        </w:rPr>
        <w:t>3</w:t>
      </w:r>
      <w:r>
        <w:rPr>
          <w:rFonts w:hint="default" w:ascii="Times New Roman" w:hAnsi="Times New Roman" w:eastAsia="仿宋_GB2312" w:cs="Times New Roman"/>
          <w:sz w:val="32"/>
          <w:szCs w:val="22"/>
          <w:highlight w:val="none"/>
        </w:rPr>
        <w:t>年中小企业发展专项资金</w:t>
      </w:r>
      <w:r>
        <w:rPr>
          <w:rFonts w:hint="eastAsia" w:eastAsia="仿宋_GB2312" w:cs="Times New Roman"/>
          <w:sz w:val="32"/>
          <w:szCs w:val="22"/>
          <w:highlight w:val="none"/>
          <w:lang w:eastAsia="zh-CN"/>
        </w:rPr>
        <w:t>（</w:t>
      </w:r>
      <w:r>
        <w:rPr>
          <w:rFonts w:hint="eastAsia" w:eastAsia="仿宋_GB2312" w:cs="Times New Roman"/>
          <w:sz w:val="32"/>
          <w:szCs w:val="22"/>
          <w:highlight w:val="none"/>
          <w:lang w:val="en-US" w:eastAsia="zh-CN"/>
        </w:rPr>
        <w:t>自治区本级</w:t>
      </w:r>
      <w:r>
        <w:rPr>
          <w:rFonts w:hint="eastAsia" w:eastAsia="仿宋_GB2312" w:cs="Times New Roman"/>
          <w:sz w:val="32"/>
          <w:szCs w:val="22"/>
          <w:highlight w:val="none"/>
          <w:lang w:eastAsia="zh-CN"/>
        </w:rPr>
        <w:t>）</w:t>
      </w:r>
      <w:r>
        <w:rPr>
          <w:rFonts w:hint="default" w:ascii="Times New Roman" w:hAnsi="Times New Roman" w:eastAsia="仿宋_GB2312" w:cs="Times New Roman"/>
          <w:sz w:val="32"/>
          <w:szCs w:val="22"/>
          <w:highlight w:val="none"/>
        </w:rPr>
        <w:t>组织实施情况及取得的成效进行全面系统的评价，及时掌握专项资金的分配、到达情况，对资金支持项目的目标制定与完成、资金使用与管理、项目执行进度、产出效益等内容进行客观、公正地评价，如实反映中小企业发展专项资金支出绩效和使用效益。</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sz w:val="32"/>
          <w:szCs w:val="22"/>
          <w:highlight w:val="none"/>
        </w:rPr>
      </w:pPr>
      <w:r>
        <w:rPr>
          <w:rFonts w:hint="default" w:ascii="Times New Roman" w:hAnsi="Times New Roman" w:eastAsia="仿宋_GB2312" w:cs="Times New Roman"/>
          <w:b/>
          <w:bCs/>
          <w:sz w:val="32"/>
          <w:szCs w:val="22"/>
          <w:highlight w:val="none"/>
          <w:lang w:val="en-US" w:eastAsia="zh-CN"/>
        </w:rPr>
        <w:t>（2）提高各责任单位预算绩效管理工作水平。</w:t>
      </w:r>
      <w:r>
        <w:rPr>
          <w:rFonts w:hint="default" w:ascii="Times New Roman" w:hAnsi="Times New Roman" w:eastAsia="仿宋_GB2312" w:cs="Times New Roman"/>
          <w:sz w:val="32"/>
          <w:szCs w:val="22"/>
          <w:highlight w:val="none"/>
        </w:rPr>
        <w:t>通过中小企业专项资金</w:t>
      </w:r>
      <w:r>
        <w:rPr>
          <w:rFonts w:hint="default" w:ascii="Times New Roman" w:hAnsi="Times New Roman" w:eastAsia="仿宋_GB2312" w:cs="Times New Roman"/>
          <w:sz w:val="32"/>
          <w:szCs w:val="22"/>
          <w:highlight w:val="none"/>
          <w:lang w:val="en-US" w:eastAsia="zh-CN"/>
        </w:rPr>
        <w:t>绩效评价</w:t>
      </w:r>
      <w:r>
        <w:rPr>
          <w:rFonts w:hint="default" w:ascii="Times New Roman" w:hAnsi="Times New Roman" w:eastAsia="仿宋_GB2312" w:cs="Times New Roman"/>
          <w:sz w:val="32"/>
          <w:szCs w:val="22"/>
          <w:highlight w:val="none"/>
        </w:rPr>
        <w:t>，强化资金管理部门对资金预算执行效果、完成水平的综合性管控，借助定量考核、定性考核的方式保证专项资金使用的规范性、合理性、有效性。同时，根据</w:t>
      </w:r>
      <w:r>
        <w:rPr>
          <w:rFonts w:hint="default" w:ascii="Times New Roman" w:hAnsi="Times New Roman" w:eastAsia="仿宋_GB2312" w:cs="Times New Roman"/>
          <w:sz w:val="32"/>
          <w:szCs w:val="22"/>
          <w:highlight w:val="none"/>
          <w:lang w:val="en-US" w:eastAsia="zh-CN"/>
        </w:rPr>
        <w:t>绩效评价</w:t>
      </w:r>
      <w:r>
        <w:rPr>
          <w:rFonts w:hint="default" w:ascii="Times New Roman" w:hAnsi="Times New Roman" w:eastAsia="仿宋_GB2312" w:cs="Times New Roman"/>
          <w:sz w:val="32"/>
          <w:szCs w:val="22"/>
          <w:highlight w:val="none"/>
        </w:rPr>
        <w:t>结果，各预算管理部门能及时总结在专项资金绩效管理和组织实施等方面存在的问题，明确专项资金绩效管理体系改进方向，制定资金管理改进举措，从而提升预算绩效管理水平。</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val="0"/>
          <w:sz w:val="32"/>
          <w:szCs w:val="22"/>
          <w:highlight w:val="none"/>
        </w:rPr>
      </w:pPr>
      <w:r>
        <w:rPr>
          <w:rFonts w:hint="default" w:ascii="Times New Roman" w:hAnsi="Times New Roman" w:eastAsia="仿宋_GB2312" w:cs="Times New Roman"/>
          <w:b/>
          <w:bCs/>
          <w:sz w:val="32"/>
          <w:szCs w:val="22"/>
          <w:highlight w:val="none"/>
          <w:lang w:val="en-US" w:eastAsia="zh-CN"/>
        </w:rPr>
        <w:t>（3）形成常态化专项资金绩效评价管理机制。</w:t>
      </w:r>
      <w:r>
        <w:rPr>
          <w:rFonts w:hint="default" w:ascii="Times New Roman" w:hAnsi="Times New Roman" w:eastAsia="仿宋_GB2312" w:cs="Times New Roman"/>
          <w:b w:val="0"/>
          <w:bCs w:val="0"/>
          <w:sz w:val="32"/>
          <w:szCs w:val="22"/>
          <w:highlight w:val="none"/>
        </w:rPr>
        <w:t>通过对自治区中小企业发展专项资金进行</w:t>
      </w:r>
      <w:r>
        <w:rPr>
          <w:rFonts w:hint="default" w:ascii="Times New Roman" w:hAnsi="Times New Roman" w:eastAsia="仿宋_GB2312" w:cs="Times New Roman"/>
          <w:b w:val="0"/>
          <w:bCs w:val="0"/>
          <w:sz w:val="32"/>
          <w:szCs w:val="22"/>
          <w:highlight w:val="none"/>
          <w:lang w:val="en-US" w:eastAsia="zh-CN"/>
        </w:rPr>
        <w:t>绩效评价</w:t>
      </w:r>
      <w:r>
        <w:rPr>
          <w:rFonts w:hint="default" w:ascii="Times New Roman" w:hAnsi="Times New Roman" w:eastAsia="仿宋_GB2312" w:cs="Times New Roman"/>
          <w:b w:val="0"/>
          <w:bCs w:val="0"/>
          <w:sz w:val="32"/>
          <w:szCs w:val="22"/>
          <w:highlight w:val="none"/>
        </w:rPr>
        <w:t>，建立一套中小企业专项资金绩效评价管理体系，形成常态化评价机制，统筹和规范后续年度中小企业发展专项资金绩效评价工作，形成良好的监督约束作用，改善资金使用的透明度，确保资金预算的精准性安排，增强预算工作的规范性和透明度，提升专项资金使用效益和水平。</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ascii="Times New Roman" w:hAnsi="Times New Roman" w:eastAsia="仿宋_GB2312"/>
          <w:b/>
          <w:bCs/>
        </w:rPr>
      </w:pPr>
      <w:r>
        <w:rPr>
          <w:rFonts w:ascii="Times New Roman" w:hAnsi="Times New Roman" w:eastAsia="仿宋_GB2312"/>
          <w:b/>
          <w:bCs/>
        </w:rPr>
        <w:t>2</w:t>
      </w:r>
      <w:r>
        <w:rPr>
          <w:rFonts w:hint="eastAsia" w:ascii="Times New Roman" w:hAnsi="Times New Roman" w:eastAsia="仿宋_GB2312"/>
          <w:b/>
          <w:bCs/>
          <w:lang w:eastAsia="zh-CN"/>
        </w:rPr>
        <w:t>.</w:t>
      </w:r>
      <w:r>
        <w:rPr>
          <w:rFonts w:ascii="Times New Roman" w:hAnsi="Times New Roman" w:eastAsia="仿宋_GB2312"/>
          <w:b/>
          <w:bCs/>
        </w:rPr>
        <w:t>绩效评价的对象</w:t>
      </w:r>
    </w:p>
    <w:p>
      <w:pPr>
        <w:keepNext w:val="0"/>
        <w:keepLines w:val="0"/>
        <w:pageBreakBefore w:val="0"/>
        <w:widowControl/>
        <w:kinsoku/>
        <w:wordWrap/>
        <w:overflowPunct/>
        <w:topLinePunct w:val="0"/>
        <w:autoSpaceDE/>
        <w:autoSpaceDN/>
        <w:bidi w:val="0"/>
        <w:adjustRightInd/>
        <w:snapToGrid/>
        <w:spacing w:after="0" w:line="560" w:lineRule="exact"/>
        <w:ind w:left="0" w:leftChars="0" w:right="0" w:rightChars="0" w:firstLine="640" w:firstLineChars="200"/>
        <w:jc w:val="left"/>
        <w:textAlignment w:val="auto"/>
        <w:outlineLvl w:val="9"/>
        <w:rPr>
          <w:rStyle w:val="23"/>
          <w:rFonts w:hint="eastAsia" w:ascii="Times New Roman" w:hAnsi="Times New Roman" w:eastAsia="仿宋_GB2312" w:cs="Times New Roman"/>
          <w:b w:val="0"/>
          <w:bCs/>
          <w:spacing w:val="-4"/>
          <w:sz w:val="32"/>
          <w:szCs w:val="32"/>
          <w:highlight w:val="none"/>
          <w:lang w:val="en-US" w:eastAsia="zh-CN"/>
        </w:rPr>
      </w:pPr>
      <w:r>
        <w:rPr>
          <w:rFonts w:hint="default" w:ascii="Times New Roman" w:hAnsi="Times New Roman" w:eastAsia="仿宋_GB2312" w:cs="Times New Roman"/>
          <w:sz w:val="32"/>
          <w:highlight w:val="none"/>
          <w:lang w:val="en-US" w:eastAsia="zh-CN"/>
        </w:rPr>
        <w:t>2</w:t>
      </w:r>
      <w:r>
        <w:rPr>
          <w:rFonts w:hint="default" w:ascii="Times New Roman" w:hAnsi="Times New Roman" w:eastAsia="仿宋_GB2312" w:cs="Times New Roman"/>
          <w:sz w:val="32"/>
          <w:highlight w:val="none"/>
        </w:rPr>
        <w:t>02</w:t>
      </w:r>
      <w:r>
        <w:rPr>
          <w:rFonts w:hint="eastAsia" w:ascii="Times New Roman" w:hAnsi="Times New Roman" w:eastAsia="仿宋_GB2312" w:cs="Times New Roman"/>
          <w:sz w:val="32"/>
          <w:highlight w:val="none"/>
          <w:lang w:val="en-US" w:eastAsia="zh-CN"/>
        </w:rPr>
        <w:t>3</w:t>
      </w:r>
      <w:r>
        <w:rPr>
          <w:rFonts w:hint="default" w:ascii="Times New Roman" w:hAnsi="Times New Roman" w:eastAsia="仿宋_GB2312" w:cs="Times New Roman"/>
          <w:sz w:val="32"/>
          <w:highlight w:val="none"/>
        </w:rPr>
        <w:t>年新疆维吾尔自治区中小企业发展专项资金</w:t>
      </w:r>
      <w:r>
        <w:rPr>
          <w:rFonts w:hint="eastAsia" w:eastAsia="仿宋_GB2312" w:cs="Times New Roman"/>
          <w:sz w:val="32"/>
          <w:highlight w:val="none"/>
          <w:lang w:eastAsia="zh-CN"/>
        </w:rPr>
        <w:t>（</w:t>
      </w:r>
      <w:r>
        <w:rPr>
          <w:rFonts w:hint="eastAsia" w:eastAsia="仿宋_GB2312" w:cs="Times New Roman"/>
          <w:sz w:val="32"/>
          <w:highlight w:val="none"/>
          <w:lang w:val="en-US" w:eastAsia="zh-CN"/>
        </w:rPr>
        <w:t>自治区本级</w:t>
      </w:r>
      <w:r>
        <w:rPr>
          <w:rFonts w:hint="eastAsia" w:eastAsia="仿宋_GB2312" w:cs="Times New Roman"/>
          <w:sz w:val="32"/>
          <w:highlight w:val="none"/>
          <w:lang w:eastAsia="zh-CN"/>
        </w:rPr>
        <w:t>）</w:t>
      </w:r>
      <w:r>
        <w:rPr>
          <w:rFonts w:hint="default" w:ascii="Times New Roman" w:hAnsi="Times New Roman" w:eastAsia="仿宋_GB2312" w:cs="Times New Roman"/>
          <w:sz w:val="32"/>
          <w:highlight w:val="none"/>
        </w:rPr>
        <w:t>所涉及的项目管理部门和承担单位</w:t>
      </w:r>
      <w:r>
        <w:rPr>
          <w:rFonts w:hint="eastAsia" w:eastAsia="仿宋_GB2312" w:cs="Times New Roman"/>
          <w:sz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ascii="Times New Roman" w:hAnsi="Times New Roman" w:eastAsia="仿宋_GB2312"/>
          <w:b/>
          <w:bCs/>
        </w:rPr>
      </w:pPr>
      <w:r>
        <w:rPr>
          <w:rFonts w:ascii="Times New Roman" w:hAnsi="Times New Roman" w:eastAsia="仿宋_GB2312"/>
          <w:b/>
          <w:bCs/>
        </w:rPr>
        <w:t>3</w:t>
      </w:r>
      <w:r>
        <w:rPr>
          <w:rFonts w:hint="eastAsia" w:ascii="Times New Roman" w:hAnsi="Times New Roman" w:eastAsia="仿宋_GB2312"/>
          <w:b/>
          <w:bCs/>
          <w:lang w:eastAsia="zh-CN"/>
        </w:rPr>
        <w:t>.</w:t>
      </w:r>
      <w:r>
        <w:rPr>
          <w:rFonts w:ascii="Times New Roman" w:hAnsi="Times New Roman" w:eastAsia="仿宋_GB2312"/>
          <w:b/>
          <w:bCs/>
        </w:rPr>
        <w:t>绩效评价的范围</w:t>
      </w:r>
    </w:p>
    <w:p>
      <w:pPr>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rPr>
          <w:rFonts w:ascii="仿宋_GB2312" w:hAnsi="仿宋_GB2312" w:eastAsia="仿宋_GB2312" w:cs="仿宋_GB2312"/>
          <w:sz w:val="32"/>
          <w:szCs w:val="32"/>
          <w:highlight w:val="none"/>
        </w:rPr>
      </w:pPr>
      <w:r>
        <w:rPr>
          <w:rFonts w:hint="default" w:ascii="Times New Roman" w:hAnsi="Times New Roman" w:eastAsia="仿宋_GB2312" w:cs="Times New Roman"/>
          <w:sz w:val="32"/>
          <w:highlight w:val="none"/>
        </w:rPr>
        <w:t>本次</w:t>
      </w:r>
      <w:r>
        <w:rPr>
          <w:rFonts w:hint="default" w:ascii="Times New Roman" w:hAnsi="Times New Roman" w:eastAsia="仿宋_GB2312" w:cs="Times New Roman"/>
          <w:sz w:val="32"/>
          <w:szCs w:val="22"/>
          <w:highlight w:val="none"/>
          <w:lang w:val="en-US" w:eastAsia="zh-CN"/>
        </w:rPr>
        <w:t>绩效评价</w:t>
      </w:r>
      <w:r>
        <w:rPr>
          <w:rFonts w:hint="default" w:ascii="Times New Roman" w:hAnsi="Times New Roman" w:eastAsia="仿宋_GB2312" w:cs="Times New Roman"/>
          <w:sz w:val="32"/>
          <w:highlight w:val="none"/>
        </w:rPr>
        <w:t>针对202</w:t>
      </w:r>
      <w:r>
        <w:rPr>
          <w:rFonts w:hint="eastAsia" w:ascii="Times New Roman" w:hAnsi="Times New Roman" w:eastAsia="仿宋_GB2312" w:cs="Times New Roman"/>
          <w:sz w:val="32"/>
          <w:highlight w:val="none"/>
          <w:lang w:val="en-US" w:eastAsia="zh-CN"/>
        </w:rPr>
        <w:t>3</w:t>
      </w:r>
      <w:r>
        <w:rPr>
          <w:rFonts w:hint="default" w:ascii="Times New Roman" w:hAnsi="Times New Roman" w:eastAsia="仿宋_GB2312" w:cs="Times New Roman"/>
          <w:sz w:val="32"/>
          <w:highlight w:val="none"/>
        </w:rPr>
        <w:t>年新疆维吾尔自治区本级的中小企业发展专项资金</w:t>
      </w:r>
      <w:r>
        <w:rPr>
          <w:rFonts w:hint="eastAsia" w:ascii="Times New Roman" w:hAnsi="Times New Roman" w:eastAsia="仿宋_GB2312" w:cs="Times New Roman"/>
          <w:sz w:val="32"/>
          <w:highlight w:val="none"/>
          <w:lang w:val="en-US" w:eastAsia="zh-CN"/>
        </w:rPr>
        <w:t>5000</w:t>
      </w:r>
      <w:r>
        <w:rPr>
          <w:rFonts w:hint="default" w:ascii="Times New Roman" w:hAnsi="Times New Roman" w:eastAsia="仿宋_GB2312" w:cs="Times New Roman"/>
          <w:sz w:val="32"/>
          <w:highlight w:val="none"/>
        </w:rPr>
        <w:t>万元，以及专项资金所涉及的项目管理部门和承担单位开展全面、系统</w:t>
      </w:r>
      <w:r>
        <w:rPr>
          <w:rFonts w:hint="eastAsia" w:eastAsia="仿宋_GB2312" w:cs="Times New Roman"/>
          <w:sz w:val="32"/>
          <w:highlight w:val="none"/>
          <w:lang w:eastAsia="zh-CN"/>
        </w:rPr>
        <w:t>的</w:t>
      </w:r>
      <w:r>
        <w:rPr>
          <w:rFonts w:hint="default" w:ascii="Times New Roman" w:hAnsi="Times New Roman" w:eastAsia="仿宋_GB2312" w:cs="Times New Roman"/>
          <w:sz w:val="32"/>
          <w:highlight w:val="none"/>
        </w:rPr>
        <w:t>绩效评价</w:t>
      </w:r>
      <w:r>
        <w:rPr>
          <w:rFonts w:hint="eastAsia" w:ascii="Times New Roman" w:hAnsi="Times New Roman" w:eastAsia="仿宋_GB2312" w:cs="Times New Roman"/>
          <w:sz w:val="32"/>
          <w:highlight w:val="none"/>
          <w:lang w:eastAsia="zh-CN"/>
        </w:rPr>
        <w:t>，</w:t>
      </w:r>
      <w:r>
        <w:rPr>
          <w:rFonts w:hint="eastAsia" w:ascii="Times New Roman" w:hAnsi="Times New Roman" w:eastAsia="仿宋_GB2312" w:cs="Times New Roman"/>
          <w:sz w:val="32"/>
          <w:highlight w:val="none"/>
          <w:lang w:val="en-US" w:eastAsia="zh-CN"/>
        </w:rPr>
        <w:t>包括</w:t>
      </w:r>
      <w:r>
        <w:rPr>
          <w:rFonts w:hint="eastAsia" w:ascii="仿宋_GB2312" w:hAnsi="仿宋_GB2312" w:eastAsia="仿宋_GB2312" w:cs="仿宋_GB2312"/>
          <w:sz w:val="32"/>
          <w:szCs w:val="32"/>
          <w:highlight w:val="none"/>
        </w:rPr>
        <w:t>项目的决策、过程、产出、效益等。</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pPr>
      <w:r>
        <w:rPr>
          <w:rFonts w:eastAsia="楷体_GB2312"/>
          <w:b/>
          <w:bCs/>
          <w:sz w:val="32"/>
          <w:szCs w:val="32"/>
        </w:rPr>
        <w:t>（二）绩效评价原则、指标体系、评价方法、评价标准。</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
          <w:bCs/>
          <w:kern w:val="28"/>
          <w:sz w:val="32"/>
          <w:szCs w:val="22"/>
          <w:highlight w:val="none"/>
          <w:lang w:val="en-US" w:eastAsia="zh-CN" w:bidi="ar-SA"/>
        </w:rPr>
      </w:pPr>
      <w:r>
        <w:rPr>
          <w:rFonts w:hint="default" w:ascii="Times New Roman" w:hAnsi="Times New Roman" w:eastAsia="仿宋_GB2312" w:cs="Times New Roman"/>
          <w:b/>
          <w:bCs/>
          <w:kern w:val="28"/>
          <w:sz w:val="32"/>
          <w:szCs w:val="22"/>
          <w:highlight w:val="none"/>
          <w:lang w:val="en-US" w:eastAsia="zh-CN" w:bidi="ar-SA"/>
        </w:rPr>
        <w:t>1</w:t>
      </w:r>
      <w:r>
        <w:rPr>
          <w:rFonts w:hint="eastAsia" w:ascii="Times New Roman" w:hAnsi="Times New Roman" w:eastAsia="仿宋_GB2312" w:cs="Times New Roman"/>
          <w:b/>
          <w:bCs/>
          <w:kern w:val="28"/>
          <w:sz w:val="32"/>
          <w:szCs w:val="22"/>
          <w:highlight w:val="none"/>
          <w:lang w:val="en-US" w:eastAsia="zh-CN" w:bidi="ar-SA"/>
        </w:rPr>
        <w:t>.</w:t>
      </w:r>
      <w:r>
        <w:rPr>
          <w:rFonts w:hint="default" w:ascii="Times New Roman" w:hAnsi="Times New Roman" w:eastAsia="仿宋_GB2312" w:cs="Times New Roman"/>
          <w:b/>
          <w:bCs/>
          <w:kern w:val="28"/>
          <w:sz w:val="32"/>
          <w:szCs w:val="22"/>
          <w:highlight w:val="none"/>
          <w:lang w:val="en-US" w:eastAsia="zh-CN" w:bidi="ar-SA"/>
        </w:rPr>
        <w:t>绩效评价原则</w:t>
      </w:r>
    </w:p>
    <w:p>
      <w:pPr>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highlight w:val="none"/>
        </w:rPr>
      </w:pPr>
      <w:r>
        <w:rPr>
          <w:rFonts w:hint="default" w:ascii="Times New Roman" w:hAnsi="Times New Roman" w:eastAsia="仿宋_GB2312" w:cs="Times New Roman"/>
          <w:sz w:val="32"/>
          <w:highlight w:val="none"/>
        </w:rPr>
        <w:t>在开展中小企业发展专项资金成效评估的过程中，应遵循科学规范、统筹兼顾、公开公正、分级分类、绩效相关等原则。</w:t>
      </w:r>
    </w:p>
    <w:p>
      <w:pPr>
        <w:keepNext w:val="0"/>
        <w:keepLines w:val="0"/>
        <w:pageBreakBefore w:val="0"/>
        <w:kinsoku/>
        <w:wordWrap/>
        <w:overflowPunct/>
        <w:topLinePunct w:val="0"/>
        <w:autoSpaceDE/>
        <w:autoSpaceDN/>
        <w:bidi w:val="0"/>
        <w:adjustRightInd/>
        <w:snapToGrid/>
        <w:spacing w:after="0" w:line="560" w:lineRule="exact"/>
        <w:ind w:firstLine="642" w:firstLineChars="200"/>
        <w:textAlignment w:val="auto"/>
        <w:rPr>
          <w:rFonts w:hint="default" w:ascii="Times New Roman" w:hAnsi="Times New Roman" w:eastAsia="仿宋_GB2312" w:cs="Times New Roman"/>
          <w:sz w:val="32"/>
          <w:highlight w:val="none"/>
          <w:lang w:val="en-US" w:eastAsia="zh-CN"/>
        </w:rPr>
      </w:pPr>
      <w:r>
        <w:rPr>
          <w:rFonts w:hint="default" w:ascii="Times New Roman" w:hAnsi="Times New Roman" w:eastAsia="仿宋_GB2312" w:cs="Times New Roman"/>
          <w:b/>
          <w:bCs/>
          <w:sz w:val="32"/>
          <w:szCs w:val="22"/>
          <w:highlight w:val="none"/>
          <w:lang w:val="en-US" w:eastAsia="zh-CN"/>
        </w:rPr>
        <w:t>（1）科学规范原则。</w:t>
      </w:r>
      <w:r>
        <w:rPr>
          <w:rFonts w:hint="default" w:ascii="Times New Roman" w:hAnsi="Times New Roman" w:eastAsia="仿宋_GB2312" w:cs="Times New Roman"/>
          <w:sz w:val="32"/>
          <w:highlight w:val="none"/>
          <w:lang w:val="en-US" w:eastAsia="zh-CN"/>
        </w:rPr>
        <w:t>中小企业发展专项资金</w:t>
      </w:r>
      <w:r>
        <w:rPr>
          <w:rFonts w:hint="default" w:ascii="Times New Roman" w:hAnsi="Times New Roman" w:eastAsia="仿宋_GB2312" w:cs="Times New Roman"/>
          <w:sz w:val="32"/>
          <w:szCs w:val="22"/>
          <w:highlight w:val="none"/>
          <w:lang w:val="en-US" w:eastAsia="zh-CN"/>
        </w:rPr>
        <w:t>绩效评价</w:t>
      </w:r>
      <w:r>
        <w:rPr>
          <w:rFonts w:hint="default" w:ascii="Times New Roman" w:hAnsi="Times New Roman" w:eastAsia="仿宋_GB2312" w:cs="Times New Roman"/>
          <w:sz w:val="32"/>
          <w:highlight w:val="none"/>
          <w:lang w:val="en-US" w:eastAsia="zh-CN"/>
        </w:rPr>
        <w:t>应当运用科学规范的方法，制定科学、合理、有效的评价指标体系，严格执行规定的</w:t>
      </w:r>
      <w:r>
        <w:rPr>
          <w:rFonts w:hint="default" w:ascii="Times New Roman" w:hAnsi="Times New Roman" w:eastAsia="仿宋_GB2312" w:cs="Times New Roman"/>
          <w:sz w:val="32"/>
          <w:szCs w:val="22"/>
          <w:highlight w:val="none"/>
          <w:lang w:val="en-US" w:eastAsia="zh-CN"/>
        </w:rPr>
        <w:t>绩效评价</w:t>
      </w:r>
      <w:r>
        <w:rPr>
          <w:rFonts w:hint="default" w:ascii="Times New Roman" w:hAnsi="Times New Roman" w:eastAsia="仿宋_GB2312" w:cs="Times New Roman"/>
          <w:sz w:val="32"/>
          <w:highlight w:val="none"/>
          <w:lang w:val="en-US" w:eastAsia="zh-CN"/>
        </w:rPr>
        <w:t>程序，采用定量定性相结合的综合分析方法，对新疆维吾尔自治区中小企业发展专项资金支出的经济性、效率性和有效性进行评价。</w:t>
      </w:r>
    </w:p>
    <w:p>
      <w:pPr>
        <w:keepNext w:val="0"/>
        <w:keepLines w:val="0"/>
        <w:pageBreakBefore w:val="0"/>
        <w:kinsoku/>
        <w:wordWrap/>
        <w:overflowPunct/>
        <w:topLinePunct w:val="0"/>
        <w:autoSpaceDE/>
        <w:autoSpaceDN/>
        <w:bidi w:val="0"/>
        <w:adjustRightInd/>
        <w:snapToGrid/>
        <w:spacing w:after="0" w:line="560" w:lineRule="exact"/>
        <w:ind w:firstLine="642" w:firstLineChars="200"/>
        <w:textAlignment w:val="auto"/>
        <w:rPr>
          <w:rFonts w:hint="default" w:ascii="Times New Roman" w:hAnsi="Times New Roman" w:eastAsia="仿宋_GB2312" w:cs="Times New Roman"/>
          <w:sz w:val="32"/>
          <w:highlight w:val="none"/>
          <w:lang w:val="en-US" w:eastAsia="zh-CN"/>
        </w:rPr>
      </w:pPr>
      <w:r>
        <w:rPr>
          <w:rFonts w:hint="default" w:ascii="Times New Roman" w:hAnsi="Times New Roman" w:eastAsia="仿宋_GB2312" w:cs="Times New Roman"/>
          <w:b/>
          <w:bCs/>
          <w:sz w:val="32"/>
          <w:szCs w:val="22"/>
          <w:highlight w:val="none"/>
          <w:lang w:val="en-US" w:eastAsia="zh-CN"/>
        </w:rPr>
        <w:t>（2）统筹兼顾原则。</w:t>
      </w:r>
      <w:r>
        <w:rPr>
          <w:rFonts w:hint="default" w:ascii="Times New Roman" w:hAnsi="Times New Roman" w:eastAsia="仿宋_GB2312" w:cs="Times New Roman"/>
          <w:sz w:val="32"/>
          <w:highlight w:val="none"/>
          <w:lang w:val="en-US" w:eastAsia="zh-CN"/>
        </w:rPr>
        <w:t>统筹兼顾原则是指在中小企业发展专项资金</w:t>
      </w:r>
      <w:r>
        <w:rPr>
          <w:rFonts w:hint="default" w:ascii="Times New Roman" w:hAnsi="Times New Roman" w:eastAsia="仿宋_GB2312" w:cs="Times New Roman"/>
          <w:sz w:val="32"/>
          <w:szCs w:val="22"/>
          <w:highlight w:val="none"/>
          <w:lang w:val="en-US" w:eastAsia="zh-CN"/>
        </w:rPr>
        <w:t>绩效评价</w:t>
      </w:r>
      <w:r>
        <w:rPr>
          <w:rFonts w:hint="default" w:ascii="Times New Roman" w:hAnsi="Times New Roman" w:eastAsia="仿宋_GB2312" w:cs="Times New Roman"/>
          <w:sz w:val="32"/>
          <w:highlight w:val="none"/>
          <w:lang w:val="en-US" w:eastAsia="zh-CN"/>
        </w:rPr>
        <w:t>的过程中，单位自评、部门评价和财政评价应职责明确，各有侧重，相互衔接。单位自评应由项目单位自主实施，即“谁支出、谁自评”。部门评价和财政评价应在单位自评的基础上开展。</w:t>
      </w:r>
    </w:p>
    <w:p>
      <w:pPr>
        <w:keepNext w:val="0"/>
        <w:keepLines w:val="0"/>
        <w:pageBreakBefore w:val="0"/>
        <w:kinsoku/>
        <w:wordWrap/>
        <w:overflowPunct/>
        <w:topLinePunct w:val="0"/>
        <w:autoSpaceDE/>
        <w:autoSpaceDN/>
        <w:bidi w:val="0"/>
        <w:adjustRightInd/>
        <w:snapToGrid/>
        <w:spacing w:after="0" w:line="560" w:lineRule="exact"/>
        <w:ind w:firstLine="642" w:firstLineChars="200"/>
        <w:textAlignment w:val="auto"/>
        <w:rPr>
          <w:rFonts w:hint="default" w:ascii="Times New Roman" w:hAnsi="Times New Roman" w:eastAsia="仿宋_GB2312" w:cs="Times New Roman"/>
          <w:sz w:val="32"/>
          <w:highlight w:val="none"/>
          <w:lang w:val="en-US" w:eastAsia="zh-CN"/>
        </w:rPr>
      </w:pPr>
      <w:r>
        <w:rPr>
          <w:rFonts w:hint="default" w:ascii="Times New Roman" w:hAnsi="Times New Roman" w:eastAsia="仿宋_GB2312" w:cs="Times New Roman"/>
          <w:b/>
          <w:bCs/>
          <w:sz w:val="32"/>
          <w:szCs w:val="22"/>
          <w:highlight w:val="none"/>
          <w:lang w:val="en-US" w:eastAsia="zh-CN"/>
        </w:rPr>
        <w:t>（3）公开公正原则。</w:t>
      </w:r>
      <w:r>
        <w:rPr>
          <w:rFonts w:hint="default" w:ascii="Times New Roman" w:hAnsi="Times New Roman" w:eastAsia="仿宋_GB2312" w:cs="Times New Roman"/>
          <w:sz w:val="32"/>
          <w:highlight w:val="none"/>
          <w:lang w:val="en-US" w:eastAsia="zh-CN"/>
        </w:rPr>
        <w:t>中小企业发展专项资金</w:t>
      </w:r>
      <w:r>
        <w:rPr>
          <w:rFonts w:hint="default" w:ascii="Times New Roman" w:hAnsi="Times New Roman" w:eastAsia="仿宋_GB2312" w:cs="Times New Roman"/>
          <w:sz w:val="32"/>
          <w:szCs w:val="22"/>
          <w:highlight w:val="none"/>
          <w:lang w:val="en-US" w:eastAsia="zh-CN"/>
        </w:rPr>
        <w:t>绩效评价</w:t>
      </w:r>
      <w:r>
        <w:rPr>
          <w:rFonts w:hint="default" w:ascii="Times New Roman" w:hAnsi="Times New Roman" w:eastAsia="仿宋_GB2312" w:cs="Times New Roman"/>
          <w:sz w:val="32"/>
          <w:highlight w:val="none"/>
          <w:lang w:val="en-US" w:eastAsia="zh-CN"/>
        </w:rPr>
        <w:t>应坚持公开透明、公平公正的原则，采用统一的评价标准，参考可靠的评价资料，对资金所支持项目的整体支出绩效和使用方向进行客观真实</w:t>
      </w:r>
      <w:r>
        <w:rPr>
          <w:rFonts w:hint="eastAsia" w:eastAsia="仿宋_GB2312" w:cs="Times New Roman"/>
          <w:sz w:val="32"/>
          <w:highlight w:val="none"/>
          <w:lang w:val="en-US" w:eastAsia="zh-CN"/>
        </w:rPr>
        <w:t>地</w:t>
      </w:r>
      <w:r>
        <w:rPr>
          <w:rFonts w:hint="default" w:ascii="Times New Roman" w:hAnsi="Times New Roman" w:eastAsia="仿宋_GB2312" w:cs="Times New Roman"/>
          <w:sz w:val="32"/>
          <w:highlight w:val="none"/>
          <w:lang w:val="en-US" w:eastAsia="zh-CN"/>
        </w:rPr>
        <w:t>反映，同时绩效评价结果应依法依规公开，并自觉接受社会监督。</w:t>
      </w:r>
    </w:p>
    <w:p>
      <w:pPr>
        <w:keepNext w:val="0"/>
        <w:keepLines w:val="0"/>
        <w:pageBreakBefore w:val="0"/>
        <w:kinsoku/>
        <w:wordWrap/>
        <w:overflowPunct/>
        <w:topLinePunct w:val="0"/>
        <w:autoSpaceDE/>
        <w:autoSpaceDN/>
        <w:bidi w:val="0"/>
        <w:adjustRightInd/>
        <w:snapToGrid/>
        <w:spacing w:after="0" w:line="560" w:lineRule="exact"/>
        <w:ind w:firstLine="642" w:firstLineChars="200"/>
        <w:textAlignment w:val="auto"/>
        <w:rPr>
          <w:rFonts w:hint="default" w:ascii="Times New Roman" w:hAnsi="Times New Roman" w:eastAsia="仿宋_GB2312" w:cs="Times New Roman"/>
          <w:sz w:val="32"/>
          <w:highlight w:val="none"/>
          <w:lang w:val="en-US" w:eastAsia="zh-CN"/>
        </w:rPr>
      </w:pPr>
      <w:r>
        <w:rPr>
          <w:rFonts w:hint="default" w:ascii="Times New Roman" w:hAnsi="Times New Roman" w:eastAsia="仿宋_GB2312" w:cs="Times New Roman"/>
          <w:b/>
          <w:bCs/>
          <w:sz w:val="32"/>
          <w:szCs w:val="22"/>
          <w:highlight w:val="none"/>
          <w:lang w:val="en-US" w:eastAsia="zh-CN"/>
        </w:rPr>
        <w:t>（4）分级分类原则。</w:t>
      </w:r>
      <w:r>
        <w:rPr>
          <w:rFonts w:hint="default" w:ascii="Times New Roman" w:hAnsi="Times New Roman" w:eastAsia="仿宋_GB2312" w:cs="Times New Roman"/>
          <w:sz w:val="32"/>
          <w:highlight w:val="none"/>
          <w:lang w:val="en-US" w:eastAsia="zh-CN"/>
        </w:rPr>
        <w:t>中小企业发展专项资金</w:t>
      </w:r>
      <w:r>
        <w:rPr>
          <w:rFonts w:hint="default" w:ascii="Times New Roman" w:hAnsi="Times New Roman" w:eastAsia="仿宋_GB2312" w:cs="Times New Roman"/>
          <w:sz w:val="32"/>
          <w:szCs w:val="22"/>
          <w:highlight w:val="none"/>
          <w:lang w:val="en-US" w:eastAsia="zh-CN"/>
        </w:rPr>
        <w:t>绩效评价</w:t>
      </w:r>
      <w:r>
        <w:rPr>
          <w:rFonts w:hint="default" w:ascii="Times New Roman" w:hAnsi="Times New Roman" w:eastAsia="仿宋_GB2312" w:cs="Times New Roman"/>
          <w:sz w:val="32"/>
          <w:highlight w:val="none"/>
          <w:lang w:val="en-US" w:eastAsia="zh-CN"/>
        </w:rPr>
        <w:t>应采用分级分类原则，针对自治区本级中小企业专项发展资金在支持方向、补助方式等方面的不同特点，分级分类地组织实施绩效评价。</w:t>
      </w:r>
    </w:p>
    <w:p>
      <w:pPr>
        <w:keepNext w:val="0"/>
        <w:keepLines w:val="0"/>
        <w:pageBreakBefore w:val="0"/>
        <w:kinsoku/>
        <w:wordWrap/>
        <w:overflowPunct/>
        <w:topLinePunct w:val="0"/>
        <w:autoSpaceDE/>
        <w:autoSpaceDN/>
        <w:bidi w:val="0"/>
        <w:adjustRightInd/>
        <w:snapToGrid/>
        <w:spacing w:after="0" w:line="560" w:lineRule="exact"/>
        <w:ind w:firstLine="642" w:firstLineChars="200"/>
        <w:textAlignment w:val="auto"/>
        <w:rPr>
          <w:rFonts w:hint="default" w:ascii="Times New Roman" w:hAnsi="Times New Roman" w:eastAsia="仿宋_GB2312" w:cs="Times New Roman"/>
          <w:sz w:val="32"/>
          <w:highlight w:val="none"/>
          <w:lang w:val="en-US" w:eastAsia="zh-CN"/>
        </w:rPr>
      </w:pPr>
      <w:r>
        <w:rPr>
          <w:rFonts w:hint="default" w:ascii="Times New Roman" w:hAnsi="Times New Roman" w:eastAsia="仿宋_GB2312" w:cs="Times New Roman"/>
          <w:b/>
          <w:bCs/>
          <w:sz w:val="32"/>
          <w:szCs w:val="22"/>
          <w:highlight w:val="none"/>
          <w:lang w:val="en-US" w:eastAsia="zh-CN"/>
        </w:rPr>
        <w:t>（5）绩效相关原则。</w:t>
      </w:r>
      <w:r>
        <w:rPr>
          <w:rFonts w:hint="default" w:ascii="Times New Roman" w:hAnsi="Times New Roman" w:eastAsia="仿宋_GB2312" w:cs="Times New Roman"/>
          <w:sz w:val="32"/>
          <w:highlight w:val="none"/>
          <w:lang w:val="en-US" w:eastAsia="zh-CN"/>
        </w:rPr>
        <w:t>绩效相关原则是指中小企业发展专项资金绩效评价应针对财政资金的具体支出及其产出绩效进行评价，评价结果应能够清晰</w:t>
      </w:r>
      <w:r>
        <w:rPr>
          <w:rFonts w:hint="eastAsia" w:eastAsia="仿宋_GB2312" w:cs="Times New Roman"/>
          <w:sz w:val="32"/>
          <w:highlight w:val="none"/>
          <w:lang w:val="en-US" w:eastAsia="zh-CN"/>
        </w:rPr>
        <w:t>地</w:t>
      </w:r>
      <w:r>
        <w:rPr>
          <w:rFonts w:hint="default" w:ascii="Times New Roman" w:hAnsi="Times New Roman" w:eastAsia="仿宋_GB2312" w:cs="Times New Roman"/>
          <w:sz w:val="32"/>
          <w:highlight w:val="none"/>
          <w:lang w:val="en-US" w:eastAsia="zh-CN"/>
        </w:rPr>
        <w:t>反映支出和产出绩效的紧密对应关系。</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
          <w:bCs/>
          <w:kern w:val="28"/>
          <w:sz w:val="32"/>
          <w:szCs w:val="22"/>
          <w:highlight w:val="none"/>
          <w:lang w:val="en-US" w:eastAsia="zh-CN" w:bidi="ar-SA"/>
        </w:rPr>
      </w:pPr>
      <w:r>
        <w:rPr>
          <w:rFonts w:hint="default" w:ascii="Times New Roman" w:hAnsi="Times New Roman" w:eastAsia="仿宋_GB2312" w:cs="Times New Roman"/>
          <w:b/>
          <w:bCs/>
          <w:kern w:val="28"/>
          <w:sz w:val="32"/>
          <w:szCs w:val="22"/>
          <w:highlight w:val="none"/>
          <w:lang w:val="en-US" w:eastAsia="zh-CN" w:bidi="ar-SA"/>
        </w:rPr>
        <w:t>2</w:t>
      </w:r>
      <w:r>
        <w:rPr>
          <w:rFonts w:hint="eastAsia" w:eastAsia="仿宋_GB2312" w:cs="Times New Roman"/>
          <w:b/>
          <w:bCs/>
          <w:kern w:val="28"/>
          <w:sz w:val="32"/>
          <w:szCs w:val="22"/>
          <w:highlight w:val="none"/>
          <w:lang w:val="en-US" w:eastAsia="zh-CN" w:bidi="ar-SA"/>
        </w:rPr>
        <w:t>.</w:t>
      </w:r>
      <w:r>
        <w:rPr>
          <w:rFonts w:hint="default" w:ascii="Times New Roman" w:hAnsi="Times New Roman" w:eastAsia="仿宋_GB2312" w:cs="Times New Roman"/>
          <w:b/>
          <w:bCs/>
          <w:kern w:val="28"/>
          <w:sz w:val="32"/>
          <w:szCs w:val="22"/>
          <w:highlight w:val="none"/>
          <w:lang w:val="en-US" w:eastAsia="zh-CN" w:bidi="ar-SA"/>
        </w:rPr>
        <w:t>评价指标体系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22"/>
          <w:highlight w:val="none"/>
          <w:lang w:val="en-US" w:eastAsia="zh-CN" w:bidi="ar-SA"/>
        </w:rPr>
      </w:pPr>
      <w:r>
        <w:rPr>
          <w:rFonts w:hint="default" w:ascii="Times New Roman" w:hAnsi="Times New Roman" w:eastAsia="仿宋_GB2312" w:cs="Times New Roman"/>
          <w:b w:val="0"/>
          <w:bCs w:val="0"/>
          <w:kern w:val="28"/>
          <w:sz w:val="32"/>
          <w:szCs w:val="22"/>
          <w:highlight w:val="none"/>
          <w:lang w:val="en-US" w:eastAsia="zh-CN" w:bidi="ar-SA"/>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
          <w:bCs/>
          <w:kern w:val="28"/>
          <w:sz w:val="32"/>
          <w:szCs w:val="22"/>
          <w:highlight w:val="none"/>
          <w:lang w:val="en-US" w:eastAsia="zh-CN" w:bidi="ar-SA"/>
        </w:rPr>
      </w:pPr>
      <w:r>
        <w:rPr>
          <w:rFonts w:hint="default" w:ascii="Times New Roman" w:hAnsi="Times New Roman" w:eastAsia="仿宋_GB2312" w:cs="Times New Roman"/>
          <w:b/>
          <w:bCs/>
          <w:kern w:val="28"/>
          <w:sz w:val="32"/>
          <w:szCs w:val="22"/>
          <w:highlight w:val="none"/>
          <w:lang w:val="en-US" w:eastAsia="zh-CN" w:bidi="ar-SA"/>
        </w:rPr>
        <w:t>（1）确定评价指标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22"/>
          <w:highlight w:val="none"/>
          <w:lang w:val="en-US" w:eastAsia="zh-CN" w:bidi="ar-SA"/>
        </w:rPr>
      </w:pPr>
      <w:r>
        <w:rPr>
          <w:rFonts w:hint="default" w:ascii="Times New Roman" w:hAnsi="Times New Roman" w:eastAsia="仿宋_GB2312" w:cs="Times New Roman"/>
          <w:b w:val="0"/>
          <w:bCs w:val="0"/>
          <w:kern w:val="28"/>
          <w:sz w:val="32"/>
          <w:szCs w:val="2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
          <w:bCs/>
          <w:kern w:val="28"/>
          <w:sz w:val="32"/>
          <w:szCs w:val="22"/>
          <w:highlight w:val="none"/>
          <w:lang w:val="en-US" w:eastAsia="zh-CN" w:bidi="ar-SA"/>
        </w:rPr>
      </w:pPr>
      <w:r>
        <w:rPr>
          <w:rFonts w:hint="default" w:ascii="Times New Roman" w:hAnsi="Times New Roman" w:eastAsia="仿宋_GB2312" w:cs="Times New Roman"/>
          <w:b/>
          <w:bCs/>
          <w:kern w:val="28"/>
          <w:sz w:val="32"/>
          <w:szCs w:val="22"/>
          <w:highlight w:val="none"/>
          <w:lang w:val="en-US" w:eastAsia="zh-CN" w:bidi="ar-SA"/>
        </w:rPr>
        <w:t>（2）确定权重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22"/>
          <w:highlight w:val="none"/>
          <w:lang w:val="en-US" w:eastAsia="zh-CN" w:bidi="ar-SA"/>
        </w:rPr>
      </w:pPr>
      <w:r>
        <w:rPr>
          <w:rFonts w:hint="default" w:ascii="Times New Roman" w:hAnsi="Times New Roman" w:eastAsia="仿宋_GB2312" w:cs="Times New Roman"/>
          <w:b w:val="0"/>
          <w:bCs w:val="0"/>
          <w:kern w:val="28"/>
          <w:sz w:val="32"/>
          <w:szCs w:val="22"/>
          <w:highlight w:val="none"/>
          <w:lang w:val="en-US" w:eastAsia="zh-CN" w:bidi="ar-SA"/>
        </w:rPr>
        <w:t>确定各个指标相对于项目总体绩效的权重分值。在绩效评价指标体系中，项目决策权重为</w:t>
      </w:r>
      <w:r>
        <w:rPr>
          <w:rFonts w:hint="eastAsia" w:eastAsia="仿宋_GB2312" w:cs="Times New Roman"/>
          <w:b w:val="0"/>
          <w:bCs w:val="0"/>
          <w:kern w:val="28"/>
          <w:sz w:val="32"/>
          <w:szCs w:val="22"/>
          <w:highlight w:val="none"/>
          <w:lang w:val="en-US" w:eastAsia="zh-CN" w:bidi="ar-SA"/>
        </w:rPr>
        <w:t>20</w:t>
      </w:r>
      <w:r>
        <w:rPr>
          <w:rFonts w:hint="default" w:ascii="Times New Roman" w:hAnsi="Times New Roman" w:eastAsia="仿宋_GB2312" w:cs="Times New Roman"/>
          <w:b w:val="0"/>
          <w:bCs w:val="0"/>
          <w:kern w:val="28"/>
          <w:sz w:val="32"/>
          <w:szCs w:val="22"/>
          <w:highlight w:val="none"/>
          <w:lang w:val="en-US" w:eastAsia="zh-CN" w:bidi="ar-SA"/>
        </w:rPr>
        <w:t>分，项目过程权重为</w:t>
      </w:r>
      <w:r>
        <w:rPr>
          <w:rFonts w:hint="eastAsia" w:eastAsia="仿宋_GB2312" w:cs="Times New Roman"/>
          <w:b w:val="0"/>
          <w:bCs w:val="0"/>
          <w:kern w:val="28"/>
          <w:sz w:val="32"/>
          <w:szCs w:val="22"/>
          <w:highlight w:val="none"/>
          <w:lang w:val="en-US" w:eastAsia="zh-CN" w:bidi="ar-SA"/>
        </w:rPr>
        <w:t>20</w:t>
      </w:r>
      <w:r>
        <w:rPr>
          <w:rFonts w:hint="default" w:ascii="Times New Roman" w:hAnsi="Times New Roman" w:eastAsia="仿宋_GB2312" w:cs="Times New Roman"/>
          <w:b w:val="0"/>
          <w:bCs w:val="0"/>
          <w:kern w:val="28"/>
          <w:sz w:val="32"/>
          <w:szCs w:val="22"/>
          <w:highlight w:val="none"/>
          <w:lang w:val="en-US" w:eastAsia="zh-CN" w:bidi="ar-SA"/>
        </w:rPr>
        <w:t>分，项目产出权重为</w:t>
      </w:r>
      <w:r>
        <w:rPr>
          <w:rFonts w:hint="eastAsia" w:eastAsia="仿宋_GB2312" w:cs="Times New Roman"/>
          <w:b w:val="0"/>
          <w:bCs w:val="0"/>
          <w:kern w:val="28"/>
          <w:sz w:val="32"/>
          <w:szCs w:val="22"/>
          <w:highlight w:val="none"/>
          <w:lang w:val="en-US" w:eastAsia="zh-CN" w:bidi="ar-SA"/>
        </w:rPr>
        <w:t>40</w:t>
      </w:r>
      <w:r>
        <w:rPr>
          <w:rFonts w:hint="default" w:ascii="Times New Roman" w:hAnsi="Times New Roman" w:eastAsia="仿宋_GB2312" w:cs="Times New Roman"/>
          <w:b w:val="0"/>
          <w:bCs w:val="0"/>
          <w:kern w:val="28"/>
          <w:sz w:val="32"/>
          <w:szCs w:val="22"/>
          <w:highlight w:val="none"/>
          <w:lang w:val="en-US" w:eastAsia="zh-CN" w:bidi="ar-SA"/>
        </w:rPr>
        <w:t>分，项目效益权重为</w:t>
      </w:r>
      <w:r>
        <w:rPr>
          <w:rFonts w:hint="eastAsia" w:eastAsia="仿宋_GB2312" w:cs="Times New Roman"/>
          <w:b w:val="0"/>
          <w:bCs w:val="0"/>
          <w:kern w:val="28"/>
          <w:sz w:val="32"/>
          <w:szCs w:val="22"/>
          <w:highlight w:val="none"/>
          <w:lang w:val="en-US" w:eastAsia="zh-CN" w:bidi="ar-SA"/>
        </w:rPr>
        <w:t>20</w:t>
      </w:r>
      <w:r>
        <w:rPr>
          <w:rFonts w:hint="default" w:ascii="Times New Roman" w:hAnsi="Times New Roman" w:eastAsia="仿宋_GB2312" w:cs="Times New Roman"/>
          <w:b w:val="0"/>
          <w:bCs w:val="0"/>
          <w:kern w:val="28"/>
          <w:sz w:val="32"/>
          <w:szCs w:val="22"/>
          <w:highlight w:val="none"/>
          <w:lang w:val="en-US" w:eastAsia="zh-CN" w:bidi="ar-SA"/>
        </w:rPr>
        <w:t>分。</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
          <w:bCs/>
          <w:kern w:val="28"/>
          <w:sz w:val="32"/>
          <w:szCs w:val="22"/>
          <w:highlight w:val="none"/>
          <w:lang w:val="en-US" w:eastAsia="zh-CN" w:bidi="ar-SA"/>
        </w:rPr>
      </w:pPr>
      <w:r>
        <w:rPr>
          <w:rFonts w:hint="default" w:ascii="Times New Roman" w:hAnsi="Times New Roman" w:eastAsia="仿宋_GB2312" w:cs="Times New Roman"/>
          <w:b/>
          <w:bCs/>
          <w:kern w:val="28"/>
          <w:sz w:val="32"/>
          <w:szCs w:val="22"/>
          <w:highlight w:val="none"/>
          <w:lang w:val="en-US" w:eastAsia="zh-CN" w:bidi="ar-SA"/>
        </w:rPr>
        <w:t>（3）确定指标标准值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22"/>
          <w:highlight w:val="none"/>
          <w:lang w:val="en-US" w:eastAsia="zh-CN" w:bidi="ar-SA"/>
        </w:rPr>
      </w:pPr>
      <w:r>
        <w:rPr>
          <w:rFonts w:hint="default" w:ascii="Times New Roman" w:hAnsi="Times New Roman" w:eastAsia="仿宋_GB2312" w:cs="Times New Roman"/>
          <w:b w:val="0"/>
          <w:bCs w:val="0"/>
          <w:kern w:val="28"/>
          <w:sz w:val="32"/>
          <w:szCs w:val="22"/>
          <w:highlight w:val="none"/>
          <w:lang w:val="en-US" w:eastAsia="zh-CN" w:bidi="ar-SA"/>
        </w:rPr>
        <w:t>指标标准值是绩效评价指标的尺度，既要反映同类项目的先进水平，又要符合项目的实际绩效水平。具体采用计划标准等确定此次绩效评价指标标准值。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22"/>
          <w:highlight w:val="none"/>
          <w:lang w:val="en-US" w:eastAsia="zh-CN" w:bidi="ar-SA"/>
        </w:rPr>
      </w:pPr>
      <w:r>
        <w:rPr>
          <w:rFonts w:hint="default" w:ascii="Times New Roman" w:hAnsi="Times New Roman" w:eastAsia="仿宋_GB2312" w:cs="Times New Roman"/>
          <w:b w:val="0"/>
          <w:bCs w:val="0"/>
          <w:kern w:val="28"/>
          <w:sz w:val="32"/>
          <w:szCs w:val="22"/>
          <w:highlight w:val="none"/>
          <w:lang w:val="en-US" w:eastAsia="zh-CN" w:bidi="ar-SA"/>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
          <w:bCs/>
          <w:kern w:val="28"/>
          <w:sz w:val="32"/>
          <w:szCs w:val="22"/>
          <w:highlight w:val="none"/>
          <w:lang w:val="en-US" w:eastAsia="zh-CN" w:bidi="ar-SA"/>
        </w:rPr>
      </w:pPr>
      <w:r>
        <w:rPr>
          <w:rFonts w:hint="default" w:ascii="Times New Roman" w:hAnsi="Times New Roman" w:eastAsia="仿宋_GB2312" w:cs="Times New Roman"/>
          <w:b/>
          <w:bCs/>
          <w:kern w:val="28"/>
          <w:sz w:val="32"/>
          <w:szCs w:val="22"/>
          <w:highlight w:val="none"/>
          <w:lang w:val="en-US" w:eastAsia="zh-CN" w:bidi="ar-SA"/>
        </w:rPr>
        <w:t>3</w:t>
      </w:r>
      <w:r>
        <w:rPr>
          <w:rFonts w:hint="eastAsia" w:ascii="Times New Roman" w:hAnsi="Times New Roman" w:eastAsia="仿宋_GB2312" w:cs="Times New Roman"/>
          <w:b/>
          <w:bCs/>
          <w:kern w:val="28"/>
          <w:sz w:val="32"/>
          <w:szCs w:val="22"/>
          <w:highlight w:val="none"/>
          <w:lang w:val="en-US" w:eastAsia="zh-CN" w:bidi="ar-SA"/>
        </w:rPr>
        <w:t>.</w:t>
      </w:r>
      <w:r>
        <w:rPr>
          <w:rFonts w:hint="default" w:ascii="Times New Roman" w:hAnsi="Times New Roman" w:eastAsia="仿宋_GB2312" w:cs="Times New Roman"/>
          <w:b/>
          <w:bCs/>
          <w:kern w:val="28"/>
          <w:sz w:val="32"/>
          <w:szCs w:val="22"/>
          <w:highlight w:val="none"/>
          <w:lang w:val="en-US" w:eastAsia="zh-CN" w:bidi="ar-SA"/>
        </w:rPr>
        <w:t>绩效评价方法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22"/>
          <w:highlight w:val="none"/>
          <w:lang w:val="en-US" w:eastAsia="zh-CN" w:bidi="ar-SA"/>
        </w:rPr>
      </w:pPr>
      <w:r>
        <w:rPr>
          <w:rFonts w:hint="default" w:ascii="Times New Roman" w:hAnsi="Times New Roman" w:eastAsia="仿宋_GB2312" w:cs="Times New Roman"/>
          <w:b w:val="0"/>
          <w:bCs w:val="0"/>
          <w:kern w:val="28"/>
          <w:sz w:val="32"/>
          <w:szCs w:val="22"/>
          <w:highlight w:val="none"/>
          <w:lang w:val="en-US" w:eastAsia="zh-CN" w:bidi="ar-SA"/>
        </w:rPr>
        <w:t>绩效评价从项目决策、项目过程、项目产出、项目效益四个维度进行评价。评价对象为项目目标实施情况，评价核心为资金的支出完成情况和项目的产出效益。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22"/>
          <w:highlight w:val="none"/>
          <w:lang w:val="en-US" w:eastAsia="zh-CN" w:bidi="ar-SA"/>
        </w:rPr>
      </w:pPr>
      <w:r>
        <w:rPr>
          <w:rFonts w:hint="default" w:ascii="Times New Roman" w:hAnsi="Times New Roman" w:eastAsia="仿宋_GB2312" w:cs="Times New Roman"/>
          <w:b w:val="0"/>
          <w:bCs w:val="0"/>
          <w:kern w:val="28"/>
          <w:sz w:val="32"/>
          <w:szCs w:val="2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
          <w:bCs/>
          <w:kern w:val="28"/>
          <w:sz w:val="32"/>
          <w:szCs w:val="22"/>
          <w:highlight w:val="none"/>
          <w:lang w:val="en-US" w:eastAsia="zh-CN" w:bidi="ar-SA"/>
        </w:rPr>
      </w:pPr>
      <w:r>
        <w:rPr>
          <w:rFonts w:hint="default" w:ascii="Times New Roman" w:hAnsi="Times New Roman" w:eastAsia="仿宋_GB2312" w:cs="Times New Roman"/>
          <w:b/>
          <w:bCs/>
          <w:kern w:val="28"/>
          <w:sz w:val="32"/>
          <w:szCs w:val="22"/>
          <w:highlight w:val="none"/>
          <w:lang w:val="en-US" w:eastAsia="zh-CN" w:bidi="ar-SA"/>
        </w:rPr>
        <w:t>（1）比较法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22"/>
          <w:highlight w:val="none"/>
          <w:lang w:val="en-US" w:eastAsia="zh-CN" w:bidi="ar-SA"/>
        </w:rPr>
      </w:pPr>
      <w:r>
        <w:rPr>
          <w:rFonts w:hint="default" w:ascii="Times New Roman" w:hAnsi="Times New Roman" w:eastAsia="仿宋_GB2312" w:cs="Times New Roman"/>
          <w:b w:val="0"/>
          <w:bCs w:val="0"/>
          <w:kern w:val="28"/>
          <w:sz w:val="32"/>
          <w:szCs w:val="22"/>
          <w:highlight w:val="none"/>
          <w:lang w:val="en-US" w:eastAsia="zh-CN" w:bidi="ar-SA"/>
        </w:rPr>
        <w:t>通过对绩效目标与实施效果、历史与当期情况，综合分析绩效目标实现程度。对项目最终验收情况与年度绩效目标对比、预算资金执行情况等相关因素进行比较。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
          <w:bCs/>
          <w:kern w:val="28"/>
          <w:sz w:val="32"/>
          <w:szCs w:val="22"/>
          <w:highlight w:val="none"/>
          <w:lang w:val="en-US" w:eastAsia="zh-CN" w:bidi="ar-SA"/>
        </w:rPr>
      </w:pPr>
      <w:r>
        <w:rPr>
          <w:rFonts w:hint="default" w:ascii="Times New Roman" w:hAnsi="Times New Roman" w:eastAsia="仿宋_GB2312" w:cs="Times New Roman"/>
          <w:b/>
          <w:bCs/>
          <w:kern w:val="28"/>
          <w:sz w:val="32"/>
          <w:szCs w:val="22"/>
          <w:highlight w:val="none"/>
          <w:lang w:val="en-US" w:eastAsia="zh-CN" w:bidi="ar-SA"/>
        </w:rPr>
        <w:t>（2）因素分析法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22"/>
          <w:highlight w:val="none"/>
          <w:lang w:val="en-US" w:eastAsia="zh-CN" w:bidi="ar-SA"/>
        </w:rPr>
      </w:pPr>
      <w:r>
        <w:rPr>
          <w:rFonts w:hint="default" w:ascii="Times New Roman" w:hAnsi="Times New Roman" w:eastAsia="仿宋_GB2312" w:cs="Times New Roman"/>
          <w:b w:val="0"/>
          <w:bCs w:val="0"/>
          <w:kern w:val="28"/>
          <w:sz w:val="32"/>
          <w:szCs w:val="22"/>
          <w:highlight w:val="none"/>
          <w:lang w:val="en-US" w:eastAsia="zh-CN" w:bidi="ar-SA"/>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
          <w:bCs/>
          <w:kern w:val="28"/>
          <w:sz w:val="32"/>
          <w:szCs w:val="22"/>
          <w:highlight w:val="none"/>
          <w:lang w:val="en-US" w:eastAsia="zh-CN" w:bidi="ar-SA"/>
        </w:rPr>
      </w:pPr>
      <w:r>
        <w:rPr>
          <w:rFonts w:hint="default" w:ascii="Times New Roman" w:hAnsi="Times New Roman" w:eastAsia="仿宋_GB2312" w:cs="Times New Roman"/>
          <w:b/>
          <w:bCs/>
          <w:kern w:val="28"/>
          <w:sz w:val="32"/>
          <w:szCs w:val="22"/>
          <w:highlight w:val="none"/>
          <w:lang w:val="en-US" w:eastAsia="zh-CN" w:bidi="ar-SA"/>
        </w:rPr>
        <w:t>4</w:t>
      </w:r>
      <w:r>
        <w:rPr>
          <w:rFonts w:hint="eastAsia" w:ascii="Times New Roman" w:hAnsi="Times New Roman" w:eastAsia="仿宋_GB2312" w:cs="Times New Roman"/>
          <w:b/>
          <w:bCs/>
          <w:kern w:val="28"/>
          <w:sz w:val="32"/>
          <w:szCs w:val="22"/>
          <w:highlight w:val="none"/>
          <w:lang w:val="en-US" w:eastAsia="zh-CN" w:bidi="ar-SA"/>
        </w:rPr>
        <w:t>.</w:t>
      </w:r>
      <w:r>
        <w:rPr>
          <w:rFonts w:hint="default" w:ascii="Times New Roman" w:hAnsi="Times New Roman" w:eastAsia="仿宋_GB2312" w:cs="Times New Roman"/>
          <w:b/>
          <w:bCs/>
          <w:kern w:val="28"/>
          <w:sz w:val="32"/>
          <w:szCs w:val="22"/>
          <w:highlight w:val="none"/>
          <w:lang w:val="en-US" w:eastAsia="zh-CN" w:bidi="ar-SA"/>
        </w:rPr>
        <w:t>评价标准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22"/>
          <w:highlight w:val="none"/>
          <w:lang w:val="en-US" w:eastAsia="zh-CN" w:bidi="ar-SA"/>
        </w:rPr>
      </w:pPr>
      <w:r>
        <w:rPr>
          <w:rFonts w:hint="default" w:ascii="Times New Roman" w:hAnsi="Times New Roman" w:eastAsia="仿宋_GB2312" w:cs="Times New Roman"/>
          <w:b w:val="0"/>
          <w:bCs w:val="0"/>
          <w:kern w:val="28"/>
          <w:sz w:val="32"/>
          <w:szCs w:val="22"/>
          <w:highlight w:val="none"/>
          <w:lang w:val="en-US" w:eastAsia="zh-CN" w:bidi="ar-SA"/>
        </w:rPr>
        <w:t>绩效评价标准通常包括计划标准、行业标准、历史标准等，用于对绩效指标完成情况进行比较。本次评价主要采用了计划标准和行业标准。</w:t>
      </w:r>
    </w:p>
    <w:p>
      <w:pPr>
        <w:pStyle w:val="2"/>
        <w:keepNext w:val="0"/>
        <w:keepLines w:val="0"/>
        <w:pageBreakBefore w:val="0"/>
        <w:numPr>
          <w:ilvl w:val="0"/>
          <w:numId w:val="1"/>
        </w:numPr>
        <w:kinsoku/>
        <w:wordWrap/>
        <w:overflowPunct/>
        <w:topLinePunct w:val="0"/>
        <w:autoSpaceDE/>
        <w:autoSpaceDN/>
        <w:bidi w:val="0"/>
        <w:adjustRightInd/>
        <w:snapToGrid/>
        <w:spacing w:before="0" w:after="0" w:line="560" w:lineRule="exact"/>
        <w:ind w:firstLine="710" w:firstLineChars="200"/>
        <w:jc w:val="both"/>
        <w:textAlignment w:val="auto"/>
        <w:rPr>
          <w:rFonts w:ascii="楷体" w:hAnsi="楷体" w:eastAsia="楷体" w:cs="楷体"/>
          <w:color w:val="000000"/>
          <w:spacing w:val="17"/>
        </w:rPr>
      </w:pPr>
      <w:r>
        <w:rPr>
          <w:rFonts w:hint="eastAsia" w:ascii="楷体" w:hAnsi="楷体" w:eastAsia="楷体" w:cs="楷体"/>
          <w:color w:val="000000"/>
          <w:spacing w:val="17"/>
        </w:rPr>
        <w:t>绩效评价工作过程</w:t>
      </w:r>
    </w:p>
    <w:p>
      <w:pPr>
        <w:keepNext w:val="0"/>
        <w:keepLines w:val="0"/>
        <w:pageBreakBefore w:val="0"/>
        <w:kinsoku/>
        <w:wordWrap/>
        <w:overflowPunct/>
        <w:topLinePunct w:val="0"/>
        <w:autoSpaceDE/>
        <w:autoSpaceDN/>
        <w:bidi w:val="0"/>
        <w:adjustRightInd/>
        <w:snapToGrid/>
        <w:spacing w:after="0" w:line="560" w:lineRule="exact"/>
        <w:ind w:firstLine="626" w:firstLineChars="200"/>
        <w:textAlignment w:val="auto"/>
        <w:rPr>
          <w:rFonts w:hint="default" w:ascii="Times New Roman" w:hAnsi="Times New Roman" w:eastAsia="仿宋_GB2312" w:cs="Times New Roman"/>
          <w:sz w:val="32"/>
          <w:szCs w:val="22"/>
          <w:highlight w:val="none"/>
        </w:rPr>
      </w:pPr>
      <w:r>
        <w:rPr>
          <w:rStyle w:val="23"/>
          <w:rFonts w:hint="default" w:ascii="Times New Roman" w:hAnsi="Times New Roman" w:eastAsia="仿宋_GB2312" w:cs="Times New Roman"/>
          <w:b/>
          <w:bCs w:val="0"/>
          <w:spacing w:val="-4"/>
          <w:sz w:val="32"/>
          <w:szCs w:val="32"/>
          <w:highlight w:val="none"/>
        </w:rPr>
        <w:t>1.前期准备。</w:t>
      </w:r>
      <w:r>
        <w:rPr>
          <w:rStyle w:val="23"/>
          <w:rFonts w:hint="default" w:ascii="Times New Roman" w:hAnsi="Times New Roman" w:eastAsia="仿宋_GB2312" w:cs="Times New Roman"/>
          <w:b w:val="0"/>
          <w:bCs/>
          <w:spacing w:val="-4"/>
          <w:sz w:val="32"/>
          <w:szCs w:val="32"/>
          <w:highlight w:val="none"/>
        </w:rPr>
        <w:t>成立绩效评价小组</w:t>
      </w:r>
      <w:r>
        <w:rPr>
          <w:rStyle w:val="23"/>
          <w:rFonts w:hint="default" w:ascii="Times New Roman" w:hAnsi="Times New Roman" w:eastAsia="仿宋_GB2312" w:cs="Times New Roman"/>
          <w:b w:val="0"/>
          <w:bCs/>
          <w:spacing w:val="-4"/>
          <w:sz w:val="32"/>
          <w:szCs w:val="32"/>
          <w:highlight w:val="none"/>
          <w:lang w:eastAsia="zh-CN"/>
        </w:rPr>
        <w:t>，</w:t>
      </w:r>
      <w:r>
        <w:rPr>
          <w:rFonts w:hint="default" w:ascii="Times New Roman" w:hAnsi="Times New Roman" w:eastAsia="仿宋_GB2312" w:cs="Times New Roman"/>
          <w:sz w:val="32"/>
          <w:szCs w:val="22"/>
          <w:highlight w:val="none"/>
        </w:rPr>
        <w:t>启动项目前期准备工作。</w:t>
      </w:r>
    </w:p>
    <w:p>
      <w:pPr>
        <w:keepNext w:val="0"/>
        <w:keepLines w:val="0"/>
        <w:pageBreakBefore w:val="0"/>
        <w:kinsoku/>
        <w:wordWrap/>
        <w:overflowPunct/>
        <w:topLinePunct w:val="0"/>
        <w:autoSpaceDE/>
        <w:autoSpaceDN/>
        <w:bidi w:val="0"/>
        <w:adjustRightInd/>
        <w:snapToGrid/>
        <w:spacing w:after="0" w:line="560" w:lineRule="exact"/>
        <w:ind w:firstLine="642" w:firstLineChars="200"/>
        <w:textAlignment w:val="auto"/>
        <w:rPr>
          <w:rFonts w:hint="default" w:ascii="Times New Roman" w:hAnsi="Times New Roman" w:eastAsia="仿宋_GB2312" w:cs="Times New Roman"/>
          <w:sz w:val="32"/>
          <w:szCs w:val="22"/>
          <w:highlight w:val="none"/>
        </w:rPr>
      </w:pPr>
      <w:r>
        <w:rPr>
          <w:rFonts w:hint="default" w:ascii="Times New Roman" w:hAnsi="Times New Roman" w:eastAsia="仿宋_GB2312" w:cs="Times New Roman"/>
          <w:b/>
          <w:bCs/>
          <w:sz w:val="32"/>
          <w:szCs w:val="22"/>
          <w:highlight w:val="none"/>
          <w:lang w:val="en-US" w:eastAsia="zh-CN"/>
        </w:rPr>
        <w:t>2.</w:t>
      </w:r>
      <w:r>
        <w:rPr>
          <w:rFonts w:hint="default" w:ascii="Times New Roman" w:hAnsi="Times New Roman" w:eastAsia="仿宋_GB2312" w:cs="Times New Roman"/>
          <w:b/>
          <w:bCs/>
          <w:sz w:val="32"/>
          <w:szCs w:val="22"/>
          <w:highlight w:val="none"/>
        </w:rPr>
        <w:t>确定绩效评价对象和范围：</w:t>
      </w:r>
      <w:r>
        <w:rPr>
          <w:rFonts w:hint="default" w:ascii="Times New Roman" w:hAnsi="Times New Roman" w:eastAsia="仿宋_GB2312" w:cs="Times New Roman"/>
          <w:sz w:val="32"/>
          <w:szCs w:val="22"/>
          <w:highlight w:val="none"/>
        </w:rPr>
        <w:t>梳理202</w:t>
      </w:r>
      <w:r>
        <w:rPr>
          <w:rFonts w:hint="eastAsia" w:ascii="Times New Roman" w:hAnsi="Times New Roman" w:eastAsia="仿宋_GB2312" w:cs="Times New Roman"/>
          <w:sz w:val="32"/>
          <w:szCs w:val="22"/>
          <w:highlight w:val="none"/>
          <w:lang w:val="en-US" w:eastAsia="zh-CN"/>
        </w:rPr>
        <w:t>3</w:t>
      </w:r>
      <w:r>
        <w:rPr>
          <w:rFonts w:hint="default" w:ascii="Times New Roman" w:hAnsi="Times New Roman" w:eastAsia="仿宋_GB2312" w:cs="Times New Roman"/>
          <w:sz w:val="32"/>
          <w:szCs w:val="22"/>
          <w:highlight w:val="none"/>
        </w:rPr>
        <w:t>年度中小企业专项资金使用情况，确定专项资金所涉及的自治区本级主管部门及相应项目承担单位，明确绩效评价对象和范围。</w:t>
      </w:r>
    </w:p>
    <w:p>
      <w:pPr>
        <w:keepNext w:val="0"/>
        <w:keepLines w:val="0"/>
        <w:pageBreakBefore w:val="0"/>
        <w:kinsoku/>
        <w:wordWrap/>
        <w:overflowPunct/>
        <w:topLinePunct w:val="0"/>
        <w:autoSpaceDE/>
        <w:autoSpaceDN/>
        <w:bidi w:val="0"/>
        <w:adjustRightInd/>
        <w:snapToGrid/>
        <w:spacing w:after="0" w:line="560" w:lineRule="exact"/>
        <w:ind w:firstLine="642" w:firstLineChars="200"/>
        <w:textAlignment w:val="auto"/>
        <w:rPr>
          <w:rFonts w:hint="default" w:ascii="Times New Roman" w:hAnsi="Times New Roman" w:eastAsia="仿宋_GB2312" w:cs="Times New Roman"/>
          <w:sz w:val="32"/>
          <w:szCs w:val="22"/>
          <w:highlight w:val="none"/>
        </w:rPr>
      </w:pPr>
      <w:r>
        <w:rPr>
          <w:rFonts w:hint="default" w:ascii="Times New Roman" w:hAnsi="Times New Roman" w:eastAsia="仿宋_GB2312" w:cs="Times New Roman"/>
          <w:b/>
          <w:bCs/>
          <w:sz w:val="32"/>
          <w:szCs w:val="22"/>
          <w:highlight w:val="none"/>
          <w:lang w:val="en-US" w:eastAsia="zh-CN"/>
        </w:rPr>
        <w:t>3.</w:t>
      </w:r>
      <w:r>
        <w:rPr>
          <w:rFonts w:hint="default" w:ascii="Times New Roman" w:hAnsi="Times New Roman" w:eastAsia="仿宋_GB2312" w:cs="Times New Roman"/>
          <w:b/>
          <w:bCs/>
          <w:sz w:val="32"/>
          <w:szCs w:val="22"/>
          <w:highlight w:val="none"/>
        </w:rPr>
        <w:t>研究制定成效评估工作方案：</w:t>
      </w:r>
      <w:r>
        <w:rPr>
          <w:rFonts w:hint="default" w:ascii="Times New Roman" w:hAnsi="Times New Roman" w:eastAsia="仿宋_GB2312" w:cs="Times New Roman"/>
          <w:sz w:val="32"/>
          <w:szCs w:val="22"/>
          <w:highlight w:val="none"/>
        </w:rPr>
        <w:t>启动绩效评价工作方案编制工作，最终确定绩效评价工作方案终稿。</w:t>
      </w:r>
    </w:p>
    <w:p>
      <w:pPr>
        <w:keepNext w:val="0"/>
        <w:keepLines w:val="0"/>
        <w:pageBreakBefore w:val="0"/>
        <w:kinsoku/>
        <w:wordWrap/>
        <w:overflowPunct/>
        <w:topLinePunct w:val="0"/>
        <w:autoSpaceDE/>
        <w:autoSpaceDN/>
        <w:bidi w:val="0"/>
        <w:adjustRightInd/>
        <w:snapToGrid/>
        <w:spacing w:after="0" w:line="560" w:lineRule="exact"/>
        <w:ind w:firstLine="642" w:firstLineChars="200"/>
        <w:textAlignment w:val="auto"/>
        <w:rPr>
          <w:rFonts w:hint="default" w:ascii="Times New Roman" w:hAnsi="Times New Roman" w:eastAsia="仿宋_GB2312" w:cs="Times New Roman"/>
          <w:sz w:val="32"/>
          <w:szCs w:val="22"/>
          <w:highlight w:val="none"/>
        </w:rPr>
      </w:pPr>
      <w:r>
        <w:rPr>
          <w:rFonts w:hint="default" w:ascii="Times New Roman" w:hAnsi="Times New Roman" w:eastAsia="仿宋_GB2312" w:cs="Times New Roman"/>
          <w:b/>
          <w:bCs/>
          <w:sz w:val="32"/>
          <w:szCs w:val="22"/>
          <w:highlight w:val="none"/>
          <w:lang w:val="en-US" w:eastAsia="zh-CN"/>
        </w:rPr>
        <w:t>4.</w:t>
      </w:r>
      <w:r>
        <w:rPr>
          <w:rFonts w:hint="default" w:ascii="Times New Roman" w:hAnsi="Times New Roman" w:eastAsia="仿宋_GB2312" w:cs="Times New Roman"/>
          <w:b/>
          <w:bCs/>
          <w:sz w:val="32"/>
          <w:szCs w:val="22"/>
          <w:highlight w:val="none"/>
        </w:rPr>
        <w:t>下达成效评估通知：</w:t>
      </w:r>
      <w:r>
        <w:rPr>
          <w:rFonts w:hint="default" w:ascii="Times New Roman" w:hAnsi="Times New Roman" w:eastAsia="仿宋_GB2312" w:cs="Times New Roman"/>
          <w:sz w:val="32"/>
          <w:szCs w:val="22"/>
          <w:highlight w:val="none"/>
        </w:rPr>
        <w:t>根据绩效评价工作方案相关要求，下达绩效评价通知到相关责任单位。</w:t>
      </w:r>
    </w:p>
    <w:p>
      <w:pPr>
        <w:keepNext w:val="0"/>
        <w:keepLines w:val="0"/>
        <w:pageBreakBefore w:val="0"/>
        <w:kinsoku/>
        <w:wordWrap/>
        <w:overflowPunct/>
        <w:topLinePunct w:val="0"/>
        <w:autoSpaceDE/>
        <w:autoSpaceDN/>
        <w:bidi w:val="0"/>
        <w:adjustRightInd/>
        <w:snapToGrid/>
        <w:spacing w:after="0" w:line="560" w:lineRule="exact"/>
        <w:ind w:firstLine="642" w:firstLineChars="200"/>
        <w:textAlignment w:val="auto"/>
        <w:rPr>
          <w:rFonts w:hint="default" w:ascii="Times New Roman" w:hAnsi="Times New Roman" w:eastAsia="仿宋_GB2312" w:cs="Times New Roman"/>
          <w:sz w:val="32"/>
          <w:szCs w:val="22"/>
          <w:highlight w:val="none"/>
        </w:rPr>
      </w:pPr>
      <w:r>
        <w:rPr>
          <w:rFonts w:hint="default" w:ascii="Times New Roman" w:hAnsi="Times New Roman" w:eastAsia="仿宋_GB2312" w:cs="Times New Roman"/>
          <w:b/>
          <w:bCs/>
          <w:sz w:val="32"/>
          <w:szCs w:val="22"/>
          <w:highlight w:val="none"/>
          <w:lang w:val="en-US" w:eastAsia="zh-CN"/>
        </w:rPr>
        <w:t>5.</w:t>
      </w:r>
      <w:r>
        <w:rPr>
          <w:rFonts w:hint="default" w:ascii="Times New Roman" w:hAnsi="Times New Roman" w:eastAsia="仿宋_GB2312" w:cs="Times New Roman"/>
          <w:b/>
          <w:bCs/>
          <w:sz w:val="32"/>
          <w:szCs w:val="22"/>
          <w:highlight w:val="none"/>
        </w:rPr>
        <w:t>收集成效评估相关数据资料：</w:t>
      </w:r>
      <w:r>
        <w:rPr>
          <w:rFonts w:hint="default" w:ascii="Times New Roman" w:hAnsi="Times New Roman" w:eastAsia="仿宋_GB2312" w:cs="Times New Roman"/>
          <w:sz w:val="32"/>
          <w:szCs w:val="22"/>
          <w:highlight w:val="none"/>
        </w:rPr>
        <w:t>编制数据收集模板并下发到相关责任单位，启动数据收集工作，并开展数据初步分析。</w:t>
      </w:r>
    </w:p>
    <w:p>
      <w:pPr>
        <w:keepNext w:val="0"/>
        <w:keepLines w:val="0"/>
        <w:pageBreakBefore w:val="0"/>
        <w:kinsoku/>
        <w:wordWrap/>
        <w:overflowPunct/>
        <w:topLinePunct w:val="0"/>
        <w:autoSpaceDE/>
        <w:autoSpaceDN/>
        <w:bidi w:val="0"/>
        <w:adjustRightInd/>
        <w:snapToGrid/>
        <w:spacing w:after="0" w:line="560" w:lineRule="exact"/>
        <w:ind w:firstLine="642" w:firstLineChars="200"/>
        <w:textAlignment w:val="auto"/>
        <w:rPr>
          <w:rFonts w:hint="default" w:ascii="Times New Roman" w:hAnsi="Times New Roman" w:eastAsia="仿宋_GB2312" w:cs="Times New Roman"/>
          <w:sz w:val="32"/>
          <w:szCs w:val="22"/>
          <w:highlight w:val="none"/>
        </w:rPr>
      </w:pPr>
      <w:r>
        <w:rPr>
          <w:rFonts w:hint="default" w:ascii="Times New Roman" w:hAnsi="Times New Roman" w:eastAsia="仿宋_GB2312" w:cs="Times New Roman"/>
          <w:b/>
          <w:bCs/>
          <w:sz w:val="32"/>
          <w:szCs w:val="22"/>
          <w:highlight w:val="none"/>
          <w:lang w:val="en-US" w:eastAsia="zh-CN"/>
        </w:rPr>
        <w:t>6.</w:t>
      </w:r>
      <w:r>
        <w:rPr>
          <w:rFonts w:hint="default" w:ascii="Times New Roman" w:hAnsi="Times New Roman" w:eastAsia="仿宋_GB2312" w:cs="Times New Roman"/>
          <w:b/>
          <w:bCs/>
          <w:sz w:val="32"/>
          <w:szCs w:val="22"/>
          <w:highlight w:val="none"/>
        </w:rPr>
        <w:t>核实相关资料：</w:t>
      </w:r>
      <w:r>
        <w:rPr>
          <w:rFonts w:hint="default" w:ascii="Times New Roman" w:hAnsi="Times New Roman" w:eastAsia="仿宋_GB2312" w:cs="Times New Roman"/>
          <w:sz w:val="32"/>
          <w:szCs w:val="22"/>
          <w:highlight w:val="none"/>
        </w:rPr>
        <w:t>根据收集资料情况，进驻重点项目开展资料现场核实工作，审核佐证资料的完备性和真实性。</w:t>
      </w:r>
    </w:p>
    <w:p>
      <w:pPr>
        <w:keepNext w:val="0"/>
        <w:keepLines w:val="0"/>
        <w:pageBreakBefore w:val="0"/>
        <w:kinsoku/>
        <w:wordWrap/>
        <w:overflowPunct/>
        <w:topLinePunct w:val="0"/>
        <w:autoSpaceDE/>
        <w:autoSpaceDN/>
        <w:bidi w:val="0"/>
        <w:adjustRightInd/>
        <w:snapToGrid/>
        <w:spacing w:after="0" w:line="560" w:lineRule="exact"/>
        <w:ind w:firstLine="642" w:firstLineChars="200"/>
        <w:textAlignment w:val="auto"/>
        <w:rPr>
          <w:rFonts w:hint="default" w:ascii="Times New Roman" w:hAnsi="Times New Roman" w:eastAsia="仿宋_GB2312" w:cs="Times New Roman"/>
          <w:sz w:val="32"/>
          <w:szCs w:val="22"/>
          <w:highlight w:val="none"/>
        </w:rPr>
      </w:pPr>
      <w:r>
        <w:rPr>
          <w:rFonts w:hint="default" w:ascii="Times New Roman" w:hAnsi="Times New Roman" w:eastAsia="仿宋_GB2312" w:cs="Times New Roman"/>
          <w:b/>
          <w:bCs/>
          <w:sz w:val="32"/>
          <w:szCs w:val="22"/>
          <w:highlight w:val="none"/>
          <w:lang w:val="en-US" w:eastAsia="zh-CN"/>
        </w:rPr>
        <w:t>7.</w:t>
      </w:r>
      <w:r>
        <w:rPr>
          <w:rFonts w:hint="default" w:ascii="Times New Roman" w:hAnsi="Times New Roman" w:eastAsia="仿宋_GB2312" w:cs="Times New Roman"/>
          <w:b/>
          <w:bCs/>
          <w:sz w:val="32"/>
          <w:szCs w:val="22"/>
          <w:highlight w:val="none"/>
        </w:rPr>
        <w:t>分析形成初步结论：</w:t>
      </w:r>
      <w:r>
        <w:rPr>
          <w:rFonts w:hint="default" w:ascii="Times New Roman" w:hAnsi="Times New Roman" w:eastAsia="仿宋_GB2312" w:cs="Times New Roman"/>
          <w:sz w:val="32"/>
          <w:szCs w:val="22"/>
          <w:highlight w:val="none"/>
        </w:rPr>
        <w:t>根据收集数据资料和数据分析情况，研究分析形成初步结论。</w:t>
      </w:r>
    </w:p>
    <w:p>
      <w:pPr>
        <w:keepNext w:val="0"/>
        <w:keepLines w:val="0"/>
        <w:pageBreakBefore w:val="0"/>
        <w:kinsoku/>
        <w:wordWrap/>
        <w:overflowPunct/>
        <w:topLinePunct w:val="0"/>
        <w:autoSpaceDE/>
        <w:autoSpaceDN/>
        <w:bidi w:val="0"/>
        <w:adjustRightInd/>
        <w:snapToGrid/>
        <w:spacing w:after="0" w:line="560" w:lineRule="exact"/>
        <w:ind w:firstLine="642" w:firstLineChars="200"/>
        <w:textAlignment w:val="auto"/>
        <w:rPr>
          <w:rFonts w:hint="default" w:ascii="Times New Roman" w:hAnsi="Times New Roman" w:eastAsia="仿宋_GB2312" w:cs="Times New Roman"/>
          <w:sz w:val="32"/>
          <w:szCs w:val="22"/>
          <w:highlight w:val="none"/>
        </w:rPr>
      </w:pPr>
      <w:r>
        <w:rPr>
          <w:rFonts w:hint="default" w:ascii="Times New Roman" w:hAnsi="Times New Roman" w:eastAsia="仿宋_GB2312" w:cs="Times New Roman"/>
          <w:b/>
          <w:bCs/>
          <w:sz w:val="32"/>
          <w:szCs w:val="22"/>
          <w:highlight w:val="none"/>
          <w:lang w:val="en-US" w:eastAsia="zh-CN"/>
        </w:rPr>
        <w:t>8.</w:t>
      </w:r>
      <w:r>
        <w:rPr>
          <w:rFonts w:hint="default" w:ascii="Times New Roman" w:hAnsi="Times New Roman" w:eastAsia="仿宋_GB2312" w:cs="Times New Roman"/>
          <w:b/>
          <w:bCs/>
          <w:sz w:val="32"/>
          <w:szCs w:val="22"/>
          <w:highlight w:val="none"/>
        </w:rPr>
        <w:t>与被评部门（单位）交换意见：</w:t>
      </w:r>
      <w:r>
        <w:rPr>
          <w:rFonts w:hint="default" w:ascii="Times New Roman" w:hAnsi="Times New Roman" w:eastAsia="仿宋_GB2312" w:cs="Times New Roman"/>
          <w:sz w:val="32"/>
          <w:szCs w:val="22"/>
          <w:highlight w:val="none"/>
        </w:rPr>
        <w:t>将相关初步结论反馈给被评部门（单位），收集相关责任单位对于评价结果的解释说明材料。</w:t>
      </w:r>
    </w:p>
    <w:p>
      <w:pPr>
        <w:keepNext w:val="0"/>
        <w:keepLines w:val="0"/>
        <w:pageBreakBefore w:val="0"/>
        <w:kinsoku/>
        <w:wordWrap/>
        <w:overflowPunct/>
        <w:topLinePunct w:val="0"/>
        <w:autoSpaceDE/>
        <w:autoSpaceDN/>
        <w:bidi w:val="0"/>
        <w:adjustRightInd/>
        <w:snapToGrid/>
        <w:spacing w:after="0" w:line="560" w:lineRule="exact"/>
        <w:ind w:firstLine="642" w:firstLineChars="200"/>
        <w:textAlignment w:val="auto"/>
        <w:rPr>
          <w:rFonts w:hint="default" w:ascii="Times New Roman" w:hAnsi="Times New Roman" w:eastAsia="仿宋_GB2312" w:cs="Times New Roman"/>
          <w:sz w:val="32"/>
          <w:szCs w:val="22"/>
          <w:highlight w:val="none"/>
        </w:rPr>
      </w:pPr>
      <w:r>
        <w:rPr>
          <w:rFonts w:hint="default" w:ascii="Times New Roman" w:hAnsi="Times New Roman" w:eastAsia="仿宋_GB2312" w:cs="Times New Roman"/>
          <w:b/>
          <w:bCs/>
          <w:sz w:val="32"/>
          <w:szCs w:val="22"/>
          <w:highlight w:val="none"/>
          <w:lang w:val="en-US" w:eastAsia="zh-CN"/>
        </w:rPr>
        <w:t>9.</w:t>
      </w:r>
      <w:r>
        <w:rPr>
          <w:rFonts w:hint="default" w:ascii="Times New Roman" w:hAnsi="Times New Roman" w:eastAsia="仿宋_GB2312" w:cs="Times New Roman"/>
          <w:b/>
          <w:bCs/>
          <w:sz w:val="32"/>
          <w:szCs w:val="22"/>
          <w:highlight w:val="none"/>
        </w:rPr>
        <w:t>出具成效评估报告：</w:t>
      </w:r>
      <w:r>
        <w:rPr>
          <w:rFonts w:hint="default" w:ascii="Times New Roman" w:hAnsi="Times New Roman" w:eastAsia="仿宋_GB2312" w:cs="Times New Roman"/>
          <w:sz w:val="32"/>
          <w:szCs w:val="22"/>
          <w:highlight w:val="none"/>
        </w:rPr>
        <w:t>根据被评部门（单位）提交的说明材料，进行综合分析，出具《202</w:t>
      </w:r>
      <w:r>
        <w:rPr>
          <w:rFonts w:hint="eastAsia" w:ascii="Times New Roman" w:hAnsi="Times New Roman" w:eastAsia="仿宋_GB2312" w:cs="Times New Roman"/>
          <w:sz w:val="32"/>
          <w:szCs w:val="22"/>
          <w:highlight w:val="none"/>
          <w:lang w:val="en-US" w:eastAsia="zh-CN"/>
        </w:rPr>
        <w:t>3</w:t>
      </w:r>
      <w:r>
        <w:rPr>
          <w:rFonts w:hint="default" w:ascii="Times New Roman" w:hAnsi="Times New Roman" w:eastAsia="仿宋_GB2312" w:cs="Times New Roman"/>
          <w:sz w:val="32"/>
          <w:szCs w:val="22"/>
          <w:highlight w:val="none"/>
        </w:rPr>
        <w:t>年度自治区中小企业发展专项资金绩效评价报告》。</w:t>
      </w:r>
    </w:p>
    <w:p>
      <w:pPr>
        <w:keepNext w:val="0"/>
        <w:keepLines w:val="0"/>
        <w:pageBreakBefore w:val="0"/>
        <w:kinsoku/>
        <w:wordWrap/>
        <w:overflowPunct/>
        <w:topLinePunct w:val="0"/>
        <w:autoSpaceDE/>
        <w:autoSpaceDN/>
        <w:bidi w:val="0"/>
        <w:adjustRightInd/>
        <w:snapToGrid/>
        <w:spacing w:after="0" w:line="560" w:lineRule="exact"/>
        <w:ind w:firstLine="642" w:firstLineChars="200"/>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b/>
          <w:bCs/>
          <w:sz w:val="32"/>
          <w:szCs w:val="22"/>
          <w:highlight w:val="none"/>
          <w:lang w:val="en-US" w:eastAsia="zh-CN"/>
        </w:rPr>
        <w:t>10.</w:t>
      </w:r>
      <w:r>
        <w:rPr>
          <w:rFonts w:hint="default" w:ascii="Times New Roman" w:hAnsi="Times New Roman" w:eastAsia="仿宋_GB2312" w:cs="Times New Roman"/>
          <w:b/>
          <w:bCs/>
          <w:sz w:val="32"/>
          <w:szCs w:val="22"/>
          <w:highlight w:val="none"/>
        </w:rPr>
        <w:t>建立成效评估档案：</w:t>
      </w:r>
      <w:r>
        <w:rPr>
          <w:rFonts w:hint="default" w:ascii="Times New Roman" w:hAnsi="Times New Roman" w:eastAsia="仿宋_GB2312" w:cs="Times New Roman"/>
          <w:sz w:val="32"/>
          <w:szCs w:val="22"/>
          <w:highlight w:val="none"/>
        </w:rPr>
        <w:t>建立和落实档案管理制度，将</w:t>
      </w:r>
      <w:r>
        <w:rPr>
          <w:rFonts w:hint="default" w:ascii="Times New Roman" w:hAnsi="Times New Roman" w:eastAsia="仿宋_GB2312" w:cs="Times New Roman"/>
          <w:sz w:val="32"/>
          <w:szCs w:val="22"/>
          <w:highlight w:val="none"/>
          <w:lang w:val="en-US" w:eastAsia="zh-CN"/>
        </w:rPr>
        <w:t>绩效评价</w:t>
      </w:r>
      <w:r>
        <w:rPr>
          <w:rFonts w:hint="default" w:ascii="Times New Roman" w:hAnsi="Times New Roman" w:eastAsia="仿宋_GB2312" w:cs="Times New Roman"/>
          <w:sz w:val="32"/>
          <w:szCs w:val="22"/>
          <w:highlight w:val="none"/>
        </w:rPr>
        <w:t>过程资料、会议资料、访谈记录、调查结果、指标评价体系及评价结果等资料进行梳理并归档，建立202</w:t>
      </w:r>
      <w:r>
        <w:rPr>
          <w:rFonts w:hint="eastAsia" w:ascii="Times New Roman" w:hAnsi="Times New Roman" w:eastAsia="仿宋_GB2312" w:cs="Times New Roman"/>
          <w:sz w:val="32"/>
          <w:szCs w:val="22"/>
          <w:highlight w:val="none"/>
          <w:lang w:val="en-US" w:eastAsia="zh-CN"/>
        </w:rPr>
        <w:t>3</w:t>
      </w:r>
      <w:r>
        <w:rPr>
          <w:rFonts w:hint="default" w:ascii="Times New Roman" w:hAnsi="Times New Roman" w:eastAsia="仿宋_GB2312" w:cs="Times New Roman"/>
          <w:sz w:val="32"/>
          <w:szCs w:val="22"/>
          <w:highlight w:val="none"/>
        </w:rPr>
        <w:t>年度中小企业发展专项资金使用效果评估档案。</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eastAsia="黑体"/>
          <w:sz w:val="32"/>
          <w:szCs w:val="32"/>
        </w:rPr>
        <w:t>综合评价情况及评价结论（附相关评分表）</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jc w:val="both"/>
        <w:textAlignment w:val="auto"/>
        <w:rPr>
          <w:rFonts w:hint="eastAsia" w:ascii="Times New Roman" w:hAnsi="Times New Roman" w:eastAsia="楷体_GB2312"/>
          <w:lang w:val="en-US" w:eastAsia="zh-CN"/>
        </w:rPr>
      </w:pPr>
      <w:r>
        <w:rPr>
          <w:rFonts w:hint="eastAsia" w:ascii="Times New Roman" w:hAnsi="Times New Roman" w:eastAsia="楷体_GB2312"/>
          <w:lang w:eastAsia="zh-CN"/>
        </w:rPr>
        <w:t>（</w:t>
      </w:r>
      <w:r>
        <w:rPr>
          <w:rFonts w:hint="eastAsia" w:ascii="Times New Roman" w:hAnsi="Times New Roman" w:eastAsia="楷体_GB2312"/>
          <w:lang w:val="en-US" w:eastAsia="zh-CN"/>
        </w:rPr>
        <w:t>一</w:t>
      </w:r>
      <w:r>
        <w:rPr>
          <w:rFonts w:hint="eastAsia" w:ascii="Times New Roman" w:hAnsi="Times New Roman" w:eastAsia="楷体_GB2312"/>
          <w:lang w:eastAsia="zh-CN"/>
        </w:rPr>
        <w:t>）</w:t>
      </w:r>
      <w:r>
        <w:rPr>
          <w:rFonts w:hint="eastAsia" w:ascii="Times New Roman" w:hAnsi="Times New Roman" w:eastAsia="楷体_GB2312"/>
          <w:lang w:val="en-US" w:eastAsia="zh-CN"/>
        </w:rPr>
        <w:t>评价情况</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jc w:val="both"/>
        <w:textAlignment w:val="auto"/>
        <w:rPr>
          <w:rFonts w:hint="eastAsia" w:ascii="Times New Roman" w:hAnsi="Times New Roman" w:eastAsia="楷体_GB2312" w:cs="Times New Roman"/>
          <w:lang w:val="en-US" w:eastAsia="zh-CN"/>
        </w:rPr>
      </w:pP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二</w:t>
      </w: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评价结论</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ascii="Times New Roman" w:hAnsi="Times New Roman" w:eastAsia="仿宋_GB2312"/>
          <w:sz w:val="30"/>
          <w:szCs w:val="30"/>
        </w:rPr>
      </w:pPr>
      <w:r>
        <w:rPr>
          <w:rFonts w:ascii="Times New Roman" w:hAnsi="Times New Roman" w:eastAsia="仿宋_GB2312"/>
          <w:b w:val="0"/>
          <w:bCs w:val="0"/>
          <w:highlight w:val="none"/>
        </w:rPr>
        <w:t>对</w:t>
      </w:r>
      <w:r>
        <w:rPr>
          <w:rFonts w:hint="eastAsia" w:ascii="Times New Roman" w:hAnsi="Times New Roman" w:eastAsia="仿宋_GB2312"/>
          <w:b w:val="0"/>
          <w:bCs w:val="0"/>
          <w:highlight w:val="none"/>
        </w:rPr>
        <w:t>自治区中小企业发展专项资金项目（自治区本级）</w:t>
      </w:r>
      <w:r>
        <w:rPr>
          <w:rFonts w:ascii="Times New Roman" w:hAnsi="Times New Roman" w:eastAsia="仿宋_GB2312"/>
          <w:b w:val="0"/>
          <w:bCs w:val="0"/>
          <w:highlight w:val="none"/>
        </w:rPr>
        <w:t>进行客观评价，最终评分结果：总得分为</w:t>
      </w:r>
      <w:r>
        <w:rPr>
          <w:rFonts w:hint="eastAsia" w:ascii="Times New Roman" w:hAnsi="Times New Roman" w:eastAsia="仿宋_GB2312"/>
          <w:b w:val="0"/>
          <w:bCs w:val="0"/>
          <w:highlight w:val="none"/>
          <w:lang w:val="en-US" w:eastAsia="zh-CN"/>
        </w:rPr>
        <w:t>97</w:t>
      </w:r>
      <w:r>
        <w:rPr>
          <w:rFonts w:ascii="Times New Roman" w:hAnsi="Times New Roman" w:eastAsia="仿宋_GB2312"/>
          <w:b w:val="0"/>
          <w:bCs w:val="0"/>
          <w:highlight w:val="none"/>
        </w:rPr>
        <w:t>分，属于“优”。其中，项目决策类指标权重为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19</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95</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rPr>
        <w:t>40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38</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95</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p>
    <w:p>
      <w:pPr>
        <w:pStyle w:val="2"/>
      </w:pPr>
      <w:r>
        <w:rPr>
          <w:rFonts w:ascii="Times New Roman" w:hAnsi="Times New Roman" w:eastAsia="仿宋_GB2312"/>
          <w:sz w:val="30"/>
          <w:szCs w:val="30"/>
        </w:rPr>
        <w:t>表1综合评分表</w:t>
      </w:r>
    </w:p>
    <w:tbl>
      <w:tblPr>
        <w:tblStyle w:val="21"/>
        <w:tblW w:w="965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759"/>
        <w:gridCol w:w="1514"/>
        <w:gridCol w:w="1707"/>
        <w:gridCol w:w="727"/>
        <w:gridCol w:w="1044"/>
        <w:gridCol w:w="924"/>
        <w:gridCol w:w="1022"/>
        <w:gridCol w:w="85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jc w:val="cent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759"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514"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022"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853"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759"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51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1022"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853"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pPr>
              <w:spacing w:line="0" w:lineRule="atLeast"/>
              <w:jc w:val="center"/>
              <w:rPr>
                <w:color w:val="000000"/>
                <w:kern w:val="0"/>
                <w:sz w:val="22"/>
                <w:szCs w:val="22"/>
              </w:rPr>
            </w:pPr>
          </w:p>
        </w:tc>
        <w:tc>
          <w:tcPr>
            <w:tcW w:w="759" w:type="dxa"/>
            <w:vMerge w:val="continue"/>
            <w:shd w:val="clear" w:color="auto" w:fill="FFFFFF"/>
            <w:vAlign w:val="center"/>
          </w:tcPr>
          <w:p>
            <w:pPr>
              <w:widowControl/>
              <w:spacing w:line="0" w:lineRule="atLeast"/>
              <w:jc w:val="center"/>
              <w:rPr>
                <w:color w:val="000000"/>
                <w:kern w:val="0"/>
                <w:sz w:val="22"/>
                <w:szCs w:val="22"/>
              </w:rPr>
            </w:pPr>
          </w:p>
        </w:tc>
        <w:tc>
          <w:tcPr>
            <w:tcW w:w="1514"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1022"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853"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pPr>
              <w:spacing w:line="0" w:lineRule="atLeast"/>
              <w:jc w:val="center"/>
              <w:rPr>
                <w:color w:val="000000"/>
                <w:kern w:val="0"/>
                <w:sz w:val="22"/>
                <w:szCs w:val="22"/>
              </w:rPr>
            </w:pPr>
          </w:p>
        </w:tc>
        <w:tc>
          <w:tcPr>
            <w:tcW w:w="759" w:type="dxa"/>
            <w:vMerge w:val="continue"/>
            <w:shd w:val="clear" w:color="auto" w:fill="FFFFFF"/>
            <w:vAlign w:val="center"/>
          </w:tcPr>
          <w:p>
            <w:pPr>
              <w:widowControl/>
              <w:spacing w:line="0" w:lineRule="atLeast"/>
              <w:jc w:val="center"/>
              <w:rPr>
                <w:color w:val="000000"/>
                <w:kern w:val="0"/>
                <w:sz w:val="22"/>
                <w:szCs w:val="22"/>
              </w:rPr>
            </w:pPr>
          </w:p>
        </w:tc>
        <w:tc>
          <w:tcPr>
            <w:tcW w:w="151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022"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853"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759" w:type="dxa"/>
            <w:vMerge w:val="continue"/>
            <w:shd w:val="clear" w:color="auto" w:fill="FFFFFF"/>
            <w:vAlign w:val="center"/>
          </w:tcPr>
          <w:p>
            <w:pPr>
              <w:widowControl/>
              <w:spacing w:line="0" w:lineRule="atLeast"/>
              <w:jc w:val="center"/>
              <w:rPr>
                <w:color w:val="000000"/>
                <w:kern w:val="0"/>
                <w:sz w:val="22"/>
                <w:szCs w:val="22"/>
              </w:rPr>
            </w:pPr>
          </w:p>
        </w:tc>
        <w:tc>
          <w:tcPr>
            <w:tcW w:w="1514"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1022"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853"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pPr>
              <w:spacing w:line="0" w:lineRule="atLeast"/>
              <w:jc w:val="center"/>
              <w:rPr>
                <w:color w:val="000000"/>
                <w:kern w:val="0"/>
                <w:sz w:val="22"/>
                <w:szCs w:val="22"/>
              </w:rPr>
            </w:pPr>
          </w:p>
        </w:tc>
        <w:tc>
          <w:tcPr>
            <w:tcW w:w="759" w:type="dxa"/>
            <w:vMerge w:val="continue"/>
            <w:shd w:val="clear" w:color="auto" w:fill="FFFFFF"/>
            <w:vAlign w:val="center"/>
          </w:tcPr>
          <w:p>
            <w:pPr>
              <w:spacing w:line="0" w:lineRule="atLeast"/>
              <w:jc w:val="center"/>
              <w:rPr>
                <w:color w:val="000000"/>
                <w:kern w:val="0"/>
                <w:sz w:val="22"/>
                <w:szCs w:val="22"/>
              </w:rPr>
            </w:pPr>
          </w:p>
        </w:tc>
        <w:tc>
          <w:tcPr>
            <w:tcW w:w="151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1022"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853"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759" w:type="dxa"/>
            <w:vMerge w:val="continue"/>
            <w:shd w:val="clear" w:color="auto" w:fill="FFFFFF"/>
            <w:vAlign w:val="center"/>
          </w:tcPr>
          <w:p>
            <w:pPr>
              <w:widowControl/>
              <w:spacing w:line="0" w:lineRule="atLeast"/>
              <w:jc w:val="center"/>
              <w:rPr>
                <w:color w:val="000000"/>
                <w:kern w:val="0"/>
                <w:sz w:val="22"/>
                <w:szCs w:val="22"/>
              </w:rPr>
            </w:pPr>
          </w:p>
        </w:tc>
        <w:tc>
          <w:tcPr>
            <w:tcW w:w="1514"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022"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853"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759"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51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022"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853"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pPr>
              <w:spacing w:line="0" w:lineRule="atLeast"/>
              <w:jc w:val="center"/>
              <w:rPr>
                <w:color w:val="000000"/>
                <w:kern w:val="0"/>
                <w:sz w:val="22"/>
                <w:szCs w:val="22"/>
              </w:rPr>
            </w:pPr>
          </w:p>
        </w:tc>
        <w:tc>
          <w:tcPr>
            <w:tcW w:w="759" w:type="dxa"/>
            <w:vMerge w:val="continue"/>
            <w:shd w:val="clear" w:color="auto" w:fill="FFFFFF"/>
            <w:vAlign w:val="center"/>
          </w:tcPr>
          <w:p>
            <w:pPr>
              <w:spacing w:line="0" w:lineRule="atLeast"/>
              <w:jc w:val="center"/>
              <w:rPr>
                <w:color w:val="000000"/>
                <w:kern w:val="0"/>
                <w:sz w:val="22"/>
                <w:szCs w:val="22"/>
              </w:rPr>
            </w:pPr>
          </w:p>
        </w:tc>
        <w:tc>
          <w:tcPr>
            <w:tcW w:w="1514"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99.99</w:t>
            </w:r>
            <w:r>
              <w:rPr>
                <w:color w:val="000000"/>
                <w:kern w:val="0"/>
                <w:sz w:val="22"/>
                <w:szCs w:val="22"/>
                <w:highlight w:val="none"/>
              </w:rPr>
              <w:t>%</w:t>
            </w:r>
          </w:p>
        </w:tc>
        <w:tc>
          <w:tcPr>
            <w:tcW w:w="1022"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75%</w:t>
            </w:r>
          </w:p>
        </w:tc>
        <w:tc>
          <w:tcPr>
            <w:tcW w:w="853"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pPr>
              <w:spacing w:line="0" w:lineRule="atLeast"/>
              <w:jc w:val="center"/>
              <w:rPr>
                <w:color w:val="000000"/>
                <w:kern w:val="0"/>
                <w:sz w:val="22"/>
                <w:szCs w:val="22"/>
              </w:rPr>
            </w:pPr>
          </w:p>
        </w:tc>
        <w:tc>
          <w:tcPr>
            <w:tcW w:w="759" w:type="dxa"/>
            <w:vMerge w:val="continue"/>
            <w:shd w:val="clear" w:color="auto" w:fill="FFFFFF"/>
            <w:vAlign w:val="center"/>
          </w:tcPr>
          <w:p>
            <w:pPr>
              <w:widowControl/>
              <w:spacing w:line="0" w:lineRule="atLeast"/>
              <w:jc w:val="center"/>
              <w:rPr>
                <w:color w:val="000000"/>
                <w:kern w:val="0"/>
                <w:sz w:val="22"/>
                <w:szCs w:val="22"/>
              </w:rPr>
            </w:pPr>
          </w:p>
        </w:tc>
        <w:tc>
          <w:tcPr>
            <w:tcW w:w="151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1022"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853"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pPr>
              <w:spacing w:line="0" w:lineRule="atLeast"/>
              <w:jc w:val="center"/>
              <w:rPr>
                <w:color w:val="000000"/>
                <w:kern w:val="0"/>
                <w:sz w:val="22"/>
                <w:szCs w:val="22"/>
              </w:rPr>
            </w:pPr>
          </w:p>
        </w:tc>
        <w:tc>
          <w:tcPr>
            <w:tcW w:w="759" w:type="dxa"/>
            <w:vMerge w:val="continue"/>
            <w:shd w:val="clear" w:color="auto" w:fill="FFFFFF"/>
            <w:vAlign w:val="center"/>
          </w:tcPr>
          <w:p>
            <w:pPr>
              <w:spacing w:line="0" w:lineRule="atLeast"/>
              <w:jc w:val="center"/>
              <w:rPr>
                <w:color w:val="000000"/>
                <w:kern w:val="0"/>
                <w:sz w:val="22"/>
                <w:szCs w:val="22"/>
              </w:rPr>
            </w:pPr>
          </w:p>
        </w:tc>
        <w:tc>
          <w:tcPr>
            <w:tcW w:w="151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1022"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853"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759" w:type="dxa"/>
            <w:vMerge w:val="continue"/>
            <w:shd w:val="clear" w:color="auto" w:fill="FFFFFF"/>
            <w:vAlign w:val="center"/>
          </w:tcPr>
          <w:p>
            <w:pPr>
              <w:widowControl/>
              <w:spacing w:line="0" w:lineRule="atLeast"/>
              <w:jc w:val="center"/>
              <w:rPr>
                <w:color w:val="000000"/>
                <w:kern w:val="0"/>
                <w:sz w:val="22"/>
                <w:szCs w:val="22"/>
              </w:rPr>
            </w:pPr>
          </w:p>
        </w:tc>
        <w:tc>
          <w:tcPr>
            <w:tcW w:w="1514"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022"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853"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59"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51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80</w:t>
            </w:r>
            <w:r>
              <w:rPr>
                <w:color w:val="000000"/>
                <w:kern w:val="0"/>
                <w:sz w:val="22"/>
                <w:szCs w:val="22"/>
                <w:highlight w:val="none"/>
              </w:rPr>
              <w:t>%</w:t>
            </w:r>
          </w:p>
        </w:tc>
        <w:tc>
          <w:tcPr>
            <w:tcW w:w="1022"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80%</w:t>
            </w:r>
          </w:p>
        </w:tc>
        <w:tc>
          <w:tcPr>
            <w:tcW w:w="853"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759" w:type="dxa"/>
            <w:vMerge w:val="continue"/>
            <w:shd w:val="clear" w:color="auto" w:fill="FFFFFF"/>
            <w:vAlign w:val="center"/>
          </w:tcPr>
          <w:p>
            <w:pPr>
              <w:widowControl/>
              <w:spacing w:line="0" w:lineRule="atLeast"/>
              <w:jc w:val="center"/>
              <w:rPr>
                <w:color w:val="000000"/>
                <w:kern w:val="0"/>
                <w:sz w:val="22"/>
                <w:szCs w:val="22"/>
              </w:rPr>
            </w:pPr>
          </w:p>
        </w:tc>
        <w:tc>
          <w:tcPr>
            <w:tcW w:w="151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022"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853"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pPr>
              <w:spacing w:line="0" w:lineRule="atLeast"/>
              <w:jc w:val="center"/>
              <w:rPr>
                <w:color w:val="000000"/>
                <w:kern w:val="0"/>
                <w:sz w:val="22"/>
                <w:szCs w:val="22"/>
              </w:rPr>
            </w:pPr>
          </w:p>
        </w:tc>
        <w:tc>
          <w:tcPr>
            <w:tcW w:w="759" w:type="dxa"/>
            <w:vMerge w:val="continue"/>
            <w:shd w:val="clear" w:color="auto" w:fill="FFFFFF"/>
            <w:vAlign w:val="center"/>
          </w:tcPr>
          <w:p>
            <w:pPr>
              <w:spacing w:line="0" w:lineRule="atLeast"/>
              <w:jc w:val="center"/>
              <w:rPr>
                <w:color w:val="000000"/>
                <w:kern w:val="0"/>
                <w:sz w:val="22"/>
                <w:szCs w:val="22"/>
              </w:rPr>
            </w:pPr>
          </w:p>
        </w:tc>
        <w:tc>
          <w:tcPr>
            <w:tcW w:w="1514"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1022"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853"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759" w:type="dxa"/>
            <w:vMerge w:val="continue"/>
            <w:shd w:val="clear" w:color="auto" w:fill="FFFFFF"/>
            <w:vAlign w:val="center"/>
          </w:tcPr>
          <w:p>
            <w:pPr>
              <w:widowControl/>
              <w:spacing w:line="0" w:lineRule="atLeast"/>
              <w:jc w:val="center"/>
              <w:rPr>
                <w:color w:val="000000"/>
                <w:kern w:val="0"/>
                <w:sz w:val="22"/>
                <w:szCs w:val="22"/>
              </w:rPr>
            </w:pPr>
          </w:p>
        </w:tc>
        <w:tc>
          <w:tcPr>
            <w:tcW w:w="151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022"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853"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759" w:type="dxa"/>
            <w:vMerge w:val="restart"/>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51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15</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022"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853"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759" w:type="dxa"/>
            <w:vMerge w:val="continue"/>
            <w:shd w:val="clear" w:color="auto" w:fill="FFFFFF"/>
            <w:vAlign w:val="center"/>
          </w:tcPr>
          <w:p>
            <w:pPr>
              <w:widowControl/>
              <w:spacing w:line="0" w:lineRule="atLeast"/>
              <w:jc w:val="center"/>
              <w:rPr>
                <w:color w:val="000000"/>
                <w:kern w:val="0"/>
                <w:sz w:val="22"/>
                <w:szCs w:val="22"/>
              </w:rPr>
            </w:pPr>
          </w:p>
        </w:tc>
        <w:tc>
          <w:tcPr>
            <w:tcW w:w="1514"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5</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w:t>
            </w:r>
            <w:r>
              <w:rPr>
                <w:rFonts w:hint="eastAsia"/>
                <w:color w:val="000000"/>
                <w:kern w:val="0"/>
                <w:sz w:val="22"/>
                <w:szCs w:val="22"/>
                <w:highlight w:val="none"/>
                <w:lang w:val="en-US" w:eastAsia="zh-CN"/>
              </w:rPr>
              <w:t>90</w:t>
            </w:r>
            <w:r>
              <w:rPr>
                <w:color w:val="000000"/>
                <w:kern w:val="0"/>
                <w:sz w:val="22"/>
                <w:szCs w:val="22"/>
                <w:highlight w:val="none"/>
              </w:rPr>
              <w:t>%</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91</w:t>
            </w:r>
            <w:r>
              <w:rPr>
                <w:color w:val="000000"/>
                <w:kern w:val="0"/>
                <w:sz w:val="22"/>
                <w:szCs w:val="22"/>
                <w:highlight w:val="none"/>
              </w:rPr>
              <w:t>%</w:t>
            </w:r>
          </w:p>
        </w:tc>
        <w:tc>
          <w:tcPr>
            <w:tcW w:w="1022"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853"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5</w:t>
            </w:r>
          </w:p>
        </w:tc>
      </w:tr>
    </w:tbl>
    <w:p>
      <w:pPr>
        <w:pageBreakBefore w:val="0"/>
        <w:kinsoku/>
        <w:wordWrap/>
        <w:overflowPunct/>
        <w:topLinePunct w:val="0"/>
        <w:autoSpaceDE/>
        <w:autoSpaceDN/>
        <w:bidi w:val="0"/>
        <w:adjustRightInd/>
        <w:snapToGrid/>
        <w:spacing w:line="560" w:lineRule="exact"/>
        <w:ind w:firstLine="320" w:firstLineChars="100"/>
        <w:textAlignment w:val="auto"/>
        <w:rPr>
          <w:rFonts w:eastAsia="黑体"/>
          <w:sz w:val="32"/>
          <w:szCs w:val="32"/>
        </w:rPr>
      </w:pPr>
      <w:r>
        <w:rPr>
          <w:rFonts w:eastAsia="黑体"/>
          <w:sz w:val="32"/>
          <w:szCs w:val="32"/>
        </w:rPr>
        <w:t>四、绩效评价指标分析</w:t>
      </w:r>
    </w:p>
    <w:p>
      <w:pPr>
        <w:pStyle w:val="2"/>
        <w:pageBreakBefore w:val="0"/>
        <w:kinsoku/>
        <w:wordWrap/>
        <w:overflowPunct/>
        <w:topLinePunct w:val="0"/>
        <w:autoSpaceDE/>
        <w:autoSpaceDN/>
        <w:bidi w:val="0"/>
        <w:adjustRightInd/>
        <w:snapToGrid/>
        <w:spacing w:line="560" w:lineRule="exact"/>
        <w:ind w:firstLine="321" w:firstLineChars="100"/>
        <w:jc w:val="both"/>
        <w:textAlignment w:val="auto"/>
        <w:rPr>
          <w:rFonts w:ascii="Times New Roman" w:hAnsi="Times New Roman" w:eastAsia="楷体_GB2312"/>
        </w:rPr>
      </w:pPr>
      <w:r>
        <w:rPr>
          <w:rFonts w:ascii="Times New Roman" w:hAnsi="Times New Roman" w:eastAsia="楷体_GB2312"/>
        </w:rPr>
        <w:t>（一）项目决策情况</w:t>
      </w:r>
    </w:p>
    <w:p>
      <w:pPr>
        <w:shd w:val="clear"/>
        <w:spacing w:line="600" w:lineRule="exact"/>
        <w:ind w:firstLine="600" w:firstLineChars="200"/>
        <w:outlineLvl w:val="0"/>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项目决策类指标包括项目立项、绩效目标和资金投入三方面的内容，由6个三级指标构成，权重分值为20分，实际得分20分，得分率为100%。</w:t>
      </w:r>
    </w:p>
    <w:p>
      <w:pPr>
        <w:pStyle w:val="55"/>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sz w:val="32"/>
          <w:szCs w:val="22"/>
          <w:highlight w:val="none"/>
          <w:lang w:val="en-US" w:eastAsia="zh-CN"/>
        </w:rPr>
      </w:pPr>
      <w:r>
        <w:rPr>
          <w:rFonts w:hint="eastAsia" w:ascii="仿宋_GB2312" w:hAnsi="仿宋_GB2312" w:eastAsia="仿宋_GB2312" w:cs="仿宋_GB2312"/>
          <w:sz w:val="32"/>
          <w:szCs w:val="22"/>
          <w:highlight w:val="none"/>
          <w:lang w:val="en-US" w:eastAsia="zh-CN"/>
        </w:rPr>
        <w:t>按照《新疆维吾尔自治区中小企业发展专项资金管理暂行办法》的要求，会同当地财政部门建立专家评审会，共同组织技术、财务、市场等方面的专家，按照自治区工信厅提供的项目申报指南和评审要求，对申报项目分类进行逐一评审，并在规定时间内，确定支持项目名单。</w:t>
      </w:r>
    </w:p>
    <w:p>
      <w:pPr>
        <w:pStyle w:val="55"/>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1.项目立项</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pPr>
        <w:pStyle w:val="55"/>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55"/>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pPr>
        <w:keepNext w:val="0"/>
        <w:keepLines w:val="0"/>
        <w:pageBreakBefore w:val="0"/>
        <w:kinsoku/>
        <w:wordWrap/>
        <w:overflowPunct/>
        <w:topLinePunct w:val="0"/>
        <w:autoSpaceDE/>
        <w:autoSpaceDN/>
        <w:bidi w:val="0"/>
        <w:adjustRightInd/>
        <w:snapToGrid/>
        <w:spacing w:after="0" w:line="560" w:lineRule="exact"/>
        <w:ind w:left="0" w:leftChars="0" w:right="0" w:rightChars="0" w:firstLine="579" w:firstLineChars="181"/>
        <w:textAlignment w:val="auto"/>
        <w:rPr>
          <w:rFonts w:hint="eastAsia" w:ascii="仿宋_GB2312" w:hAnsi="仿宋_GB2312" w:eastAsia="仿宋_GB2312" w:cs="仿宋_GB2312"/>
          <w:sz w:val="32"/>
          <w:szCs w:val="22"/>
          <w:highlight w:val="none"/>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pPr>
        <w:pStyle w:val="2"/>
        <w:pageBreakBefore w:val="0"/>
        <w:kinsoku/>
        <w:wordWrap/>
        <w:overflowPunct/>
        <w:topLinePunct w:val="0"/>
        <w:autoSpaceDE/>
        <w:autoSpaceDN/>
        <w:bidi w:val="0"/>
        <w:adjustRightInd/>
        <w:snapToGrid/>
        <w:spacing w:line="560" w:lineRule="exact"/>
        <w:ind w:firstLine="321" w:firstLineChars="100"/>
        <w:jc w:val="both"/>
        <w:textAlignment w:val="auto"/>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项目过程类指标包括资金管理和组织实施两方面的内容，由5个三级指标构成，权重分值为20分，实际得分19分，得分率为95%。</w:t>
      </w:r>
    </w:p>
    <w:p>
      <w:pPr>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sz w:val="32"/>
          <w:szCs w:val="22"/>
          <w:highlight w:val="none"/>
          <w:lang w:val="en-US" w:eastAsia="zh-CN"/>
        </w:rPr>
      </w:pPr>
      <w:r>
        <w:rPr>
          <w:rFonts w:hint="eastAsia" w:ascii="仿宋_GB2312" w:hAnsi="仿宋_GB2312" w:eastAsia="仿宋_GB2312" w:cs="仿宋_GB2312"/>
          <w:sz w:val="32"/>
          <w:szCs w:val="22"/>
          <w:highlight w:val="none"/>
          <w:lang w:val="en-US" w:eastAsia="zh-CN"/>
        </w:rPr>
        <w:t>自治区工信厅会同财政厅按照因素分配法制定了项目资金分配方案，提出资金使用范围及用途，要求各项目单位对项目资金进行严格管理，规范资金使用程序、专款专用，把奖补资金用在实处，提高资金的使用效益。总体来看，本项目资金的整体管理水平较高，做到了专款专用、及时拨付、规范支付，保障中小企业发展专项资金支付需求，确保项目顺利实施。</w:t>
      </w:r>
    </w:p>
    <w:p>
      <w:pPr>
        <w:pStyle w:val="2"/>
        <w:pageBreakBefore w:val="0"/>
        <w:kinsoku/>
        <w:wordWrap/>
        <w:overflowPunct/>
        <w:topLinePunct w:val="0"/>
        <w:autoSpaceDE/>
        <w:autoSpaceDN/>
        <w:bidi w:val="0"/>
        <w:adjustRightInd/>
        <w:snapToGrid/>
        <w:spacing w:line="560" w:lineRule="exact"/>
        <w:ind w:firstLine="321" w:firstLineChars="100"/>
        <w:jc w:val="both"/>
        <w:textAlignment w:val="auto"/>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b/>
          <w:bCs/>
          <w:color w:val="auto"/>
          <w:sz w:val="32"/>
          <w:highlight w:val="none"/>
          <w:lang w:val="en-US" w:eastAsia="zh-CN"/>
        </w:rPr>
      </w:pPr>
      <w:r>
        <w:rPr>
          <w:rFonts w:hint="eastAsia" w:ascii="仿宋_GB2312" w:hAnsi="仿宋_GB2312" w:eastAsia="仿宋_GB2312" w:cs="仿宋_GB2312"/>
          <w:sz w:val="32"/>
          <w:szCs w:val="32"/>
          <w:highlight w:val="none"/>
          <w:lang w:val="en-US" w:eastAsia="zh-CN"/>
        </w:rPr>
        <w:t>项目产出类指标包括产出数量、产出质量、产出时效、产出成本四方面的内容，由11个三级指标构成，权重分为40分，实际得分38分，得分率为95%。具体产出指标完成情况如下：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jc w:val="both"/>
        <w:textAlignment w:val="auto"/>
        <w:rPr>
          <w:rFonts w:hint="default" w:ascii="Times New Roman" w:hAnsi="Times New Roman" w:eastAsia="仿宋_GB2312" w:cs="Times New Roman"/>
          <w:b/>
          <w:bCs/>
          <w:color w:val="auto"/>
          <w:sz w:val="32"/>
          <w:highlight w:val="none"/>
          <w:lang w:val="en-US" w:eastAsia="zh-CN"/>
        </w:rPr>
      </w:pPr>
      <w:r>
        <w:rPr>
          <w:rFonts w:hint="eastAsia" w:eastAsia="仿宋_GB2312" w:cs="Times New Roman"/>
          <w:b/>
          <w:bCs/>
          <w:color w:val="auto"/>
          <w:sz w:val="32"/>
          <w:highlight w:val="none"/>
          <w:lang w:val="en-US" w:eastAsia="zh-CN"/>
        </w:rPr>
        <w:t>①.</w:t>
      </w:r>
      <w:r>
        <w:rPr>
          <w:rFonts w:hint="default" w:ascii="Times New Roman" w:hAnsi="Times New Roman" w:eastAsia="仿宋_GB2312" w:cs="Times New Roman"/>
          <w:b/>
          <w:bCs/>
          <w:color w:val="auto"/>
          <w:sz w:val="32"/>
          <w:highlight w:val="none"/>
          <w:lang w:val="en-US" w:eastAsia="zh-CN"/>
        </w:rPr>
        <w:t>数量指标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b w:val="0"/>
          <w:bCs w:val="0"/>
          <w:color w:val="auto"/>
          <w:kern w:val="2"/>
          <w:sz w:val="32"/>
          <w:szCs w:val="21"/>
          <w:highlight w:val="none"/>
          <w:lang w:val="en-US" w:eastAsia="zh-CN" w:bidi="ar-SA"/>
        </w:rPr>
      </w:pPr>
      <w:r>
        <w:rPr>
          <w:rFonts w:hint="eastAsia" w:eastAsia="仿宋_GB2312" w:cs="Times New Roman"/>
          <w:b w:val="0"/>
          <w:bCs w:val="0"/>
          <w:color w:val="auto"/>
          <w:kern w:val="2"/>
          <w:sz w:val="32"/>
          <w:szCs w:val="21"/>
          <w:highlight w:val="none"/>
          <w:lang w:val="en-US" w:eastAsia="zh-CN" w:bidi="ar-SA"/>
        </w:rPr>
        <w:t>指标1：</w:t>
      </w:r>
      <w:r>
        <w:rPr>
          <w:rFonts w:hint="eastAsia" w:ascii="Times New Roman" w:hAnsi="Times New Roman" w:eastAsia="仿宋_GB2312" w:cs="Times New Roman"/>
          <w:b w:val="0"/>
          <w:bCs w:val="0"/>
          <w:color w:val="auto"/>
          <w:kern w:val="2"/>
          <w:sz w:val="32"/>
          <w:szCs w:val="21"/>
          <w:highlight w:val="none"/>
          <w:lang w:val="en-US" w:eastAsia="zh-CN" w:bidi="ar-SA"/>
        </w:rPr>
        <w:t>奖励专精特新“小巨人”企业数量指标值为10家，实际奖励专精特新“小巨人”企业数量指标值为13家，</w:t>
      </w:r>
      <w:r>
        <w:rPr>
          <w:rFonts w:hint="default" w:ascii="Times New Roman" w:hAnsi="Times New Roman" w:eastAsia="仿宋_GB2312" w:cs="Times New Roman"/>
          <w:color w:val="auto"/>
          <w:kern w:val="2"/>
          <w:sz w:val="32"/>
          <w:szCs w:val="21"/>
          <w:highlight w:val="none"/>
          <w:lang w:val="en-US" w:eastAsia="zh-CN" w:bidi="ar-SA"/>
        </w:rPr>
        <w:t>完成绩效目标</w:t>
      </w:r>
      <w:r>
        <w:rPr>
          <w:rFonts w:hint="eastAsia" w:ascii="Times New Roman" w:hAnsi="Times New Roman" w:eastAsia="仿宋_GB2312" w:cs="Times New Roman"/>
          <w:color w:val="auto"/>
          <w:kern w:val="2"/>
          <w:sz w:val="32"/>
          <w:szCs w:val="21"/>
          <w:highlight w:val="none"/>
          <w:lang w:val="en-US" w:eastAsia="zh-CN" w:bidi="ar-SA"/>
        </w:rPr>
        <w:t>130</w:t>
      </w:r>
      <w:r>
        <w:rPr>
          <w:rFonts w:hint="default" w:ascii="Times New Roman" w:hAnsi="Times New Roman" w:eastAsia="仿宋_GB2312" w:cs="Times New Roman"/>
          <w:color w:val="auto"/>
          <w:kern w:val="2"/>
          <w:sz w:val="32"/>
          <w:szCs w:val="21"/>
          <w:highlight w:val="none"/>
          <w:lang w:val="en-US" w:eastAsia="zh-CN" w:bidi="ar-SA"/>
        </w:rPr>
        <w:t>%</w:t>
      </w:r>
      <w:r>
        <w:rPr>
          <w:rFonts w:hint="eastAsia" w:ascii="Times New Roman" w:hAnsi="Times New Roman" w:eastAsia="仿宋_GB2312" w:cs="Times New Roman"/>
          <w:color w:val="auto"/>
          <w:kern w:val="2"/>
          <w:sz w:val="32"/>
          <w:szCs w:val="21"/>
          <w:highlight w:val="none"/>
          <w:lang w:val="en-US" w:eastAsia="zh-CN" w:bidi="ar-SA"/>
        </w:rPr>
        <w:t>，</w:t>
      </w:r>
      <w:r>
        <w:rPr>
          <w:rFonts w:hint="default" w:ascii="Times New Roman" w:hAnsi="Times New Roman" w:eastAsia="仿宋_GB2312" w:cs="Times New Roman"/>
          <w:color w:val="auto"/>
          <w:kern w:val="2"/>
          <w:sz w:val="32"/>
          <w:szCs w:val="21"/>
          <w:highlight w:val="none"/>
          <w:lang w:val="en-US" w:eastAsia="zh-CN" w:bidi="ar-SA"/>
        </w:rPr>
        <w:t>偏差率</w:t>
      </w:r>
      <w:r>
        <w:rPr>
          <w:rFonts w:hint="eastAsia" w:ascii="Times New Roman" w:hAnsi="Times New Roman" w:eastAsia="仿宋_GB2312" w:cs="Times New Roman"/>
          <w:color w:val="auto"/>
          <w:kern w:val="2"/>
          <w:sz w:val="32"/>
          <w:szCs w:val="21"/>
          <w:highlight w:val="none"/>
          <w:lang w:val="en-US" w:eastAsia="zh-CN" w:bidi="ar-SA"/>
        </w:rPr>
        <w:t>30</w:t>
      </w:r>
      <w:r>
        <w:rPr>
          <w:rFonts w:hint="default" w:ascii="Times New Roman" w:hAnsi="Times New Roman" w:eastAsia="仿宋_GB2312" w:cs="Times New Roman"/>
          <w:color w:val="auto"/>
          <w:kern w:val="2"/>
          <w:sz w:val="32"/>
          <w:szCs w:val="21"/>
          <w:highlight w:val="none"/>
          <w:lang w:val="en-US" w:eastAsia="zh-CN" w:bidi="ar-SA"/>
        </w:rPr>
        <w:t>%。偏差原因是</w:t>
      </w:r>
      <w:r>
        <w:rPr>
          <w:rFonts w:hint="eastAsia" w:eastAsia="仿宋_GB2312" w:cs="Times New Roman"/>
          <w:color w:val="auto"/>
          <w:kern w:val="2"/>
          <w:sz w:val="32"/>
          <w:szCs w:val="21"/>
          <w:highlight w:val="none"/>
          <w:lang w:val="en-US" w:eastAsia="zh-CN" w:bidi="ar-SA"/>
        </w:rPr>
        <w:t>：</w:t>
      </w:r>
      <w:r>
        <w:rPr>
          <w:rFonts w:hint="default" w:ascii="Times New Roman" w:hAnsi="Times New Roman" w:eastAsia="仿宋_GB2312" w:cs="Times New Roman"/>
          <w:color w:val="auto"/>
          <w:kern w:val="2"/>
          <w:sz w:val="32"/>
          <w:szCs w:val="21"/>
          <w:highlight w:val="none"/>
          <w:lang w:val="en-US" w:eastAsia="zh-CN" w:bidi="ar-SA"/>
        </w:rPr>
        <w:t>根据《自治区扶持专精特新中小企业倍增培育行动计划（2023－2025年）》，对新疆特变电工自控设备有限公司、新疆格瑞迪斯石油技术股份有限公司、新疆胡杨线缆制造有限公司3家重点小巨人进行了奖励。</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b w:val="0"/>
          <w:bCs w:val="0"/>
          <w:color w:val="auto"/>
          <w:kern w:val="2"/>
          <w:sz w:val="32"/>
          <w:szCs w:val="21"/>
          <w:highlight w:val="none"/>
          <w:lang w:val="en-US" w:eastAsia="zh-CN" w:bidi="ar-SA"/>
        </w:rPr>
      </w:pPr>
      <w:r>
        <w:rPr>
          <w:rFonts w:hint="eastAsia" w:eastAsia="仿宋_GB2312" w:cs="Times New Roman"/>
          <w:b w:val="0"/>
          <w:bCs w:val="0"/>
          <w:color w:val="auto"/>
          <w:kern w:val="2"/>
          <w:sz w:val="32"/>
          <w:szCs w:val="21"/>
          <w:highlight w:val="none"/>
          <w:lang w:val="en-US" w:eastAsia="zh-CN" w:bidi="ar-SA"/>
        </w:rPr>
        <w:t>指标2：</w:t>
      </w:r>
      <w:r>
        <w:rPr>
          <w:rFonts w:hint="eastAsia" w:ascii="Times New Roman" w:hAnsi="Times New Roman" w:eastAsia="仿宋_GB2312" w:cs="Times New Roman"/>
          <w:b w:val="0"/>
          <w:bCs w:val="0"/>
          <w:color w:val="auto"/>
          <w:kern w:val="2"/>
          <w:sz w:val="32"/>
          <w:szCs w:val="21"/>
          <w:highlight w:val="none"/>
          <w:lang w:val="en-US" w:eastAsia="zh-CN" w:bidi="ar-SA"/>
        </w:rPr>
        <w:t>奖励自治区专精特新中小企业数量指标值为80家，实际奖励自治区专精特新中小企业数量指标值为123家，</w:t>
      </w:r>
      <w:r>
        <w:rPr>
          <w:rFonts w:hint="default" w:ascii="Times New Roman" w:hAnsi="Times New Roman" w:eastAsia="仿宋_GB2312" w:cs="Times New Roman"/>
          <w:color w:val="auto"/>
          <w:kern w:val="2"/>
          <w:sz w:val="32"/>
          <w:szCs w:val="21"/>
          <w:highlight w:val="none"/>
          <w:lang w:val="en-US" w:eastAsia="zh-CN" w:bidi="ar-SA"/>
        </w:rPr>
        <w:t>完成绩效目标</w:t>
      </w:r>
      <w:r>
        <w:rPr>
          <w:rFonts w:hint="eastAsia" w:ascii="Times New Roman" w:hAnsi="Times New Roman" w:eastAsia="仿宋_GB2312" w:cs="Times New Roman"/>
          <w:color w:val="auto"/>
          <w:kern w:val="2"/>
          <w:sz w:val="32"/>
          <w:szCs w:val="21"/>
          <w:highlight w:val="none"/>
          <w:lang w:val="en-US" w:eastAsia="zh-CN" w:bidi="ar-SA"/>
        </w:rPr>
        <w:t>153.75</w:t>
      </w:r>
      <w:r>
        <w:rPr>
          <w:rFonts w:hint="default" w:ascii="Times New Roman" w:hAnsi="Times New Roman" w:eastAsia="仿宋_GB2312" w:cs="Times New Roman"/>
          <w:color w:val="auto"/>
          <w:kern w:val="2"/>
          <w:sz w:val="32"/>
          <w:szCs w:val="21"/>
          <w:highlight w:val="none"/>
          <w:lang w:val="en-US" w:eastAsia="zh-CN" w:bidi="ar-SA"/>
        </w:rPr>
        <w:t>%</w:t>
      </w:r>
      <w:r>
        <w:rPr>
          <w:rFonts w:hint="eastAsia" w:ascii="Times New Roman" w:hAnsi="Times New Roman" w:eastAsia="仿宋_GB2312" w:cs="Times New Roman"/>
          <w:color w:val="auto"/>
          <w:kern w:val="2"/>
          <w:sz w:val="32"/>
          <w:szCs w:val="21"/>
          <w:highlight w:val="none"/>
          <w:lang w:val="en-US" w:eastAsia="zh-CN" w:bidi="ar-SA"/>
        </w:rPr>
        <w:t>，</w:t>
      </w:r>
      <w:r>
        <w:rPr>
          <w:rFonts w:hint="default" w:ascii="Times New Roman" w:hAnsi="Times New Roman" w:eastAsia="仿宋_GB2312" w:cs="Times New Roman"/>
          <w:color w:val="auto"/>
          <w:kern w:val="2"/>
          <w:sz w:val="32"/>
          <w:szCs w:val="21"/>
          <w:highlight w:val="none"/>
          <w:lang w:val="en-US" w:eastAsia="zh-CN" w:bidi="ar-SA"/>
        </w:rPr>
        <w:t>偏差率</w:t>
      </w:r>
      <w:r>
        <w:rPr>
          <w:rFonts w:hint="eastAsia" w:ascii="Times New Roman" w:hAnsi="Times New Roman" w:eastAsia="仿宋_GB2312" w:cs="Times New Roman"/>
          <w:color w:val="auto"/>
          <w:kern w:val="2"/>
          <w:sz w:val="32"/>
          <w:szCs w:val="21"/>
          <w:highlight w:val="none"/>
          <w:lang w:val="en-US" w:eastAsia="zh-CN" w:bidi="ar-SA"/>
        </w:rPr>
        <w:t>53.75</w:t>
      </w:r>
      <w:r>
        <w:rPr>
          <w:rFonts w:hint="default" w:ascii="Times New Roman" w:hAnsi="Times New Roman" w:eastAsia="仿宋_GB2312" w:cs="Times New Roman"/>
          <w:color w:val="auto"/>
          <w:kern w:val="2"/>
          <w:sz w:val="32"/>
          <w:szCs w:val="21"/>
          <w:highlight w:val="none"/>
          <w:lang w:val="en-US" w:eastAsia="zh-CN" w:bidi="ar-SA"/>
        </w:rPr>
        <w:t>%。偏差原因是</w:t>
      </w:r>
      <w:r>
        <w:rPr>
          <w:rFonts w:hint="eastAsia" w:eastAsia="仿宋_GB2312" w:cs="Times New Roman"/>
          <w:color w:val="auto"/>
          <w:kern w:val="2"/>
          <w:sz w:val="32"/>
          <w:szCs w:val="21"/>
          <w:highlight w:val="none"/>
          <w:lang w:val="en-US" w:eastAsia="zh-CN" w:bidi="ar-SA"/>
        </w:rPr>
        <w:t>：</w:t>
      </w:r>
      <w:r>
        <w:rPr>
          <w:rFonts w:hint="default" w:ascii="Times New Roman" w:hAnsi="Times New Roman" w:eastAsia="仿宋_GB2312" w:cs="Times New Roman"/>
          <w:color w:val="auto"/>
          <w:kern w:val="2"/>
          <w:sz w:val="32"/>
          <w:szCs w:val="21"/>
          <w:highlight w:val="none"/>
          <w:lang w:val="en-US" w:eastAsia="zh-CN" w:bidi="ar-SA"/>
        </w:rPr>
        <w:t>自治区推动出台《自治区扶持专精特新中小企业倍增培育行动计划》，加强梯度培育用好政策资金、加大技术支持推动科技创新、加大市场开拓增强发展动力、强化数字赋能提升应用水平、夯实金融支撑激发发展活力、加强品牌管理实现质量提升、优化要素保障实现强企业增效等七个方面20项任务加大对专精特新企业的培育，专精特新企业数量增长较快。</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b w:val="0"/>
          <w:bCs w:val="0"/>
          <w:color w:val="auto"/>
          <w:kern w:val="2"/>
          <w:sz w:val="32"/>
          <w:szCs w:val="21"/>
          <w:highlight w:val="none"/>
          <w:lang w:val="en-US" w:eastAsia="zh-CN" w:bidi="ar-SA"/>
        </w:rPr>
      </w:pPr>
      <w:r>
        <w:rPr>
          <w:rFonts w:hint="eastAsia" w:eastAsia="仿宋_GB2312" w:cs="Times New Roman"/>
          <w:b w:val="0"/>
          <w:bCs w:val="0"/>
          <w:color w:val="auto"/>
          <w:kern w:val="2"/>
          <w:sz w:val="32"/>
          <w:szCs w:val="21"/>
          <w:highlight w:val="none"/>
          <w:lang w:val="en-US" w:eastAsia="zh-CN" w:bidi="ar-SA"/>
        </w:rPr>
        <w:t>指标3：</w:t>
      </w:r>
      <w:r>
        <w:rPr>
          <w:rFonts w:hint="eastAsia" w:ascii="Times New Roman" w:hAnsi="Times New Roman" w:eastAsia="仿宋_GB2312" w:cs="Times New Roman"/>
          <w:b w:val="0"/>
          <w:bCs w:val="0"/>
          <w:color w:val="auto"/>
          <w:kern w:val="2"/>
          <w:sz w:val="32"/>
          <w:szCs w:val="21"/>
          <w:highlight w:val="none"/>
          <w:lang w:val="en-US" w:eastAsia="zh-CN" w:bidi="ar-SA"/>
        </w:rPr>
        <w:t>组织举办“创客中国”创新创业大赛新疆区域赛各级赛事数量指标值为16场，实际组织举办“创客中国”创新创业大赛新疆区域赛各级赛事数量指标值为18场，</w:t>
      </w:r>
      <w:r>
        <w:rPr>
          <w:rFonts w:hint="default" w:ascii="Times New Roman" w:hAnsi="Times New Roman" w:eastAsia="仿宋_GB2312" w:cs="Times New Roman"/>
          <w:color w:val="auto"/>
          <w:kern w:val="2"/>
          <w:sz w:val="32"/>
          <w:szCs w:val="21"/>
          <w:highlight w:val="none"/>
          <w:lang w:val="en-US" w:eastAsia="zh-CN" w:bidi="ar-SA"/>
        </w:rPr>
        <w:t>完成绩效目标1</w:t>
      </w:r>
      <w:r>
        <w:rPr>
          <w:rFonts w:hint="eastAsia" w:ascii="Times New Roman" w:hAnsi="Times New Roman" w:eastAsia="仿宋_GB2312" w:cs="Times New Roman"/>
          <w:color w:val="auto"/>
          <w:kern w:val="2"/>
          <w:sz w:val="32"/>
          <w:szCs w:val="21"/>
          <w:highlight w:val="none"/>
          <w:lang w:val="en-US" w:eastAsia="zh-CN" w:bidi="ar-SA"/>
        </w:rPr>
        <w:t>12.5</w:t>
      </w:r>
      <w:r>
        <w:rPr>
          <w:rFonts w:hint="default" w:ascii="Times New Roman" w:hAnsi="Times New Roman" w:eastAsia="仿宋_GB2312" w:cs="Times New Roman"/>
          <w:color w:val="auto"/>
          <w:kern w:val="2"/>
          <w:sz w:val="32"/>
          <w:szCs w:val="21"/>
          <w:highlight w:val="none"/>
          <w:lang w:val="en-US" w:eastAsia="zh-CN" w:bidi="ar-SA"/>
        </w:rPr>
        <w:t>%</w:t>
      </w:r>
      <w:r>
        <w:rPr>
          <w:rFonts w:hint="eastAsia" w:ascii="Times New Roman" w:hAnsi="Times New Roman" w:eastAsia="仿宋_GB2312" w:cs="Times New Roman"/>
          <w:color w:val="auto"/>
          <w:kern w:val="2"/>
          <w:sz w:val="32"/>
          <w:szCs w:val="21"/>
          <w:highlight w:val="none"/>
          <w:lang w:val="en-US" w:eastAsia="zh-CN" w:bidi="ar-SA"/>
        </w:rPr>
        <w:t>，</w:t>
      </w:r>
      <w:r>
        <w:rPr>
          <w:rFonts w:hint="default" w:ascii="Times New Roman" w:hAnsi="Times New Roman" w:eastAsia="仿宋_GB2312" w:cs="Times New Roman"/>
          <w:color w:val="auto"/>
          <w:kern w:val="2"/>
          <w:sz w:val="32"/>
          <w:szCs w:val="21"/>
          <w:highlight w:val="none"/>
          <w:lang w:val="en-US" w:eastAsia="zh-CN" w:bidi="ar-SA"/>
        </w:rPr>
        <w:t>偏差率</w:t>
      </w:r>
      <w:r>
        <w:rPr>
          <w:rFonts w:hint="eastAsia" w:ascii="Times New Roman" w:hAnsi="Times New Roman" w:eastAsia="仿宋_GB2312" w:cs="Times New Roman"/>
          <w:color w:val="auto"/>
          <w:kern w:val="2"/>
          <w:sz w:val="32"/>
          <w:szCs w:val="21"/>
          <w:highlight w:val="none"/>
          <w:lang w:val="en-US" w:eastAsia="zh-CN" w:bidi="ar-SA"/>
        </w:rPr>
        <w:t>12.5</w:t>
      </w:r>
      <w:r>
        <w:rPr>
          <w:rFonts w:hint="default" w:ascii="Times New Roman" w:hAnsi="Times New Roman" w:eastAsia="仿宋_GB2312" w:cs="Times New Roman"/>
          <w:color w:val="auto"/>
          <w:kern w:val="2"/>
          <w:sz w:val="32"/>
          <w:szCs w:val="21"/>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auto"/>
          <w:kern w:val="2"/>
          <w:sz w:val="32"/>
          <w:szCs w:val="21"/>
          <w:highlight w:val="none"/>
          <w:lang w:val="en-US" w:eastAsia="zh-CN" w:bidi="ar-SA"/>
        </w:rPr>
      </w:pPr>
      <w:r>
        <w:rPr>
          <w:rFonts w:hint="eastAsia" w:eastAsia="仿宋_GB2312" w:cs="Times New Roman"/>
          <w:b w:val="0"/>
          <w:bCs w:val="0"/>
          <w:color w:val="auto"/>
          <w:kern w:val="2"/>
          <w:sz w:val="32"/>
          <w:szCs w:val="21"/>
          <w:highlight w:val="none"/>
          <w:lang w:val="en-US" w:eastAsia="zh-CN" w:bidi="ar-SA"/>
        </w:rPr>
        <w:t>指标4：</w:t>
      </w:r>
      <w:r>
        <w:rPr>
          <w:rFonts w:hint="eastAsia" w:ascii="Times New Roman" w:hAnsi="Times New Roman" w:eastAsia="仿宋_GB2312" w:cs="Times New Roman"/>
          <w:b w:val="0"/>
          <w:bCs w:val="0"/>
          <w:color w:val="auto"/>
          <w:kern w:val="2"/>
          <w:sz w:val="32"/>
          <w:szCs w:val="21"/>
          <w:highlight w:val="none"/>
          <w:lang w:val="en-US" w:eastAsia="zh-CN" w:bidi="ar-SA"/>
        </w:rPr>
        <w:t>组织参加第十八届中博会企业数量指标值为40家，实际组织参加第十八届中博会企业数量指标值为</w:t>
      </w:r>
      <w:r>
        <w:rPr>
          <w:rFonts w:hint="eastAsia" w:eastAsia="仿宋_GB2312" w:cs="Times New Roman"/>
          <w:b w:val="0"/>
          <w:bCs w:val="0"/>
          <w:color w:val="auto"/>
          <w:kern w:val="2"/>
          <w:sz w:val="32"/>
          <w:szCs w:val="21"/>
          <w:highlight w:val="none"/>
          <w:lang w:val="en-US" w:eastAsia="zh-CN" w:bidi="ar-SA"/>
        </w:rPr>
        <w:t>40</w:t>
      </w:r>
      <w:r>
        <w:rPr>
          <w:rFonts w:hint="eastAsia" w:ascii="Times New Roman" w:hAnsi="Times New Roman" w:eastAsia="仿宋_GB2312" w:cs="Times New Roman"/>
          <w:b w:val="0"/>
          <w:bCs w:val="0"/>
          <w:color w:val="auto"/>
          <w:kern w:val="2"/>
          <w:sz w:val="32"/>
          <w:szCs w:val="21"/>
          <w:highlight w:val="none"/>
          <w:lang w:val="en-US" w:eastAsia="zh-CN" w:bidi="ar-SA"/>
        </w:rPr>
        <w:t>家，</w:t>
      </w:r>
      <w:r>
        <w:rPr>
          <w:rFonts w:hint="default" w:ascii="Times New Roman" w:hAnsi="Times New Roman" w:eastAsia="仿宋_GB2312" w:cs="Times New Roman"/>
          <w:color w:val="auto"/>
          <w:kern w:val="2"/>
          <w:sz w:val="32"/>
          <w:szCs w:val="21"/>
          <w:highlight w:val="none"/>
          <w:lang w:val="en-US" w:eastAsia="zh-CN" w:bidi="ar-SA"/>
        </w:rPr>
        <w:t>完成绩效目标</w:t>
      </w:r>
      <w:r>
        <w:rPr>
          <w:rFonts w:hint="eastAsia" w:eastAsia="仿宋_GB2312" w:cs="Times New Roman"/>
          <w:color w:val="auto"/>
          <w:kern w:val="2"/>
          <w:sz w:val="32"/>
          <w:szCs w:val="21"/>
          <w:highlight w:val="none"/>
          <w:lang w:val="en-US" w:eastAsia="zh-CN" w:bidi="ar-SA"/>
        </w:rPr>
        <w:t>100</w:t>
      </w:r>
      <w:r>
        <w:rPr>
          <w:rFonts w:hint="default" w:ascii="Times New Roman" w:hAnsi="Times New Roman" w:eastAsia="仿宋_GB2312" w:cs="Times New Roman"/>
          <w:color w:val="auto"/>
          <w:kern w:val="2"/>
          <w:sz w:val="32"/>
          <w:szCs w:val="21"/>
          <w:highlight w:val="none"/>
          <w:lang w:val="en-US" w:eastAsia="zh-CN" w:bidi="ar-SA"/>
        </w:rPr>
        <w:t>%</w:t>
      </w:r>
      <w:r>
        <w:rPr>
          <w:rFonts w:hint="eastAsia" w:ascii="Times New Roman" w:hAnsi="Times New Roman" w:eastAsia="仿宋_GB2312" w:cs="Times New Roman"/>
          <w:color w:val="auto"/>
          <w:kern w:val="2"/>
          <w:sz w:val="32"/>
          <w:szCs w:val="21"/>
          <w:highlight w:val="none"/>
          <w:lang w:val="en-US" w:eastAsia="zh-CN" w:bidi="ar-SA"/>
        </w:rPr>
        <w:t>，</w:t>
      </w:r>
      <w:r>
        <w:rPr>
          <w:rFonts w:hint="default" w:ascii="Times New Roman" w:hAnsi="Times New Roman" w:eastAsia="仿宋_GB2312" w:cs="Times New Roman"/>
          <w:color w:val="auto"/>
          <w:kern w:val="2"/>
          <w:sz w:val="32"/>
          <w:szCs w:val="21"/>
          <w:highlight w:val="none"/>
          <w:lang w:val="en-US" w:eastAsia="zh-CN" w:bidi="ar-SA"/>
        </w:rPr>
        <w:t>偏差率</w:t>
      </w:r>
      <w:r>
        <w:rPr>
          <w:rFonts w:hint="eastAsia" w:eastAsia="仿宋_GB2312" w:cs="Times New Roman"/>
          <w:color w:val="auto"/>
          <w:kern w:val="2"/>
          <w:sz w:val="32"/>
          <w:szCs w:val="21"/>
          <w:highlight w:val="none"/>
          <w:lang w:val="en-US" w:eastAsia="zh-CN" w:bidi="ar-SA"/>
        </w:rPr>
        <w:t>0</w:t>
      </w:r>
      <w:r>
        <w:rPr>
          <w:rFonts w:hint="default" w:ascii="Times New Roman" w:hAnsi="Times New Roman" w:eastAsia="仿宋_GB2312" w:cs="Times New Roman"/>
          <w:color w:val="auto"/>
          <w:kern w:val="2"/>
          <w:sz w:val="32"/>
          <w:szCs w:val="21"/>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auto"/>
          <w:kern w:val="2"/>
          <w:sz w:val="32"/>
          <w:szCs w:val="21"/>
          <w:highlight w:val="none"/>
          <w:lang w:val="en-US" w:eastAsia="zh-CN" w:bidi="ar-SA"/>
        </w:rPr>
      </w:pPr>
      <w:r>
        <w:rPr>
          <w:rFonts w:hint="eastAsia" w:eastAsia="仿宋_GB2312" w:cs="Times New Roman"/>
          <w:b w:val="0"/>
          <w:bCs w:val="0"/>
          <w:color w:val="auto"/>
          <w:kern w:val="2"/>
          <w:sz w:val="32"/>
          <w:szCs w:val="21"/>
          <w:highlight w:val="none"/>
          <w:lang w:val="en-US" w:eastAsia="zh-CN" w:bidi="ar-SA"/>
        </w:rPr>
        <w:t>指标5：</w:t>
      </w:r>
      <w:r>
        <w:rPr>
          <w:rFonts w:hint="eastAsia" w:ascii="Times New Roman" w:hAnsi="Times New Roman" w:eastAsia="仿宋_GB2312" w:cs="Times New Roman"/>
          <w:b w:val="0"/>
          <w:bCs w:val="0"/>
          <w:color w:val="auto"/>
          <w:kern w:val="2"/>
          <w:sz w:val="32"/>
          <w:szCs w:val="21"/>
          <w:highlight w:val="none"/>
          <w:lang w:val="en-US" w:eastAsia="zh-CN" w:bidi="ar-SA"/>
        </w:rPr>
        <w:t>组织参加第十二届APEC技展会企业数量指标值为30家，实际组织参加第十二届APEC技展会企业数量指标值为</w:t>
      </w:r>
      <w:r>
        <w:rPr>
          <w:rFonts w:hint="eastAsia" w:eastAsia="仿宋_GB2312" w:cs="Times New Roman"/>
          <w:b w:val="0"/>
          <w:bCs w:val="0"/>
          <w:color w:val="auto"/>
          <w:kern w:val="2"/>
          <w:sz w:val="32"/>
          <w:szCs w:val="21"/>
          <w:highlight w:val="none"/>
          <w:lang w:val="en-US" w:eastAsia="zh-CN" w:bidi="ar-SA"/>
        </w:rPr>
        <w:t>31</w:t>
      </w:r>
      <w:r>
        <w:rPr>
          <w:rFonts w:hint="eastAsia" w:ascii="Times New Roman" w:hAnsi="Times New Roman" w:eastAsia="仿宋_GB2312" w:cs="Times New Roman"/>
          <w:b w:val="0"/>
          <w:bCs w:val="0"/>
          <w:color w:val="auto"/>
          <w:kern w:val="2"/>
          <w:sz w:val="32"/>
          <w:szCs w:val="21"/>
          <w:highlight w:val="none"/>
          <w:lang w:val="en-US" w:eastAsia="zh-CN" w:bidi="ar-SA"/>
        </w:rPr>
        <w:t>家，</w:t>
      </w:r>
      <w:r>
        <w:rPr>
          <w:rFonts w:hint="default" w:ascii="Times New Roman" w:hAnsi="Times New Roman" w:eastAsia="仿宋_GB2312" w:cs="Times New Roman"/>
          <w:color w:val="auto"/>
          <w:kern w:val="2"/>
          <w:sz w:val="32"/>
          <w:szCs w:val="21"/>
          <w:highlight w:val="none"/>
          <w:lang w:val="en-US" w:eastAsia="zh-CN" w:bidi="ar-SA"/>
        </w:rPr>
        <w:t>完成绩效目标</w:t>
      </w:r>
      <w:r>
        <w:rPr>
          <w:rFonts w:hint="eastAsia" w:eastAsia="仿宋_GB2312" w:cs="Times New Roman"/>
          <w:color w:val="auto"/>
          <w:kern w:val="2"/>
          <w:sz w:val="32"/>
          <w:szCs w:val="21"/>
          <w:highlight w:val="none"/>
          <w:lang w:val="en-US" w:eastAsia="zh-CN" w:bidi="ar-SA"/>
        </w:rPr>
        <w:t>103</w:t>
      </w:r>
      <w:r>
        <w:rPr>
          <w:rFonts w:hint="default" w:ascii="Times New Roman" w:hAnsi="Times New Roman" w:eastAsia="仿宋_GB2312" w:cs="Times New Roman"/>
          <w:color w:val="auto"/>
          <w:kern w:val="2"/>
          <w:sz w:val="32"/>
          <w:szCs w:val="21"/>
          <w:highlight w:val="none"/>
          <w:lang w:val="en-US" w:eastAsia="zh-CN" w:bidi="ar-SA"/>
        </w:rPr>
        <w:t>%</w:t>
      </w:r>
      <w:r>
        <w:rPr>
          <w:rFonts w:hint="eastAsia" w:ascii="Times New Roman" w:hAnsi="Times New Roman" w:eastAsia="仿宋_GB2312" w:cs="Times New Roman"/>
          <w:color w:val="auto"/>
          <w:kern w:val="2"/>
          <w:sz w:val="32"/>
          <w:szCs w:val="21"/>
          <w:highlight w:val="none"/>
          <w:lang w:val="en-US" w:eastAsia="zh-CN" w:bidi="ar-SA"/>
        </w:rPr>
        <w:t>，</w:t>
      </w:r>
      <w:r>
        <w:rPr>
          <w:rFonts w:hint="default" w:ascii="Times New Roman" w:hAnsi="Times New Roman" w:eastAsia="仿宋_GB2312" w:cs="Times New Roman"/>
          <w:color w:val="auto"/>
          <w:kern w:val="2"/>
          <w:sz w:val="32"/>
          <w:szCs w:val="21"/>
          <w:highlight w:val="none"/>
          <w:lang w:val="en-US" w:eastAsia="zh-CN" w:bidi="ar-SA"/>
        </w:rPr>
        <w:t>偏差率</w:t>
      </w:r>
      <w:r>
        <w:rPr>
          <w:rFonts w:hint="eastAsia" w:ascii="Times New Roman" w:hAnsi="Times New Roman" w:eastAsia="仿宋_GB2312" w:cs="Times New Roman"/>
          <w:color w:val="auto"/>
          <w:kern w:val="2"/>
          <w:sz w:val="32"/>
          <w:szCs w:val="21"/>
          <w:highlight w:val="none"/>
          <w:lang w:val="en-US" w:eastAsia="zh-CN" w:bidi="ar-SA"/>
        </w:rPr>
        <w:t>3</w:t>
      </w:r>
      <w:r>
        <w:rPr>
          <w:rFonts w:hint="default" w:ascii="Times New Roman" w:hAnsi="Times New Roman" w:eastAsia="仿宋_GB2312" w:cs="Times New Roman"/>
          <w:color w:val="auto"/>
          <w:kern w:val="2"/>
          <w:sz w:val="32"/>
          <w:szCs w:val="21"/>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b w:val="0"/>
          <w:bCs w:val="0"/>
          <w:color w:val="auto"/>
          <w:kern w:val="2"/>
          <w:sz w:val="32"/>
          <w:szCs w:val="21"/>
          <w:highlight w:val="none"/>
          <w:lang w:val="en-US" w:eastAsia="zh-CN" w:bidi="ar-SA"/>
        </w:rPr>
      </w:pPr>
      <w:r>
        <w:rPr>
          <w:rFonts w:hint="eastAsia" w:eastAsia="仿宋_GB2312" w:cs="Times New Roman"/>
          <w:b w:val="0"/>
          <w:bCs w:val="0"/>
          <w:color w:val="auto"/>
          <w:kern w:val="2"/>
          <w:sz w:val="32"/>
          <w:szCs w:val="21"/>
          <w:highlight w:val="none"/>
          <w:lang w:val="en-US" w:eastAsia="zh-CN" w:bidi="ar-SA"/>
        </w:rPr>
        <w:t>指标6：</w:t>
      </w:r>
      <w:r>
        <w:rPr>
          <w:rFonts w:hint="eastAsia" w:ascii="Times New Roman" w:hAnsi="Times New Roman" w:eastAsia="仿宋_GB2312" w:cs="Times New Roman"/>
          <w:b w:val="0"/>
          <w:bCs w:val="0"/>
          <w:color w:val="auto"/>
          <w:kern w:val="2"/>
          <w:sz w:val="32"/>
          <w:szCs w:val="21"/>
          <w:highlight w:val="none"/>
          <w:lang w:val="en-US" w:eastAsia="zh-CN" w:bidi="ar-SA"/>
        </w:rPr>
        <w:t>对全疆地州市进行中小企业发展环境评估的数量指标值为14个，</w:t>
      </w:r>
      <w:r>
        <w:rPr>
          <w:rFonts w:hint="eastAsia" w:ascii="Times New Roman" w:hAnsi="Times New Roman" w:eastAsia="仿宋_GB2312" w:cs="Times New Roman"/>
          <w:color w:val="auto"/>
          <w:kern w:val="2"/>
          <w:sz w:val="32"/>
          <w:szCs w:val="21"/>
          <w:highlight w:val="none"/>
          <w:lang w:val="en-US" w:eastAsia="zh-CN" w:bidi="ar-SA"/>
        </w:rPr>
        <w:t>实际</w:t>
      </w:r>
      <w:r>
        <w:rPr>
          <w:rFonts w:hint="default" w:ascii="Times New Roman" w:hAnsi="Times New Roman" w:eastAsia="仿宋_GB2312" w:cs="Times New Roman"/>
          <w:color w:val="auto"/>
          <w:kern w:val="2"/>
          <w:sz w:val="32"/>
          <w:szCs w:val="21"/>
          <w:highlight w:val="none"/>
          <w:lang w:val="en-US" w:eastAsia="zh-CN" w:bidi="ar-SA"/>
        </w:rPr>
        <w:t>对全疆地州市进行中小企业发展环境评估的14个，完成绩效目标100%</w:t>
      </w:r>
      <w:r>
        <w:rPr>
          <w:rFonts w:hint="eastAsia" w:ascii="Times New Roman" w:hAnsi="Times New Roman" w:eastAsia="仿宋_GB2312" w:cs="Times New Roman"/>
          <w:color w:val="auto"/>
          <w:kern w:val="2"/>
          <w:sz w:val="32"/>
          <w:szCs w:val="21"/>
          <w:highlight w:val="none"/>
          <w:lang w:val="en-US" w:eastAsia="zh-CN" w:bidi="ar-SA"/>
        </w:rPr>
        <w:t>，</w:t>
      </w:r>
      <w:r>
        <w:rPr>
          <w:rFonts w:hint="default" w:ascii="Times New Roman" w:hAnsi="Times New Roman" w:eastAsia="仿宋_GB2312" w:cs="Times New Roman"/>
          <w:color w:val="auto"/>
          <w:kern w:val="2"/>
          <w:sz w:val="32"/>
          <w:szCs w:val="21"/>
          <w:highlight w:val="none"/>
          <w:lang w:val="en-US" w:eastAsia="zh-CN" w:bidi="ar-SA"/>
        </w:rPr>
        <w:t>偏差率</w:t>
      </w:r>
      <w:r>
        <w:rPr>
          <w:rFonts w:hint="eastAsia" w:ascii="Times New Roman" w:hAnsi="Times New Roman" w:eastAsia="仿宋_GB2312" w:cs="Times New Roman"/>
          <w:color w:val="auto"/>
          <w:kern w:val="2"/>
          <w:sz w:val="32"/>
          <w:szCs w:val="21"/>
          <w:highlight w:val="none"/>
          <w:lang w:val="en-US" w:eastAsia="zh-CN" w:bidi="ar-SA"/>
        </w:rPr>
        <w:t>0</w:t>
      </w:r>
      <w:r>
        <w:rPr>
          <w:rFonts w:hint="default" w:ascii="Times New Roman" w:hAnsi="Times New Roman" w:eastAsia="仿宋_GB2312" w:cs="Times New Roman"/>
          <w:color w:val="auto"/>
          <w:kern w:val="2"/>
          <w:sz w:val="32"/>
          <w:szCs w:val="21"/>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b w:val="0"/>
          <w:bCs w:val="0"/>
          <w:color w:val="auto"/>
          <w:kern w:val="2"/>
          <w:sz w:val="32"/>
          <w:szCs w:val="21"/>
          <w:highlight w:val="none"/>
          <w:lang w:val="en-US" w:eastAsia="zh-CN" w:bidi="ar-SA"/>
        </w:rPr>
      </w:pPr>
      <w:r>
        <w:rPr>
          <w:rFonts w:hint="eastAsia" w:eastAsia="仿宋_GB2312" w:cs="Times New Roman"/>
          <w:b w:val="0"/>
          <w:bCs w:val="0"/>
          <w:color w:val="auto"/>
          <w:kern w:val="2"/>
          <w:sz w:val="32"/>
          <w:szCs w:val="21"/>
          <w:highlight w:val="none"/>
          <w:lang w:val="en-US" w:eastAsia="zh-CN" w:bidi="ar-SA"/>
        </w:rPr>
        <w:t>指标7：</w:t>
      </w:r>
      <w:r>
        <w:rPr>
          <w:rFonts w:hint="eastAsia" w:ascii="Times New Roman" w:hAnsi="Times New Roman" w:eastAsia="仿宋_GB2312" w:cs="Times New Roman"/>
          <w:b w:val="0"/>
          <w:bCs w:val="0"/>
          <w:color w:val="auto"/>
          <w:kern w:val="2"/>
          <w:sz w:val="32"/>
          <w:szCs w:val="21"/>
          <w:highlight w:val="none"/>
          <w:lang w:val="en-US" w:eastAsia="zh-CN" w:bidi="ar-SA"/>
        </w:rPr>
        <w:t>核查专项资金的实施地州市数量指标值为14个，实际核查专项资金的实施地州市14个，完成绩效目标100%，偏差率0%。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b w:val="0"/>
          <w:bCs w:val="0"/>
          <w:color w:val="auto"/>
          <w:kern w:val="2"/>
          <w:sz w:val="32"/>
          <w:szCs w:val="21"/>
          <w:highlight w:val="none"/>
          <w:lang w:val="en-US" w:eastAsia="zh-CN" w:bidi="ar-SA"/>
        </w:rPr>
      </w:pPr>
      <w:r>
        <w:rPr>
          <w:rFonts w:hint="eastAsia" w:eastAsia="仿宋_GB2312" w:cs="Times New Roman"/>
          <w:b w:val="0"/>
          <w:bCs w:val="0"/>
          <w:color w:val="auto"/>
          <w:kern w:val="2"/>
          <w:sz w:val="32"/>
          <w:szCs w:val="21"/>
          <w:highlight w:val="none"/>
          <w:lang w:val="en-US" w:eastAsia="zh-CN" w:bidi="ar-SA"/>
        </w:rPr>
        <w:t>指标8：纳入</w:t>
      </w:r>
      <w:r>
        <w:rPr>
          <w:rFonts w:hint="eastAsia" w:ascii="Times New Roman" w:hAnsi="Times New Roman" w:eastAsia="仿宋_GB2312" w:cs="Times New Roman"/>
          <w:b w:val="0"/>
          <w:bCs w:val="0"/>
          <w:color w:val="auto"/>
          <w:kern w:val="2"/>
          <w:sz w:val="32"/>
          <w:szCs w:val="21"/>
          <w:highlight w:val="none"/>
          <w:lang w:val="en-US" w:eastAsia="zh-CN" w:bidi="ar-SA"/>
        </w:rPr>
        <w:t>运行监测的企业数量指标值为500家，实际</w:t>
      </w:r>
      <w:r>
        <w:rPr>
          <w:rFonts w:hint="eastAsia" w:eastAsia="仿宋_GB2312" w:cs="Times New Roman"/>
          <w:b w:val="0"/>
          <w:bCs w:val="0"/>
          <w:color w:val="auto"/>
          <w:kern w:val="2"/>
          <w:sz w:val="32"/>
          <w:szCs w:val="21"/>
          <w:highlight w:val="none"/>
          <w:lang w:val="en-US" w:eastAsia="zh-CN" w:bidi="ar-SA"/>
        </w:rPr>
        <w:t>纳入</w:t>
      </w:r>
      <w:r>
        <w:rPr>
          <w:rFonts w:hint="eastAsia" w:ascii="Times New Roman" w:hAnsi="Times New Roman" w:eastAsia="仿宋_GB2312" w:cs="Times New Roman"/>
          <w:b w:val="0"/>
          <w:bCs w:val="0"/>
          <w:color w:val="auto"/>
          <w:kern w:val="2"/>
          <w:sz w:val="32"/>
          <w:szCs w:val="21"/>
          <w:highlight w:val="none"/>
          <w:lang w:val="en-US" w:eastAsia="zh-CN" w:bidi="ar-SA"/>
        </w:rPr>
        <w:t>运行监测的企业数量指标值为584家，</w:t>
      </w:r>
      <w:r>
        <w:rPr>
          <w:rFonts w:hint="default" w:ascii="Times New Roman" w:hAnsi="Times New Roman" w:eastAsia="仿宋_GB2312" w:cs="Times New Roman"/>
          <w:color w:val="auto"/>
          <w:kern w:val="2"/>
          <w:sz w:val="32"/>
          <w:szCs w:val="21"/>
          <w:highlight w:val="none"/>
          <w:lang w:val="en-US" w:eastAsia="zh-CN" w:bidi="ar-SA"/>
        </w:rPr>
        <w:t>完成绩效目标</w:t>
      </w:r>
      <w:r>
        <w:rPr>
          <w:rFonts w:hint="eastAsia" w:ascii="Times New Roman" w:hAnsi="Times New Roman" w:eastAsia="仿宋_GB2312" w:cs="Times New Roman"/>
          <w:color w:val="auto"/>
          <w:kern w:val="2"/>
          <w:sz w:val="32"/>
          <w:szCs w:val="21"/>
          <w:highlight w:val="none"/>
          <w:lang w:val="en-US" w:eastAsia="zh-CN" w:bidi="ar-SA"/>
        </w:rPr>
        <w:t>116.8</w:t>
      </w:r>
      <w:r>
        <w:rPr>
          <w:rFonts w:hint="default" w:ascii="Times New Roman" w:hAnsi="Times New Roman" w:eastAsia="仿宋_GB2312" w:cs="Times New Roman"/>
          <w:color w:val="auto"/>
          <w:kern w:val="2"/>
          <w:sz w:val="32"/>
          <w:szCs w:val="21"/>
          <w:highlight w:val="none"/>
          <w:lang w:val="en-US" w:eastAsia="zh-CN" w:bidi="ar-SA"/>
        </w:rPr>
        <w:t>%</w:t>
      </w:r>
      <w:r>
        <w:rPr>
          <w:rFonts w:hint="eastAsia" w:ascii="Times New Roman" w:hAnsi="Times New Roman" w:eastAsia="仿宋_GB2312" w:cs="Times New Roman"/>
          <w:color w:val="auto"/>
          <w:kern w:val="2"/>
          <w:sz w:val="32"/>
          <w:szCs w:val="21"/>
          <w:highlight w:val="none"/>
          <w:lang w:val="en-US" w:eastAsia="zh-CN" w:bidi="ar-SA"/>
        </w:rPr>
        <w:t>，</w:t>
      </w:r>
      <w:r>
        <w:rPr>
          <w:rFonts w:hint="default" w:ascii="Times New Roman" w:hAnsi="Times New Roman" w:eastAsia="仿宋_GB2312" w:cs="Times New Roman"/>
          <w:color w:val="auto"/>
          <w:kern w:val="2"/>
          <w:sz w:val="32"/>
          <w:szCs w:val="21"/>
          <w:highlight w:val="none"/>
          <w:lang w:val="en-US" w:eastAsia="zh-CN" w:bidi="ar-SA"/>
        </w:rPr>
        <w:t>偏差率</w:t>
      </w:r>
      <w:r>
        <w:rPr>
          <w:rFonts w:hint="eastAsia" w:ascii="Times New Roman" w:hAnsi="Times New Roman" w:eastAsia="仿宋_GB2312" w:cs="Times New Roman"/>
          <w:color w:val="auto"/>
          <w:kern w:val="2"/>
          <w:sz w:val="32"/>
          <w:szCs w:val="21"/>
          <w:highlight w:val="none"/>
          <w:lang w:val="en-US" w:eastAsia="zh-CN" w:bidi="ar-SA"/>
        </w:rPr>
        <w:t>16.8</w:t>
      </w:r>
      <w:r>
        <w:rPr>
          <w:rFonts w:hint="default" w:ascii="Times New Roman" w:hAnsi="Times New Roman" w:eastAsia="仿宋_GB2312" w:cs="Times New Roman"/>
          <w:color w:val="auto"/>
          <w:kern w:val="2"/>
          <w:sz w:val="32"/>
          <w:szCs w:val="21"/>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b w:val="0"/>
          <w:bCs w:val="0"/>
          <w:color w:val="auto"/>
          <w:kern w:val="2"/>
          <w:sz w:val="32"/>
          <w:szCs w:val="21"/>
          <w:highlight w:val="none"/>
          <w:lang w:val="en-US" w:eastAsia="zh-CN" w:bidi="ar-SA"/>
        </w:rPr>
      </w:pPr>
      <w:r>
        <w:rPr>
          <w:rFonts w:hint="eastAsia" w:eastAsia="仿宋_GB2312" w:cs="Times New Roman"/>
          <w:b w:val="0"/>
          <w:bCs w:val="0"/>
          <w:color w:val="auto"/>
          <w:kern w:val="2"/>
          <w:sz w:val="32"/>
          <w:szCs w:val="21"/>
          <w:highlight w:val="none"/>
          <w:lang w:val="en-US" w:eastAsia="zh-CN" w:bidi="ar-SA"/>
        </w:rPr>
        <w:t>指标9：</w:t>
      </w:r>
      <w:r>
        <w:rPr>
          <w:rFonts w:hint="eastAsia" w:ascii="Times New Roman" w:hAnsi="Times New Roman" w:eastAsia="仿宋_GB2312" w:cs="Times New Roman"/>
          <w:b w:val="0"/>
          <w:bCs w:val="0"/>
          <w:color w:val="auto"/>
          <w:kern w:val="2"/>
          <w:sz w:val="32"/>
          <w:szCs w:val="21"/>
          <w:highlight w:val="none"/>
          <w:lang w:val="en-US" w:eastAsia="zh-CN" w:bidi="ar-SA"/>
        </w:rPr>
        <w:t>申领中小企业服务券企业数量指标值为50家，实际申领中小企业服务券企业数量为64家，完成绩效目标128%，偏差率28%</w:t>
      </w:r>
      <w:r>
        <w:rPr>
          <w:rFonts w:hint="default" w:ascii="Times New Roman" w:hAnsi="Times New Roman" w:eastAsia="仿宋_GB2312" w:cs="Times New Roman"/>
          <w:color w:val="auto"/>
          <w:kern w:val="2"/>
          <w:sz w:val="32"/>
          <w:szCs w:val="21"/>
          <w:highlight w:val="none"/>
          <w:lang w:val="en-US" w:eastAsia="zh-CN" w:bidi="ar-SA"/>
        </w:rPr>
        <w:t>。偏差原因是</w:t>
      </w:r>
      <w:r>
        <w:rPr>
          <w:rFonts w:hint="eastAsia" w:eastAsia="仿宋_GB2312" w:cs="Times New Roman"/>
          <w:color w:val="auto"/>
          <w:kern w:val="2"/>
          <w:sz w:val="32"/>
          <w:szCs w:val="21"/>
          <w:highlight w:val="none"/>
          <w:lang w:val="en-US" w:eastAsia="zh-CN" w:bidi="ar-SA"/>
        </w:rPr>
        <w:t>：疫情后,中小企业对财税、知识产权、数字化转型、技术开发、体系认证、产品质量检验检测、项目申报、研发费用加计扣除等服务需求大幅增加。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b w:val="0"/>
          <w:bCs w:val="0"/>
          <w:color w:val="auto"/>
          <w:kern w:val="2"/>
          <w:sz w:val="32"/>
          <w:szCs w:val="21"/>
          <w:highlight w:val="none"/>
          <w:lang w:val="en-US" w:eastAsia="zh-CN" w:bidi="ar-SA"/>
        </w:rPr>
      </w:pPr>
      <w:r>
        <w:rPr>
          <w:rFonts w:hint="eastAsia" w:eastAsia="仿宋_GB2312" w:cs="Times New Roman"/>
          <w:b w:val="0"/>
          <w:bCs w:val="0"/>
          <w:color w:val="auto"/>
          <w:kern w:val="2"/>
          <w:sz w:val="32"/>
          <w:szCs w:val="21"/>
          <w:highlight w:val="none"/>
          <w:lang w:val="en-US" w:eastAsia="zh-CN" w:bidi="ar-SA"/>
        </w:rPr>
        <w:t>指标10：</w:t>
      </w:r>
      <w:r>
        <w:rPr>
          <w:rFonts w:hint="eastAsia" w:ascii="Times New Roman" w:hAnsi="Times New Roman" w:eastAsia="仿宋_GB2312" w:cs="Times New Roman"/>
          <w:b w:val="0"/>
          <w:bCs w:val="0"/>
          <w:color w:val="auto"/>
          <w:kern w:val="2"/>
          <w:sz w:val="32"/>
          <w:szCs w:val="21"/>
          <w:highlight w:val="none"/>
          <w:lang w:val="en-US" w:eastAsia="zh-CN" w:bidi="ar-SA"/>
        </w:rPr>
        <w:t>推送各类政策信息数量指标值为1500条，实际推送各类政策信息数量指标值为2337条，</w:t>
      </w:r>
      <w:r>
        <w:rPr>
          <w:rFonts w:hint="default" w:ascii="Times New Roman" w:hAnsi="Times New Roman" w:eastAsia="仿宋_GB2312" w:cs="Times New Roman"/>
          <w:color w:val="auto"/>
          <w:kern w:val="2"/>
          <w:sz w:val="32"/>
          <w:szCs w:val="21"/>
          <w:highlight w:val="none"/>
          <w:lang w:val="en-US" w:eastAsia="zh-CN" w:bidi="ar-SA"/>
        </w:rPr>
        <w:t>完成绩效目标</w:t>
      </w:r>
      <w:r>
        <w:rPr>
          <w:rFonts w:hint="eastAsia" w:ascii="Times New Roman" w:hAnsi="Times New Roman" w:eastAsia="仿宋_GB2312" w:cs="Times New Roman"/>
          <w:color w:val="auto"/>
          <w:kern w:val="2"/>
          <w:sz w:val="32"/>
          <w:szCs w:val="21"/>
          <w:highlight w:val="none"/>
          <w:lang w:val="en-US" w:eastAsia="zh-CN" w:bidi="ar-SA"/>
        </w:rPr>
        <w:t>155.8</w:t>
      </w:r>
      <w:r>
        <w:rPr>
          <w:rFonts w:hint="default" w:ascii="Times New Roman" w:hAnsi="Times New Roman" w:eastAsia="仿宋_GB2312" w:cs="Times New Roman"/>
          <w:color w:val="auto"/>
          <w:kern w:val="2"/>
          <w:sz w:val="32"/>
          <w:szCs w:val="21"/>
          <w:highlight w:val="none"/>
          <w:lang w:val="en-US" w:eastAsia="zh-CN" w:bidi="ar-SA"/>
        </w:rPr>
        <w:t>%</w:t>
      </w:r>
      <w:r>
        <w:rPr>
          <w:rFonts w:hint="eastAsia" w:ascii="Times New Roman" w:hAnsi="Times New Roman" w:eastAsia="仿宋_GB2312" w:cs="Times New Roman"/>
          <w:color w:val="auto"/>
          <w:kern w:val="2"/>
          <w:sz w:val="32"/>
          <w:szCs w:val="21"/>
          <w:highlight w:val="none"/>
          <w:lang w:val="en-US" w:eastAsia="zh-CN" w:bidi="ar-SA"/>
        </w:rPr>
        <w:t>，</w:t>
      </w:r>
      <w:r>
        <w:rPr>
          <w:rFonts w:hint="default" w:ascii="Times New Roman" w:hAnsi="Times New Roman" w:eastAsia="仿宋_GB2312" w:cs="Times New Roman"/>
          <w:color w:val="auto"/>
          <w:kern w:val="2"/>
          <w:sz w:val="32"/>
          <w:szCs w:val="21"/>
          <w:highlight w:val="none"/>
          <w:lang w:val="en-US" w:eastAsia="zh-CN" w:bidi="ar-SA"/>
        </w:rPr>
        <w:t>偏差率</w:t>
      </w:r>
      <w:r>
        <w:rPr>
          <w:rFonts w:hint="eastAsia" w:ascii="Times New Roman" w:hAnsi="Times New Roman" w:eastAsia="仿宋_GB2312" w:cs="Times New Roman"/>
          <w:color w:val="auto"/>
          <w:kern w:val="2"/>
          <w:sz w:val="32"/>
          <w:szCs w:val="21"/>
          <w:highlight w:val="none"/>
          <w:lang w:val="en-US" w:eastAsia="zh-CN" w:bidi="ar-SA"/>
        </w:rPr>
        <w:t>55.8</w:t>
      </w:r>
      <w:r>
        <w:rPr>
          <w:rFonts w:hint="default" w:ascii="Times New Roman" w:hAnsi="Times New Roman" w:eastAsia="仿宋_GB2312" w:cs="Times New Roman"/>
          <w:color w:val="auto"/>
          <w:kern w:val="2"/>
          <w:sz w:val="32"/>
          <w:szCs w:val="21"/>
          <w:highlight w:val="none"/>
          <w:lang w:val="en-US" w:eastAsia="zh-CN" w:bidi="ar-SA"/>
        </w:rPr>
        <w:t>%。偏差原因是</w:t>
      </w:r>
      <w:r>
        <w:rPr>
          <w:rFonts w:hint="eastAsia" w:eastAsia="仿宋_GB2312" w:cs="Times New Roman"/>
          <w:color w:val="auto"/>
          <w:kern w:val="2"/>
          <w:sz w:val="32"/>
          <w:szCs w:val="21"/>
          <w:highlight w:val="none"/>
          <w:lang w:val="en-US" w:eastAsia="zh-CN" w:bidi="ar-SA"/>
        </w:rPr>
        <w:t>：</w:t>
      </w:r>
      <w:r>
        <w:rPr>
          <w:rFonts w:hint="default" w:ascii="Times New Roman" w:hAnsi="Times New Roman" w:eastAsia="仿宋_GB2312" w:cs="Times New Roman"/>
          <w:color w:val="auto"/>
          <w:kern w:val="2"/>
          <w:sz w:val="32"/>
          <w:szCs w:val="21"/>
          <w:highlight w:val="none"/>
          <w:lang w:val="en-US" w:eastAsia="zh-CN" w:bidi="ar-SA"/>
        </w:rPr>
        <w:t>充分发挥自治区中小企业公共服务平台网络平台和微信平台的信息推送功能，通过网站和微信平台推送，按照实际政策信息进行推送，推送数量远远大于指标值。</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jc w:val="both"/>
        <w:textAlignment w:val="auto"/>
        <w:rPr>
          <w:rFonts w:hint="default" w:ascii="Times New Roman" w:hAnsi="Times New Roman" w:eastAsia="仿宋_GB2312" w:cs="Times New Roman"/>
          <w:b/>
          <w:bCs/>
          <w:color w:val="auto"/>
          <w:kern w:val="2"/>
          <w:sz w:val="32"/>
          <w:szCs w:val="24"/>
          <w:highlight w:val="none"/>
          <w:lang w:val="en-US" w:eastAsia="zh-CN" w:bidi="ar-SA"/>
        </w:rPr>
      </w:pPr>
      <w:r>
        <w:rPr>
          <w:rFonts w:hint="eastAsia" w:eastAsia="仿宋_GB2312" w:cs="Times New Roman"/>
          <w:b/>
          <w:bCs/>
          <w:color w:val="auto"/>
          <w:kern w:val="2"/>
          <w:sz w:val="32"/>
          <w:szCs w:val="24"/>
          <w:highlight w:val="none"/>
          <w:lang w:val="en-US" w:eastAsia="zh-CN" w:bidi="ar-SA"/>
        </w:rPr>
        <w:t>②.</w:t>
      </w:r>
      <w:r>
        <w:rPr>
          <w:rFonts w:hint="default" w:ascii="Times New Roman" w:hAnsi="Times New Roman" w:eastAsia="仿宋_GB2312" w:cs="Times New Roman"/>
          <w:b/>
          <w:bCs/>
          <w:color w:val="auto"/>
          <w:kern w:val="2"/>
          <w:sz w:val="32"/>
          <w:szCs w:val="24"/>
          <w:highlight w:val="none"/>
          <w:lang w:val="en-US" w:eastAsia="zh-CN" w:bidi="ar-SA"/>
        </w:rPr>
        <w:t>时效指标</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z w:val="32"/>
          <w:highlight w:val="none"/>
          <w:lang w:eastAsia="zh-CN"/>
        </w:rPr>
      </w:pPr>
      <w:r>
        <w:rPr>
          <w:rFonts w:hint="default" w:ascii="Times New Roman" w:hAnsi="Times New Roman" w:eastAsia="仿宋_GB2312" w:cs="Times New Roman"/>
          <w:color w:val="auto"/>
          <w:sz w:val="32"/>
          <w:highlight w:val="none"/>
        </w:rPr>
        <w:t>资金拨付及时率</w:t>
      </w:r>
      <w:r>
        <w:rPr>
          <w:rFonts w:hint="eastAsia" w:ascii="Times New Roman" w:hAnsi="Times New Roman" w:eastAsia="仿宋_GB2312" w:cs="Times New Roman"/>
          <w:color w:val="auto"/>
          <w:sz w:val="32"/>
          <w:highlight w:val="none"/>
          <w:lang w:val="en-US" w:eastAsia="zh-CN"/>
        </w:rPr>
        <w:t>指标值为</w:t>
      </w:r>
      <w:r>
        <w:rPr>
          <w:rFonts w:hint="default" w:ascii="Times New Roman" w:hAnsi="Times New Roman" w:eastAsia="仿宋_GB2312" w:cs="Times New Roman"/>
          <w:color w:val="auto"/>
          <w:sz w:val="32"/>
          <w:highlight w:val="none"/>
        </w:rPr>
        <w:t>100%</w:t>
      </w:r>
      <w:r>
        <w:rPr>
          <w:rFonts w:hint="eastAsia" w:ascii="Times New Roman" w:hAnsi="Times New Roman" w:eastAsia="仿宋_GB2312" w:cs="Times New Roman"/>
          <w:color w:val="auto"/>
          <w:sz w:val="32"/>
          <w:highlight w:val="none"/>
          <w:lang w:eastAsia="zh-CN"/>
        </w:rPr>
        <w:t>，</w:t>
      </w:r>
      <w:r>
        <w:rPr>
          <w:rFonts w:hint="eastAsia" w:ascii="Times New Roman" w:hAnsi="Times New Roman" w:eastAsia="仿宋_GB2312" w:cs="Times New Roman"/>
          <w:color w:val="auto"/>
          <w:sz w:val="32"/>
          <w:highlight w:val="none"/>
          <w:lang w:val="en-US" w:eastAsia="zh-CN"/>
        </w:rPr>
        <w:t>实际</w:t>
      </w:r>
      <w:r>
        <w:rPr>
          <w:rFonts w:hint="default" w:ascii="Times New Roman" w:hAnsi="Times New Roman" w:eastAsia="仿宋_GB2312" w:cs="Times New Roman"/>
          <w:color w:val="auto"/>
          <w:sz w:val="32"/>
          <w:highlight w:val="none"/>
        </w:rPr>
        <w:t>资金拨付及时率</w:t>
      </w:r>
      <w:r>
        <w:rPr>
          <w:rFonts w:hint="eastAsia" w:ascii="Times New Roman" w:hAnsi="Times New Roman" w:eastAsia="仿宋_GB2312" w:cs="Times New Roman"/>
          <w:color w:val="auto"/>
          <w:sz w:val="32"/>
          <w:highlight w:val="none"/>
          <w:lang w:val="en-US" w:eastAsia="zh-CN"/>
        </w:rPr>
        <w:t>100</w:t>
      </w:r>
      <w:r>
        <w:rPr>
          <w:rFonts w:hint="default" w:ascii="Times New Roman" w:hAnsi="Times New Roman" w:eastAsia="仿宋_GB2312" w:cs="Times New Roman"/>
          <w:color w:val="auto"/>
          <w:sz w:val="32"/>
          <w:highlight w:val="none"/>
        </w:rPr>
        <w:t>%</w:t>
      </w:r>
      <w:r>
        <w:rPr>
          <w:rFonts w:hint="eastAsia" w:ascii="Times New Roman" w:hAnsi="Times New Roman" w:eastAsia="仿宋_GB2312" w:cs="Times New Roman"/>
          <w:color w:val="auto"/>
          <w:sz w:val="32"/>
          <w:highlight w:val="none"/>
          <w:lang w:eastAsia="zh-CN"/>
        </w:rPr>
        <w:t>，</w:t>
      </w:r>
      <w:r>
        <w:rPr>
          <w:rFonts w:hint="default" w:ascii="Times New Roman" w:hAnsi="Times New Roman" w:eastAsia="仿宋_GB2312" w:cs="Times New Roman"/>
          <w:b w:val="0"/>
          <w:bCs w:val="0"/>
          <w:color w:val="auto"/>
          <w:sz w:val="32"/>
          <w:highlight w:val="none"/>
        </w:rPr>
        <w:t>偏差率</w:t>
      </w:r>
      <w:r>
        <w:rPr>
          <w:rFonts w:hint="eastAsia" w:ascii="Times New Roman" w:hAnsi="Times New Roman" w:eastAsia="仿宋_GB2312" w:cs="Times New Roman"/>
          <w:b w:val="0"/>
          <w:bCs w:val="0"/>
          <w:color w:val="auto"/>
          <w:sz w:val="32"/>
          <w:highlight w:val="none"/>
          <w:lang w:val="en-US" w:eastAsia="zh-CN"/>
        </w:rPr>
        <w:t>0</w:t>
      </w:r>
      <w:r>
        <w:rPr>
          <w:rFonts w:hint="default" w:ascii="Times New Roman" w:hAnsi="Times New Roman" w:eastAsia="仿宋_GB2312" w:cs="Times New Roman"/>
          <w:b w:val="0"/>
          <w:bCs w:val="0"/>
          <w:color w:val="auto"/>
          <w:sz w:val="32"/>
          <w:highlight w:val="none"/>
        </w:rPr>
        <w:t>%。</w:t>
      </w:r>
    </w:p>
    <w:p>
      <w:pPr>
        <w:shd w:val="clear"/>
        <w:spacing w:line="600" w:lineRule="exact"/>
        <w:ind w:firstLine="642" w:firstLineChars="200"/>
        <w:outlineLvl w:val="0"/>
        <w:rPr>
          <w:rFonts w:hint="eastAsia" w:ascii="Times New Roman" w:hAnsi="Times New Roman" w:eastAsia="仿宋_GB2312" w:cs="Times New Roman"/>
          <w:b/>
          <w:bCs/>
          <w:color w:val="auto"/>
          <w:sz w:val="32"/>
          <w:highlight w:val="none"/>
          <w:lang w:val="en-US" w:eastAsia="zh-CN"/>
        </w:rPr>
      </w:pPr>
      <w:r>
        <w:rPr>
          <w:rFonts w:hint="eastAsia" w:eastAsia="仿宋_GB2312" w:cs="Times New Roman"/>
          <w:b/>
          <w:bCs/>
          <w:color w:val="auto"/>
          <w:sz w:val="32"/>
          <w:highlight w:val="none"/>
          <w:lang w:val="en-US" w:eastAsia="zh-CN"/>
        </w:rPr>
        <w:t>（四）</w:t>
      </w:r>
      <w:r>
        <w:rPr>
          <w:rFonts w:hint="eastAsia" w:ascii="Times New Roman" w:hAnsi="Times New Roman" w:eastAsia="仿宋_GB2312" w:cs="Times New Roman"/>
          <w:b/>
          <w:bCs/>
          <w:color w:val="auto"/>
          <w:sz w:val="32"/>
          <w:highlight w:val="none"/>
          <w:lang w:val="en-US" w:eastAsia="zh-CN"/>
        </w:rPr>
        <w:t>效益指标完成情况分析</w:t>
      </w:r>
    </w:p>
    <w:p>
      <w:pPr>
        <w:pageBreakBefore w:val="0"/>
        <w:kinsoku/>
        <w:wordWrap/>
        <w:overflowPunct/>
        <w:topLinePunct w:val="0"/>
        <w:autoSpaceDE/>
        <w:autoSpaceDN/>
        <w:bidi w:val="0"/>
        <w:adjustRightInd/>
        <w:snapToGrid/>
        <w:spacing w:after="0" w:line="60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项目效益类指标包括项目实施效益和满意度两方面的内容，由3个三级指标构成，权重分为20分，实际得分20分，得分率为100%。具体效益指标及满意度指标完成情况如下：</w:t>
      </w:r>
    </w:p>
    <w:p>
      <w:pPr>
        <w:pageBreakBefore w:val="0"/>
        <w:kinsoku/>
        <w:wordWrap/>
        <w:overflowPunct/>
        <w:topLinePunct w:val="0"/>
        <w:autoSpaceDE/>
        <w:autoSpaceDN/>
        <w:bidi w:val="0"/>
        <w:adjustRightInd/>
        <w:snapToGrid/>
        <w:spacing w:after="0" w:line="600" w:lineRule="exact"/>
        <w:ind w:firstLine="640" w:firstLineChars="200"/>
        <w:textAlignment w:val="auto"/>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1.实施效益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jc w:val="both"/>
        <w:textAlignment w:val="auto"/>
        <w:rPr>
          <w:rFonts w:hint="default" w:ascii="Times New Roman" w:hAnsi="Times New Roman" w:eastAsia="仿宋_GB2312" w:cs="Times New Roman"/>
          <w:b/>
          <w:bCs/>
          <w:color w:val="auto"/>
          <w:kern w:val="2"/>
          <w:sz w:val="32"/>
          <w:szCs w:val="21"/>
          <w:highlight w:val="none"/>
          <w:lang w:val="en-US" w:eastAsia="zh-CN" w:bidi="ar-SA"/>
        </w:rPr>
      </w:pPr>
      <w:r>
        <w:rPr>
          <w:rFonts w:hint="eastAsia" w:eastAsia="仿宋_GB2312" w:cs="Times New Roman"/>
          <w:b/>
          <w:bCs/>
          <w:color w:val="auto"/>
          <w:kern w:val="2"/>
          <w:sz w:val="32"/>
          <w:szCs w:val="21"/>
          <w:highlight w:val="none"/>
          <w:lang w:val="en-US" w:eastAsia="zh-CN" w:bidi="ar-SA"/>
        </w:rPr>
        <w:t>①</w:t>
      </w:r>
      <w:r>
        <w:rPr>
          <w:rFonts w:hint="eastAsia" w:ascii="Times New Roman" w:hAnsi="Times New Roman" w:eastAsia="仿宋_GB2312" w:cs="Times New Roman"/>
          <w:b/>
          <w:bCs/>
          <w:color w:val="auto"/>
          <w:kern w:val="2"/>
          <w:sz w:val="32"/>
          <w:szCs w:val="21"/>
          <w:highlight w:val="none"/>
          <w:lang w:val="en-US" w:eastAsia="zh-CN" w:bidi="ar-SA"/>
        </w:rPr>
        <w:t>经济</w:t>
      </w:r>
      <w:r>
        <w:rPr>
          <w:rFonts w:hint="default" w:ascii="Times New Roman" w:hAnsi="Times New Roman" w:eastAsia="仿宋_GB2312" w:cs="Times New Roman"/>
          <w:b/>
          <w:bCs/>
          <w:color w:val="auto"/>
          <w:kern w:val="2"/>
          <w:sz w:val="32"/>
          <w:szCs w:val="21"/>
          <w:highlight w:val="none"/>
          <w:lang w:val="en-US" w:eastAsia="zh-CN" w:bidi="ar-SA"/>
        </w:rPr>
        <w:t>效益指标：</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z w:val="32"/>
          <w:highlight w:val="none"/>
          <w:lang w:val="en-US" w:eastAsia="zh-CN"/>
        </w:rPr>
      </w:pPr>
      <w:r>
        <w:rPr>
          <w:rFonts w:hint="eastAsia" w:eastAsia="仿宋_GB2312" w:cs="Times New Roman"/>
          <w:b w:val="0"/>
          <w:bCs w:val="0"/>
          <w:color w:val="auto"/>
          <w:kern w:val="2"/>
          <w:sz w:val="32"/>
          <w:szCs w:val="21"/>
          <w:highlight w:val="none"/>
          <w:lang w:val="en-US" w:eastAsia="zh-CN" w:bidi="ar-SA"/>
        </w:rPr>
        <w:t>指标1：</w:t>
      </w:r>
      <w:r>
        <w:rPr>
          <w:rFonts w:hint="eastAsia" w:ascii="Times New Roman" w:hAnsi="Times New Roman" w:eastAsia="仿宋_GB2312" w:cs="Times New Roman"/>
          <w:color w:val="auto"/>
          <w:sz w:val="32"/>
          <w:highlight w:val="none"/>
          <w:lang w:val="en-US" w:eastAsia="zh-CN"/>
        </w:rPr>
        <w:t>第十八届中博会同国内企业协议签约额</w:t>
      </w:r>
      <w:r>
        <w:rPr>
          <w:rFonts w:hint="eastAsia" w:ascii="Times New Roman" w:hAnsi="Times New Roman" w:eastAsia="仿宋_GB2312" w:cs="Times New Roman"/>
          <w:b w:val="0"/>
          <w:bCs w:val="0"/>
          <w:color w:val="auto"/>
          <w:sz w:val="32"/>
          <w:highlight w:val="none"/>
          <w:lang w:val="en-US" w:eastAsia="zh-CN"/>
        </w:rPr>
        <w:t>指标值为1500万，实际第十八届中博会同国内企业协议签约额指标值为1502.1万，</w:t>
      </w:r>
      <w:r>
        <w:rPr>
          <w:rFonts w:hint="default" w:ascii="Times New Roman" w:hAnsi="Times New Roman" w:eastAsia="仿宋_GB2312" w:cs="Times New Roman"/>
          <w:b w:val="0"/>
          <w:bCs w:val="0"/>
          <w:color w:val="auto"/>
          <w:sz w:val="32"/>
          <w:szCs w:val="32"/>
          <w:highlight w:val="none"/>
          <w:lang w:val="en-US" w:eastAsia="zh-CN"/>
        </w:rPr>
        <w:t>完成绩效目标的</w:t>
      </w:r>
      <w:r>
        <w:rPr>
          <w:rFonts w:hint="eastAsia" w:ascii="Times New Roman" w:hAnsi="Times New Roman" w:eastAsia="仿宋_GB2312" w:cs="Times New Roman"/>
          <w:b w:val="0"/>
          <w:bCs w:val="0"/>
          <w:color w:val="auto"/>
          <w:sz w:val="32"/>
          <w:szCs w:val="32"/>
          <w:highlight w:val="none"/>
          <w:lang w:val="en-US" w:eastAsia="zh-CN"/>
        </w:rPr>
        <w:t>100</w:t>
      </w:r>
      <w:r>
        <w:rPr>
          <w:rFonts w:hint="default"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rPr>
        <w:t>，偏差率</w:t>
      </w:r>
      <w:r>
        <w:rPr>
          <w:rFonts w:hint="eastAsia" w:ascii="Times New Roman" w:hAnsi="Times New Roman" w:eastAsia="仿宋_GB2312" w:cs="Times New Roman"/>
          <w:b w:val="0"/>
          <w:bCs w:val="0"/>
          <w:color w:val="auto"/>
          <w:sz w:val="32"/>
          <w:szCs w:val="32"/>
          <w:highlight w:val="none"/>
          <w:lang w:val="en-US" w:eastAsia="zh-CN"/>
        </w:rPr>
        <w:t>0</w:t>
      </w:r>
      <w:r>
        <w:rPr>
          <w:rFonts w:hint="default" w:ascii="Times New Roman" w:hAnsi="Times New Roman" w:eastAsia="仿宋_GB2312" w:cs="Times New Roman"/>
          <w:b w:val="0"/>
          <w:bCs w:val="0"/>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b/>
          <w:bCs/>
          <w:color w:val="auto"/>
          <w:sz w:val="32"/>
          <w:highlight w:val="none"/>
        </w:rPr>
      </w:pPr>
      <w:r>
        <w:rPr>
          <w:rFonts w:hint="eastAsia" w:eastAsia="仿宋_GB2312" w:cs="Times New Roman"/>
          <w:b w:val="0"/>
          <w:bCs w:val="0"/>
          <w:color w:val="auto"/>
          <w:kern w:val="2"/>
          <w:sz w:val="32"/>
          <w:szCs w:val="21"/>
          <w:highlight w:val="none"/>
          <w:lang w:val="en-US" w:eastAsia="zh-CN" w:bidi="ar-SA"/>
        </w:rPr>
        <w:t>指标2：</w:t>
      </w:r>
      <w:r>
        <w:rPr>
          <w:rFonts w:hint="eastAsia" w:ascii="Times New Roman" w:hAnsi="Times New Roman" w:eastAsia="仿宋_GB2312" w:cs="Times New Roman"/>
          <w:color w:val="auto"/>
          <w:sz w:val="32"/>
          <w:highlight w:val="none"/>
          <w:lang w:val="en-US" w:eastAsia="zh-CN"/>
        </w:rPr>
        <w:t>第十二届APEC技展会同国内企业协议签约额</w:t>
      </w:r>
      <w:r>
        <w:rPr>
          <w:rFonts w:hint="eastAsia" w:ascii="Times New Roman" w:hAnsi="Times New Roman" w:eastAsia="仿宋_GB2312" w:cs="Times New Roman"/>
          <w:b w:val="0"/>
          <w:bCs w:val="0"/>
          <w:color w:val="auto"/>
          <w:sz w:val="32"/>
          <w:highlight w:val="none"/>
          <w:lang w:val="en-US" w:eastAsia="zh-CN"/>
        </w:rPr>
        <w:t>指标值为1000万，实际</w:t>
      </w:r>
      <w:r>
        <w:rPr>
          <w:rFonts w:hint="eastAsia" w:ascii="Times New Roman" w:hAnsi="Times New Roman" w:eastAsia="仿宋_GB2312" w:cs="Times New Roman"/>
          <w:color w:val="auto"/>
          <w:sz w:val="32"/>
          <w:highlight w:val="none"/>
          <w:lang w:val="en-US" w:eastAsia="zh-CN"/>
        </w:rPr>
        <w:t>第十二届APEC技展会同国内企业协议签约额</w:t>
      </w:r>
      <w:r>
        <w:rPr>
          <w:rFonts w:hint="eastAsia" w:ascii="Times New Roman" w:hAnsi="Times New Roman" w:eastAsia="仿宋_GB2312" w:cs="Times New Roman"/>
          <w:b w:val="0"/>
          <w:bCs w:val="0"/>
          <w:color w:val="auto"/>
          <w:sz w:val="32"/>
          <w:highlight w:val="none"/>
          <w:lang w:val="en-US" w:eastAsia="zh-CN"/>
        </w:rPr>
        <w:t>指标值为1179万，</w:t>
      </w:r>
      <w:r>
        <w:rPr>
          <w:rFonts w:hint="default" w:ascii="Times New Roman" w:hAnsi="Times New Roman" w:eastAsia="仿宋_GB2312" w:cs="Times New Roman"/>
          <w:b w:val="0"/>
          <w:bCs w:val="0"/>
          <w:color w:val="auto"/>
          <w:sz w:val="32"/>
          <w:szCs w:val="32"/>
          <w:highlight w:val="none"/>
          <w:lang w:val="en-US" w:eastAsia="zh-CN"/>
        </w:rPr>
        <w:t>完成绩效目标的</w:t>
      </w:r>
      <w:r>
        <w:rPr>
          <w:rFonts w:hint="eastAsia" w:ascii="Times New Roman" w:hAnsi="Times New Roman" w:eastAsia="仿宋_GB2312" w:cs="Times New Roman"/>
          <w:b w:val="0"/>
          <w:bCs w:val="0"/>
          <w:color w:val="auto"/>
          <w:sz w:val="32"/>
          <w:szCs w:val="32"/>
          <w:highlight w:val="none"/>
          <w:lang w:val="en-US" w:eastAsia="zh-CN"/>
        </w:rPr>
        <w:t>117.9</w:t>
      </w:r>
      <w:r>
        <w:rPr>
          <w:rFonts w:hint="default"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rPr>
        <w:t>，偏差率</w:t>
      </w:r>
      <w:r>
        <w:rPr>
          <w:rFonts w:hint="eastAsia" w:ascii="Times New Roman" w:hAnsi="Times New Roman" w:eastAsia="仿宋_GB2312" w:cs="Times New Roman"/>
          <w:b w:val="0"/>
          <w:bCs w:val="0"/>
          <w:color w:val="auto"/>
          <w:sz w:val="32"/>
          <w:szCs w:val="32"/>
          <w:highlight w:val="none"/>
          <w:lang w:val="en-US" w:eastAsia="zh-CN"/>
        </w:rPr>
        <w:t>17.9</w:t>
      </w:r>
      <w:r>
        <w:rPr>
          <w:rFonts w:hint="default" w:ascii="Times New Roman" w:hAnsi="Times New Roman" w:eastAsia="仿宋_GB2312" w:cs="Times New Roman"/>
          <w:b w:val="0"/>
          <w:bCs w:val="0"/>
          <w:color w:val="auto"/>
          <w:sz w:val="32"/>
          <w:szCs w:val="32"/>
          <w:highlight w:val="none"/>
        </w:rPr>
        <w:t>%</w:t>
      </w:r>
      <w:r>
        <w:rPr>
          <w:rFonts w:hint="eastAsia" w:eastAsia="仿宋_GB2312" w:cs="Times New Roman"/>
          <w:b w:val="0"/>
          <w:bCs w:val="0"/>
          <w:color w:val="auto"/>
          <w:sz w:val="32"/>
          <w:szCs w:val="32"/>
          <w:highlight w:val="none"/>
          <w:lang w:eastAsia="zh-CN"/>
        </w:rPr>
        <w:t>，</w:t>
      </w:r>
      <w:r>
        <w:rPr>
          <w:rFonts w:hint="eastAsia" w:eastAsia="仿宋_GB2312" w:cs="Times New Roman"/>
          <w:b w:val="0"/>
          <w:bCs w:val="0"/>
          <w:color w:val="auto"/>
          <w:sz w:val="32"/>
          <w:szCs w:val="32"/>
          <w:highlight w:val="none"/>
          <w:lang w:val="en-US" w:eastAsia="zh-CN"/>
        </w:rPr>
        <w:t>偏差原因：XXX</w:t>
      </w:r>
      <w:r>
        <w:rPr>
          <w:rFonts w:hint="default" w:ascii="Times New Roman" w:hAnsi="Times New Roman" w:eastAsia="仿宋_GB2312" w:cs="Times New Roman"/>
          <w:b w:val="0"/>
          <w:bCs w:val="0"/>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eastAsia" w:ascii="Times New Roman" w:hAnsi="Times New Roman" w:eastAsia="仿宋_GB2312" w:cs="Times New Roman"/>
          <w:b/>
          <w:bCs/>
          <w:color w:val="auto"/>
          <w:sz w:val="32"/>
          <w:highlight w:val="none"/>
          <w:lang w:val="en-US" w:eastAsia="zh-CN"/>
        </w:rPr>
      </w:pPr>
      <w:r>
        <w:rPr>
          <w:rFonts w:hint="eastAsia" w:eastAsia="仿宋_GB2312" w:cs="Times New Roman"/>
          <w:b/>
          <w:bCs/>
          <w:color w:val="auto"/>
          <w:sz w:val="32"/>
          <w:highlight w:val="none"/>
          <w:lang w:val="en-US" w:eastAsia="zh-CN"/>
        </w:rPr>
        <w:t>②</w:t>
      </w:r>
      <w:r>
        <w:rPr>
          <w:rFonts w:hint="eastAsia" w:ascii="Times New Roman" w:hAnsi="Times New Roman" w:eastAsia="仿宋_GB2312" w:cs="Times New Roman"/>
          <w:b/>
          <w:bCs/>
          <w:color w:val="auto"/>
          <w:sz w:val="32"/>
          <w:highlight w:val="none"/>
          <w:lang w:val="en-US" w:eastAsia="zh-CN"/>
        </w:rPr>
        <w:t>社会效益指标</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z w:val="32"/>
          <w:highlight w:val="none"/>
          <w:lang w:val="en-US" w:eastAsia="zh-CN"/>
        </w:rPr>
      </w:pPr>
      <w:r>
        <w:rPr>
          <w:rFonts w:hint="eastAsia" w:eastAsia="仿宋_GB2312" w:cs="Times New Roman"/>
          <w:color w:val="auto"/>
          <w:sz w:val="32"/>
          <w:highlight w:val="none"/>
          <w:lang w:val="en-US" w:eastAsia="zh-CN"/>
        </w:rPr>
        <w:t>指标1：</w:t>
      </w:r>
      <w:r>
        <w:rPr>
          <w:rFonts w:hint="eastAsia" w:ascii="Times New Roman" w:hAnsi="Times New Roman" w:eastAsia="仿宋_GB2312" w:cs="Times New Roman"/>
          <w:color w:val="auto"/>
          <w:sz w:val="32"/>
          <w:highlight w:val="none"/>
          <w:lang w:val="en-US" w:eastAsia="zh-CN"/>
        </w:rPr>
        <w:t>提高企业经营水平，有效提高，实际企业经营水平有效提高，完成绩效目标的100%，偏差率0%。</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default" w:ascii="Times New Roman" w:hAnsi="Times New Roman" w:eastAsia="仿宋_GB2312" w:cs="Times New Roman"/>
          <w:b/>
          <w:bCs/>
          <w:color w:val="auto"/>
          <w:sz w:val="32"/>
          <w:highlight w:val="none"/>
        </w:rPr>
      </w:pPr>
      <w:r>
        <w:rPr>
          <w:rFonts w:hint="eastAsia" w:eastAsia="仿宋_GB2312" w:cs="Times New Roman"/>
          <w:b/>
          <w:bCs/>
          <w:color w:val="auto"/>
          <w:sz w:val="32"/>
          <w:highlight w:val="none"/>
          <w:lang w:val="en-US" w:eastAsia="zh-CN"/>
        </w:rPr>
        <w:t>2.</w:t>
      </w:r>
      <w:r>
        <w:rPr>
          <w:rFonts w:hint="eastAsia" w:ascii="Times New Roman" w:hAnsi="Times New Roman" w:eastAsia="仿宋_GB2312" w:cs="Times New Roman"/>
          <w:b/>
          <w:bCs/>
          <w:color w:val="auto"/>
          <w:sz w:val="32"/>
          <w:highlight w:val="none"/>
          <w:lang w:val="en-US" w:eastAsia="zh-CN"/>
        </w:rPr>
        <w:t>满意度指标完成情况分析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jc w:val="both"/>
        <w:textAlignment w:val="auto"/>
        <w:rPr>
          <w:rFonts w:hint="default" w:ascii="Times New Roman" w:hAnsi="Times New Roman" w:eastAsia="仿宋_GB2312" w:cs="Times New Roman"/>
          <w:b w:val="0"/>
          <w:bCs w:val="0"/>
          <w:color w:val="auto"/>
          <w:sz w:val="32"/>
          <w:highlight w:val="none"/>
        </w:rPr>
      </w:pPr>
      <w:r>
        <w:rPr>
          <w:rFonts w:hint="default" w:ascii="Times New Roman" w:hAnsi="Times New Roman" w:eastAsia="仿宋_GB2312" w:cs="Times New Roman"/>
          <w:b/>
          <w:bCs/>
          <w:color w:val="auto"/>
          <w:kern w:val="2"/>
          <w:sz w:val="32"/>
          <w:szCs w:val="21"/>
          <w:highlight w:val="none"/>
          <w:lang w:val="en-US" w:eastAsia="zh-CN" w:bidi="ar-SA"/>
        </w:rPr>
        <w:t>服务对象满意度指标</w:t>
      </w:r>
      <w:r>
        <w:rPr>
          <w:rFonts w:hint="eastAsia" w:eastAsia="仿宋_GB2312" w:cs="Times New Roman"/>
          <w:b/>
          <w:bCs/>
          <w:color w:val="auto"/>
          <w:kern w:val="2"/>
          <w:sz w:val="32"/>
          <w:szCs w:val="21"/>
          <w:highlight w:val="none"/>
          <w:lang w:val="en-US" w:eastAsia="zh-CN" w:bidi="ar-SA"/>
        </w:rPr>
        <w:t>：</w:t>
      </w:r>
      <w:r>
        <w:rPr>
          <w:rFonts w:hint="default" w:ascii="Times New Roman" w:hAnsi="Times New Roman" w:eastAsia="仿宋_GB2312" w:cs="Times New Roman"/>
          <w:b w:val="0"/>
          <w:bCs w:val="0"/>
          <w:color w:val="auto"/>
          <w:sz w:val="32"/>
          <w:highlight w:val="none"/>
        </w:rPr>
        <w:t>推动企业发展提高，被服务对象满意率</w:t>
      </w:r>
      <w:r>
        <w:rPr>
          <w:rFonts w:hint="eastAsia" w:ascii="Times New Roman" w:hAnsi="Times New Roman" w:eastAsia="仿宋_GB2312" w:cs="Times New Roman"/>
          <w:color w:val="auto"/>
          <w:sz w:val="32"/>
          <w:highlight w:val="none"/>
          <w:lang w:val="en-US" w:eastAsia="zh-CN"/>
        </w:rPr>
        <w:t>指标值为</w:t>
      </w:r>
      <w:r>
        <w:rPr>
          <w:rFonts w:hint="default" w:ascii="Times New Roman" w:hAnsi="Times New Roman" w:eastAsia="仿宋_GB2312" w:cs="Times New Roman"/>
          <w:b w:val="0"/>
          <w:bCs w:val="0"/>
          <w:color w:val="auto"/>
          <w:sz w:val="32"/>
          <w:highlight w:val="none"/>
        </w:rPr>
        <w:t>90%</w:t>
      </w:r>
      <w:r>
        <w:rPr>
          <w:rFonts w:hint="eastAsia" w:ascii="Times New Roman" w:hAnsi="Times New Roman" w:eastAsia="仿宋_GB2312" w:cs="Times New Roman"/>
          <w:b w:val="0"/>
          <w:bCs w:val="0"/>
          <w:color w:val="auto"/>
          <w:sz w:val="32"/>
          <w:highlight w:val="none"/>
          <w:lang w:eastAsia="zh-CN"/>
        </w:rPr>
        <w:t>，</w:t>
      </w:r>
      <w:r>
        <w:rPr>
          <w:rFonts w:hint="eastAsia" w:ascii="Times New Roman" w:hAnsi="Times New Roman" w:eastAsia="仿宋_GB2312" w:cs="Times New Roman"/>
          <w:b w:val="0"/>
          <w:bCs w:val="0"/>
          <w:color w:val="auto"/>
          <w:sz w:val="32"/>
          <w:highlight w:val="none"/>
          <w:lang w:val="en-US" w:eastAsia="zh-CN"/>
        </w:rPr>
        <w:t>实际</w:t>
      </w:r>
      <w:r>
        <w:rPr>
          <w:rFonts w:hint="default" w:ascii="Times New Roman" w:hAnsi="Times New Roman" w:eastAsia="仿宋_GB2312" w:cs="Times New Roman"/>
          <w:b w:val="0"/>
          <w:bCs w:val="0"/>
          <w:color w:val="auto"/>
          <w:sz w:val="32"/>
          <w:highlight w:val="none"/>
        </w:rPr>
        <w:t>被服务对象满意率91%</w:t>
      </w:r>
      <w:r>
        <w:rPr>
          <w:rFonts w:hint="default" w:ascii="Times New Roman" w:hAnsi="Times New Roman" w:eastAsia="仿宋_GB2312" w:cs="Times New Roman"/>
          <w:b w:val="0"/>
          <w:bCs w:val="0"/>
          <w:color w:val="auto"/>
          <w:sz w:val="32"/>
          <w:highlight w:val="none"/>
          <w:lang w:eastAsia="zh-CN"/>
        </w:rPr>
        <w:t>，完成绩效目标10</w:t>
      </w:r>
      <w:r>
        <w:rPr>
          <w:rFonts w:hint="default" w:ascii="Times New Roman" w:hAnsi="Times New Roman" w:eastAsia="仿宋_GB2312" w:cs="Times New Roman"/>
          <w:b w:val="0"/>
          <w:bCs w:val="0"/>
          <w:color w:val="auto"/>
          <w:sz w:val="32"/>
          <w:highlight w:val="none"/>
          <w:lang w:val="en-US" w:eastAsia="zh-CN"/>
        </w:rPr>
        <w:t>1</w:t>
      </w:r>
      <w:r>
        <w:rPr>
          <w:rFonts w:hint="default" w:ascii="Times New Roman" w:hAnsi="Times New Roman" w:eastAsia="仿宋_GB2312" w:cs="Times New Roman"/>
          <w:b w:val="0"/>
          <w:bCs w:val="0"/>
          <w:color w:val="auto"/>
          <w:sz w:val="32"/>
          <w:highlight w:val="none"/>
          <w:lang w:eastAsia="zh-CN"/>
        </w:rPr>
        <w:t>%</w:t>
      </w:r>
      <w:r>
        <w:rPr>
          <w:rFonts w:hint="eastAsia" w:ascii="Times New Roman" w:hAnsi="Times New Roman" w:eastAsia="仿宋_GB2312" w:cs="Times New Roman"/>
          <w:b w:val="0"/>
          <w:bCs w:val="0"/>
          <w:color w:val="auto"/>
          <w:sz w:val="32"/>
          <w:highlight w:val="none"/>
          <w:lang w:eastAsia="zh-CN"/>
        </w:rPr>
        <w:t>，</w:t>
      </w:r>
      <w:r>
        <w:rPr>
          <w:rFonts w:hint="default" w:ascii="Times New Roman" w:hAnsi="Times New Roman" w:eastAsia="仿宋_GB2312" w:cs="Times New Roman"/>
          <w:b w:val="0"/>
          <w:bCs w:val="0"/>
          <w:color w:val="auto"/>
          <w:sz w:val="32"/>
          <w:highlight w:val="none"/>
        </w:rPr>
        <w:t>偏差率</w:t>
      </w:r>
      <w:r>
        <w:rPr>
          <w:rFonts w:hint="eastAsia" w:ascii="Times New Roman" w:hAnsi="Times New Roman" w:eastAsia="仿宋_GB2312" w:cs="Times New Roman"/>
          <w:b w:val="0"/>
          <w:bCs w:val="0"/>
          <w:color w:val="auto"/>
          <w:sz w:val="32"/>
          <w:highlight w:val="none"/>
          <w:lang w:val="en-US" w:eastAsia="zh-CN"/>
        </w:rPr>
        <w:t>1</w:t>
      </w:r>
      <w:r>
        <w:rPr>
          <w:rFonts w:hint="default" w:ascii="Times New Roman" w:hAnsi="Times New Roman" w:eastAsia="仿宋_GB2312" w:cs="Times New Roman"/>
          <w:b w:val="0"/>
          <w:bCs w:val="0"/>
          <w:color w:val="auto"/>
          <w:sz w:val="32"/>
          <w:highlight w:val="none"/>
        </w:rPr>
        <w:t>%。</w:t>
      </w:r>
    </w:p>
    <w:p>
      <w:pPr>
        <w:spacing w:line="560" w:lineRule="exact"/>
        <w:ind w:firstLine="640" w:firstLineChars="200"/>
        <w:jc w:val="left"/>
        <w:rPr>
          <w:rFonts w:eastAsia="黑体"/>
          <w:sz w:val="32"/>
          <w:szCs w:val="32"/>
          <w:lang w:eastAsia="zh-Hans"/>
        </w:rPr>
      </w:pPr>
      <w:r>
        <w:rPr>
          <w:rFonts w:eastAsia="黑体"/>
          <w:sz w:val="32"/>
          <w:szCs w:val="32"/>
        </w:rPr>
        <w:t>五、</w:t>
      </w:r>
      <w:r>
        <w:rPr>
          <w:rFonts w:hint="eastAsia" w:eastAsia="黑体"/>
          <w:sz w:val="32"/>
          <w:szCs w:val="32"/>
          <w:lang w:eastAsia="zh-Hans"/>
        </w:rPr>
        <w:t>预算执行进度与绩效指标总体完成率偏差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bCs w:val="0"/>
          <w:kern w:val="2"/>
          <w:sz w:val="32"/>
          <w:szCs w:val="32"/>
          <w:lang w:eastAsia="zh-CN"/>
        </w:rPr>
      </w:pPr>
      <w:r>
        <w:rPr>
          <w:rFonts w:hint="eastAsia" w:ascii="仿宋" w:hAnsi="仿宋" w:eastAsia="仿宋" w:cs="仿宋"/>
          <w:b w:val="0"/>
          <w:bCs w:val="0"/>
          <w:kern w:val="2"/>
          <w:sz w:val="32"/>
          <w:szCs w:val="32"/>
          <w:lang w:val="en-US" w:eastAsia="zh-CN"/>
        </w:rPr>
        <w:t>2023年度自治区中小企业发展专项资金（自治区本级）</w:t>
      </w:r>
      <w:r>
        <w:rPr>
          <w:rFonts w:hint="eastAsia" w:ascii="仿宋" w:hAnsi="仿宋" w:eastAsia="仿宋" w:cs="仿宋"/>
          <w:b w:val="0"/>
          <w:bCs w:val="0"/>
          <w:kern w:val="2"/>
          <w:sz w:val="32"/>
          <w:szCs w:val="32"/>
        </w:rPr>
        <w:t>项目预算</w:t>
      </w:r>
      <w:r>
        <w:rPr>
          <w:rFonts w:hint="eastAsia" w:ascii="仿宋" w:hAnsi="仿宋" w:eastAsia="仿宋" w:cs="仿宋"/>
          <w:b w:val="0"/>
          <w:bCs w:val="0"/>
          <w:kern w:val="2"/>
          <w:sz w:val="32"/>
          <w:szCs w:val="32"/>
          <w:lang w:val="en-US" w:eastAsia="zh-CN"/>
        </w:rPr>
        <w:t>5000</w:t>
      </w:r>
      <w:r>
        <w:rPr>
          <w:rFonts w:hint="eastAsia" w:ascii="仿宋" w:hAnsi="仿宋" w:eastAsia="仿宋" w:cs="仿宋"/>
          <w:b w:val="0"/>
          <w:bCs w:val="0"/>
          <w:kern w:val="2"/>
          <w:sz w:val="32"/>
          <w:szCs w:val="32"/>
        </w:rPr>
        <w:t>万元，到位</w:t>
      </w:r>
      <w:r>
        <w:rPr>
          <w:rFonts w:hint="eastAsia" w:ascii="仿宋" w:hAnsi="仿宋" w:eastAsia="仿宋" w:cs="仿宋"/>
          <w:b w:val="0"/>
          <w:bCs w:val="0"/>
          <w:kern w:val="2"/>
          <w:sz w:val="32"/>
          <w:szCs w:val="32"/>
          <w:lang w:val="en-US" w:eastAsia="zh-CN"/>
        </w:rPr>
        <w:t>5000</w:t>
      </w:r>
      <w:r>
        <w:rPr>
          <w:rFonts w:hint="eastAsia" w:ascii="仿宋" w:hAnsi="仿宋" w:eastAsia="仿宋" w:cs="仿宋"/>
          <w:b w:val="0"/>
          <w:bCs w:val="0"/>
          <w:kern w:val="2"/>
          <w:sz w:val="32"/>
          <w:szCs w:val="32"/>
        </w:rPr>
        <w:t>万元，实际支出4999.9983万元，预算执行率为99.99%，项目绩效指标总体完成率为</w:t>
      </w:r>
      <w:r>
        <w:rPr>
          <w:rFonts w:hint="eastAsia" w:ascii="仿宋" w:hAnsi="仿宋" w:eastAsia="仿宋" w:cs="仿宋"/>
          <w:b w:val="0"/>
          <w:bCs w:val="0"/>
          <w:kern w:val="2"/>
          <w:sz w:val="32"/>
          <w:szCs w:val="32"/>
          <w:lang w:val="en-US" w:eastAsia="zh-CN"/>
        </w:rPr>
        <w:t>116</w:t>
      </w:r>
      <w:r>
        <w:rPr>
          <w:rFonts w:hint="eastAsia" w:ascii="仿宋" w:hAnsi="仿宋" w:eastAsia="仿宋" w:cs="仿宋"/>
          <w:b w:val="0"/>
          <w:bCs w:val="0"/>
          <w:kern w:val="2"/>
          <w:sz w:val="32"/>
          <w:szCs w:val="32"/>
        </w:rPr>
        <w:t>%，</w:t>
      </w:r>
      <w:r>
        <w:rPr>
          <w:rFonts w:hint="eastAsia" w:ascii="仿宋" w:hAnsi="仿宋" w:eastAsia="仿宋" w:cs="仿宋"/>
          <w:b w:val="0"/>
          <w:bCs w:val="0"/>
          <w:kern w:val="2"/>
          <w:sz w:val="32"/>
          <w:szCs w:val="32"/>
          <w:lang w:eastAsia="zh-CN"/>
        </w:rPr>
        <w:t>总体</w:t>
      </w:r>
      <w:r>
        <w:rPr>
          <w:rFonts w:hint="eastAsia" w:ascii="仿宋" w:hAnsi="仿宋" w:eastAsia="仿宋" w:cs="仿宋"/>
          <w:b w:val="0"/>
          <w:bCs w:val="0"/>
          <w:kern w:val="2"/>
          <w:sz w:val="32"/>
          <w:szCs w:val="32"/>
        </w:rPr>
        <w:t>偏差率为</w:t>
      </w:r>
      <w:r>
        <w:rPr>
          <w:rFonts w:hint="eastAsia" w:ascii="仿宋" w:hAnsi="仿宋" w:eastAsia="仿宋" w:cs="仿宋"/>
          <w:b w:val="0"/>
          <w:bCs w:val="0"/>
          <w:kern w:val="2"/>
          <w:sz w:val="32"/>
          <w:szCs w:val="32"/>
          <w:lang w:val="en-US" w:eastAsia="zh-CN"/>
        </w:rPr>
        <w:t>16</w:t>
      </w:r>
      <w:r>
        <w:rPr>
          <w:rFonts w:hint="eastAsia" w:ascii="仿宋" w:hAnsi="仿宋" w:eastAsia="仿宋" w:cs="仿宋"/>
          <w:b w:val="0"/>
          <w:bCs w:val="0"/>
          <w:kern w:val="2"/>
          <w:sz w:val="32"/>
          <w:szCs w:val="32"/>
        </w:rPr>
        <w:t>%</w:t>
      </w:r>
      <w:r>
        <w:rPr>
          <w:rFonts w:hint="eastAsia" w:ascii="仿宋" w:hAnsi="仿宋" w:eastAsia="仿宋" w:cs="仿宋"/>
          <w:b w:val="0"/>
          <w:bCs w:val="0"/>
          <w:kern w:val="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b w:val="0"/>
          <w:bCs w:val="0"/>
          <w:color w:val="auto"/>
          <w:kern w:val="2"/>
          <w:sz w:val="32"/>
          <w:szCs w:val="21"/>
          <w:highlight w:val="none"/>
          <w:lang w:val="en-US" w:eastAsia="zh-CN" w:bidi="ar-SA"/>
        </w:rPr>
      </w:pPr>
      <w:r>
        <w:rPr>
          <w:rFonts w:hint="eastAsia" w:ascii="仿宋" w:hAnsi="仿宋" w:eastAsia="仿宋" w:cs="仿宋"/>
          <w:b w:val="0"/>
          <w:bCs w:val="0"/>
          <w:kern w:val="2"/>
          <w:sz w:val="32"/>
          <w:szCs w:val="32"/>
          <w:lang w:eastAsia="zh-CN"/>
        </w:rPr>
        <w:t>偏差</w:t>
      </w:r>
      <w:r>
        <w:rPr>
          <w:rFonts w:hint="eastAsia" w:ascii="仿宋" w:hAnsi="仿宋" w:eastAsia="仿宋" w:cs="仿宋"/>
          <w:b w:val="0"/>
          <w:bCs w:val="0"/>
          <w:kern w:val="2"/>
          <w:sz w:val="32"/>
          <w:szCs w:val="32"/>
        </w:rPr>
        <w:t>原因</w:t>
      </w:r>
      <w:r>
        <w:rPr>
          <w:rFonts w:hint="eastAsia" w:ascii="仿宋" w:hAnsi="仿宋" w:eastAsia="仿宋" w:cs="仿宋"/>
          <w:b w:val="0"/>
          <w:bCs w:val="0"/>
          <w:kern w:val="2"/>
          <w:sz w:val="32"/>
          <w:szCs w:val="32"/>
          <w:lang w:eastAsia="zh-CN"/>
        </w:rPr>
        <w:t>：</w:t>
      </w:r>
      <w:r>
        <w:rPr>
          <w:rFonts w:hint="eastAsia" w:ascii="仿宋" w:hAnsi="仿宋" w:eastAsia="仿宋" w:cs="仿宋"/>
          <w:b w:val="0"/>
          <w:bCs w:val="0"/>
          <w:kern w:val="2"/>
          <w:sz w:val="32"/>
          <w:szCs w:val="32"/>
          <w:lang w:val="en-US" w:eastAsia="zh-CN"/>
        </w:rPr>
        <w:t>一是</w:t>
      </w:r>
      <w:r>
        <w:rPr>
          <w:rFonts w:hint="default" w:ascii="Times New Roman" w:hAnsi="Times New Roman" w:eastAsia="仿宋_GB2312" w:cs="Times New Roman"/>
          <w:color w:val="auto"/>
          <w:kern w:val="2"/>
          <w:sz w:val="32"/>
          <w:szCs w:val="21"/>
          <w:highlight w:val="none"/>
          <w:lang w:val="en-US" w:eastAsia="zh-CN" w:bidi="ar-SA"/>
        </w:rPr>
        <w:t>自治区推动出台《自治区扶持专精特新中小企业倍增培育行动计划》，加强梯度培育用好政策资金、加大技术支持推动科技创新、加大市场开拓增强发展动力、强化数字赋能提升应用水平、夯实金融支撑激发发展活力、加强品牌管理实现质量提升、优化要素保障实现强企业增效等七个方面20项任务加大对专精特新企业的培育，专精特新企业数量增长较快。</w:t>
      </w:r>
      <w:r>
        <w:rPr>
          <w:rFonts w:hint="eastAsia" w:eastAsia="仿宋_GB2312" w:cs="Times New Roman"/>
          <w:color w:val="auto"/>
          <w:kern w:val="2"/>
          <w:sz w:val="32"/>
          <w:szCs w:val="21"/>
          <w:highlight w:val="none"/>
          <w:lang w:val="en-US" w:eastAsia="zh-CN" w:bidi="ar-SA"/>
        </w:rPr>
        <w:t>二是疫情后,中小企业对财税、知识产权、数字化转型、技术开发、体系认证、产品质量检验检测、项目申报、研发费用加计扣除等服务需求大幅增加，自治区加大了</w:t>
      </w:r>
      <w:r>
        <w:rPr>
          <w:rFonts w:hint="eastAsia" w:ascii="Times New Roman" w:hAnsi="Times New Roman" w:eastAsia="仿宋_GB2312" w:cs="Times New Roman"/>
          <w:b w:val="0"/>
          <w:bCs w:val="0"/>
          <w:color w:val="auto"/>
          <w:kern w:val="2"/>
          <w:sz w:val="32"/>
          <w:szCs w:val="21"/>
          <w:highlight w:val="none"/>
          <w:lang w:val="en-US" w:eastAsia="zh-CN" w:bidi="ar-SA"/>
        </w:rPr>
        <w:t>申领中小企业服务券企业数量</w:t>
      </w:r>
      <w:r>
        <w:rPr>
          <w:rFonts w:hint="eastAsia" w:eastAsia="仿宋_GB2312" w:cs="Times New Roman"/>
          <w:color w:val="auto"/>
          <w:kern w:val="2"/>
          <w:sz w:val="32"/>
          <w:szCs w:val="21"/>
          <w:highlight w:val="none"/>
          <w:lang w:val="en-US" w:eastAsia="zh-CN" w:bidi="ar-SA"/>
        </w:rPr>
        <w:t>。三是</w:t>
      </w:r>
      <w:r>
        <w:rPr>
          <w:rFonts w:hint="default" w:ascii="Times New Roman" w:hAnsi="Times New Roman" w:eastAsia="仿宋_GB2312" w:cs="Times New Roman"/>
          <w:color w:val="auto"/>
          <w:kern w:val="2"/>
          <w:sz w:val="32"/>
          <w:szCs w:val="21"/>
          <w:highlight w:val="none"/>
          <w:lang w:val="en-US" w:eastAsia="zh-CN" w:bidi="ar-SA"/>
        </w:rPr>
        <w:t>充分发挥自治区中小企业公共服务平台网络平台和微信平台的信息推送功能，通过网站和微信平台推送，按照实际政策信息进行推送，推送数量大于指标值。</w:t>
      </w:r>
    </w:p>
    <w:p>
      <w:pPr>
        <w:spacing w:line="560" w:lineRule="exact"/>
        <w:ind w:firstLine="640" w:firstLineChars="200"/>
        <w:rPr>
          <w:rFonts w:hint="eastAsia" w:ascii="仿宋" w:hAnsi="仿宋" w:eastAsia="仿宋" w:cs="仿宋"/>
          <w:b w:val="0"/>
          <w:bCs w:val="0"/>
          <w:kern w:val="2"/>
          <w:sz w:val="32"/>
          <w:szCs w:val="32"/>
        </w:rPr>
      </w:pPr>
      <w:r>
        <w:rPr>
          <w:rFonts w:hint="eastAsia" w:ascii="仿宋" w:hAnsi="仿宋" w:eastAsia="仿宋" w:cs="仿宋"/>
          <w:b w:val="0"/>
          <w:bCs w:val="0"/>
          <w:kern w:val="2"/>
          <w:sz w:val="32"/>
          <w:szCs w:val="32"/>
          <w:lang w:eastAsia="zh-CN"/>
        </w:rPr>
        <w:t>改进</w:t>
      </w:r>
      <w:r>
        <w:rPr>
          <w:rFonts w:hint="eastAsia" w:ascii="仿宋" w:hAnsi="仿宋" w:eastAsia="仿宋" w:cs="仿宋"/>
          <w:b w:val="0"/>
          <w:bCs w:val="0"/>
          <w:kern w:val="2"/>
          <w:sz w:val="32"/>
          <w:szCs w:val="32"/>
        </w:rPr>
        <w:t>措施</w:t>
      </w:r>
      <w:bookmarkStart w:id="7" w:name="_GoBack"/>
      <w:bookmarkEnd w:id="7"/>
      <w:r>
        <w:rPr>
          <w:rFonts w:hint="eastAsia" w:ascii="仿宋" w:hAnsi="仿宋" w:eastAsia="仿宋" w:cs="仿宋"/>
          <w:b w:val="0"/>
          <w:bCs w:val="0"/>
          <w:kern w:val="2"/>
          <w:sz w:val="32"/>
          <w:szCs w:val="32"/>
          <w:lang w:eastAsia="zh-CN"/>
        </w:rPr>
        <w:t>：</w:t>
      </w:r>
      <w:r>
        <w:rPr>
          <w:rFonts w:hint="eastAsia" w:ascii="仿宋" w:hAnsi="仿宋" w:eastAsia="仿宋" w:cs="仿宋"/>
          <w:b w:val="0"/>
          <w:bCs w:val="0"/>
          <w:kern w:val="2"/>
          <w:sz w:val="32"/>
          <w:szCs w:val="32"/>
          <w:lang w:val="en-US" w:eastAsia="zh-CN"/>
        </w:rPr>
        <w:t>预算下达编制项目绩效目标时精准测算需要奖励的专精特新企业数量、</w:t>
      </w:r>
      <w:r>
        <w:rPr>
          <w:rFonts w:hint="eastAsia" w:ascii="Times New Roman" w:hAnsi="Times New Roman" w:eastAsia="仿宋_GB2312" w:cs="Times New Roman"/>
          <w:b w:val="0"/>
          <w:bCs w:val="0"/>
          <w:color w:val="auto"/>
          <w:kern w:val="2"/>
          <w:sz w:val="32"/>
          <w:szCs w:val="21"/>
          <w:highlight w:val="none"/>
          <w:lang w:val="en-US" w:eastAsia="zh-CN" w:bidi="ar-SA"/>
        </w:rPr>
        <w:t>申领中小企业服务券企业数量</w:t>
      </w:r>
      <w:r>
        <w:rPr>
          <w:rFonts w:hint="eastAsia" w:eastAsia="仿宋_GB2312" w:cs="Times New Roman"/>
          <w:b w:val="0"/>
          <w:bCs w:val="0"/>
          <w:color w:val="auto"/>
          <w:kern w:val="2"/>
          <w:sz w:val="32"/>
          <w:szCs w:val="21"/>
          <w:highlight w:val="none"/>
          <w:lang w:val="en-US" w:eastAsia="zh-CN" w:bidi="ar-SA"/>
        </w:rPr>
        <w:t>及</w:t>
      </w:r>
      <w:r>
        <w:rPr>
          <w:rFonts w:hint="eastAsia" w:ascii="Times New Roman" w:hAnsi="Times New Roman" w:eastAsia="仿宋_GB2312" w:cs="Times New Roman"/>
          <w:b w:val="0"/>
          <w:bCs w:val="0"/>
          <w:color w:val="auto"/>
          <w:kern w:val="2"/>
          <w:sz w:val="32"/>
          <w:szCs w:val="21"/>
          <w:highlight w:val="none"/>
          <w:lang w:val="en-US" w:eastAsia="zh-CN" w:bidi="ar-SA"/>
        </w:rPr>
        <w:t>推送各类政策信息数量</w:t>
      </w:r>
      <w:r>
        <w:rPr>
          <w:rFonts w:hint="eastAsia" w:ascii="仿宋" w:hAnsi="仿宋" w:eastAsia="仿宋" w:cs="仿宋"/>
          <w:b w:val="0"/>
          <w:bCs w:val="0"/>
          <w:kern w:val="2"/>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Style w:val="52"/>
          <w:rFonts w:ascii="Times New Roman" w:hAnsi="Times New Roman" w:cs="Times New Roman"/>
          <w:color w:val="auto"/>
        </w:rPr>
      </w:pPr>
      <w:r>
        <w:rPr>
          <w:rFonts w:hint="eastAsia" w:eastAsia="黑体"/>
          <w:sz w:val="32"/>
          <w:szCs w:val="32"/>
          <w:lang w:val="en-US" w:eastAsia="zh-CN"/>
        </w:rPr>
        <w:t>六</w:t>
      </w:r>
      <w:r>
        <w:rPr>
          <w:rFonts w:eastAsia="黑体"/>
          <w:sz w:val="32"/>
          <w:szCs w:val="32"/>
        </w:rPr>
        <w:t>、主要经验及做法、存在的问题及原因分析</w:t>
      </w:r>
    </w:p>
    <w:p>
      <w:pPr>
        <w:pageBreakBefore w:val="0"/>
        <w:kinsoku/>
        <w:wordWrap/>
        <w:overflowPunct/>
        <w:topLinePunct w:val="0"/>
        <w:autoSpaceDE/>
        <w:autoSpaceDN/>
        <w:bidi w:val="0"/>
        <w:adjustRightInd/>
        <w:snapToGrid/>
        <w:spacing w:line="560" w:lineRule="exact"/>
        <w:ind w:firstLine="626" w:firstLineChars="200"/>
        <w:textAlignment w:val="auto"/>
        <w:rPr>
          <w:rFonts w:eastAsia="楷体"/>
          <w:b/>
          <w:spacing w:val="-4"/>
          <w:sz w:val="32"/>
          <w:szCs w:val="32"/>
        </w:rPr>
      </w:pPr>
      <w:r>
        <w:rPr>
          <w:rFonts w:eastAsia="楷体"/>
          <w:b/>
          <w:spacing w:val="-4"/>
          <w:sz w:val="32"/>
          <w:szCs w:val="32"/>
        </w:rPr>
        <w:t>（一）主要经验及做法</w:t>
      </w:r>
    </w:p>
    <w:p>
      <w:pPr>
        <w:keepNext w:val="0"/>
        <w:keepLines w:val="0"/>
        <w:pageBreakBefore w:val="0"/>
        <w:kinsoku/>
        <w:wordWrap/>
        <w:overflowPunct/>
        <w:topLinePunct w:val="0"/>
        <w:autoSpaceDE/>
        <w:autoSpaceDN/>
        <w:bidi w:val="0"/>
        <w:adjustRightInd/>
        <w:snapToGrid/>
        <w:spacing w:after="0" w:line="560" w:lineRule="exact"/>
        <w:ind w:left="0" w:leftChars="0" w:right="0" w:rightChars="0" w:firstLine="581" w:firstLineChars="181"/>
        <w:jc w:val="both"/>
        <w:textAlignment w:val="auto"/>
        <w:rPr>
          <w:rFonts w:hint="default" w:ascii="Times New Roman" w:hAnsi="Times New Roman" w:eastAsia="仿宋_GB2312" w:cs="Times New Roman"/>
          <w:sz w:val="32"/>
          <w:szCs w:val="22"/>
          <w:highlight w:val="none"/>
        </w:rPr>
      </w:pPr>
      <w:bookmarkStart w:id="1" w:name="_Toc85554265"/>
      <w:r>
        <w:rPr>
          <w:rFonts w:hint="default" w:ascii="Times New Roman" w:hAnsi="Times New Roman" w:eastAsia="仿宋_GB2312" w:cs="Times New Roman"/>
          <w:b/>
          <w:bCs/>
          <w:kern w:val="2"/>
          <w:sz w:val="32"/>
          <w:szCs w:val="28"/>
          <w:highlight w:val="none"/>
          <w:lang w:val="en-US" w:eastAsia="zh-CN" w:bidi="ar-SA"/>
        </w:rPr>
        <w:t>1.专项资金管理模式统一，绩效管理体系初步建立。</w:t>
      </w:r>
      <w:bookmarkEnd w:id="1"/>
      <w:r>
        <w:rPr>
          <w:rFonts w:hint="default" w:ascii="Times New Roman" w:hAnsi="Times New Roman" w:eastAsia="仿宋_GB2312" w:cs="Times New Roman"/>
          <w:sz w:val="32"/>
          <w:szCs w:val="22"/>
          <w:highlight w:val="none"/>
        </w:rPr>
        <w:t>202</w:t>
      </w:r>
      <w:r>
        <w:rPr>
          <w:rFonts w:hint="eastAsia" w:ascii="Times New Roman" w:hAnsi="Times New Roman" w:eastAsia="仿宋_GB2312" w:cs="Times New Roman"/>
          <w:sz w:val="32"/>
          <w:szCs w:val="22"/>
          <w:highlight w:val="none"/>
          <w:lang w:val="en-US" w:eastAsia="zh-CN"/>
        </w:rPr>
        <w:t>3</w:t>
      </w:r>
      <w:r>
        <w:rPr>
          <w:rFonts w:hint="default" w:ascii="Times New Roman" w:hAnsi="Times New Roman" w:eastAsia="仿宋_GB2312" w:cs="Times New Roman"/>
          <w:sz w:val="32"/>
          <w:szCs w:val="22"/>
          <w:highlight w:val="none"/>
        </w:rPr>
        <w:t>年自治区工业和信息化厅全面统筹为“因素法和项目制相结合，因素法为主”，自治区本级资金由自治区工业和信息化厅保留审批权限，其他财政资金通过因素法下达至地市，由地市工信部门按照“谁审批，谁负责”的原则组织申报、评审、验收和绩效评价等工作。自治区工业和信息化厅在划清绩效管理权责边界的基础上，初步建立了自治区</w:t>
      </w:r>
      <w:r>
        <w:rPr>
          <w:rFonts w:hint="default" w:ascii="Times New Roman" w:hAnsi="Times New Roman" w:eastAsia="仿宋_GB2312" w:cs="Times New Roman"/>
          <w:sz w:val="32"/>
          <w:szCs w:val="22"/>
          <w:highlight w:val="none"/>
          <w:lang w:eastAsia="zh-CN"/>
        </w:rPr>
        <w:t>、</w:t>
      </w:r>
      <w:r>
        <w:rPr>
          <w:rFonts w:hint="default" w:ascii="Times New Roman" w:hAnsi="Times New Roman" w:eastAsia="仿宋_GB2312" w:cs="Times New Roman"/>
          <w:sz w:val="32"/>
          <w:szCs w:val="22"/>
          <w:highlight w:val="none"/>
          <w:lang w:val="en-US" w:eastAsia="zh-CN"/>
        </w:rPr>
        <w:t>地州（</w:t>
      </w:r>
      <w:r>
        <w:rPr>
          <w:rFonts w:hint="default" w:ascii="Times New Roman" w:hAnsi="Times New Roman" w:eastAsia="仿宋_GB2312" w:cs="Times New Roman"/>
          <w:sz w:val="32"/>
          <w:szCs w:val="22"/>
          <w:highlight w:val="none"/>
        </w:rPr>
        <w:t>市</w:t>
      </w:r>
      <w:r>
        <w:rPr>
          <w:rFonts w:hint="default" w:ascii="Times New Roman" w:hAnsi="Times New Roman" w:eastAsia="仿宋_GB2312" w:cs="Times New Roman"/>
          <w:sz w:val="32"/>
          <w:szCs w:val="22"/>
          <w:highlight w:val="none"/>
          <w:lang w:val="en-US" w:eastAsia="zh-CN"/>
        </w:rPr>
        <w:t>）、企业</w:t>
      </w:r>
      <w:r>
        <w:rPr>
          <w:rFonts w:hint="default" w:ascii="Times New Roman" w:hAnsi="Times New Roman" w:eastAsia="仿宋_GB2312" w:cs="Times New Roman"/>
          <w:sz w:val="32"/>
          <w:szCs w:val="22"/>
          <w:highlight w:val="none"/>
        </w:rPr>
        <w:t>绩效管理体系。</w:t>
      </w:r>
      <w:bookmarkStart w:id="2" w:name="_Toc85554266"/>
    </w:p>
    <w:p>
      <w:pPr>
        <w:keepNext w:val="0"/>
        <w:keepLines w:val="0"/>
        <w:pageBreakBefore w:val="0"/>
        <w:kinsoku/>
        <w:wordWrap/>
        <w:overflowPunct/>
        <w:topLinePunct w:val="0"/>
        <w:autoSpaceDE/>
        <w:autoSpaceDN/>
        <w:bidi w:val="0"/>
        <w:adjustRightInd/>
        <w:snapToGrid/>
        <w:spacing w:after="0" w:line="560" w:lineRule="exact"/>
        <w:ind w:left="0" w:leftChars="0" w:right="0" w:rightChars="0" w:firstLine="581" w:firstLineChars="181"/>
        <w:jc w:val="both"/>
        <w:textAlignment w:val="auto"/>
        <w:rPr>
          <w:rFonts w:hint="default" w:ascii="Times New Roman" w:hAnsi="Times New Roman" w:eastAsia="仿宋_GB2312" w:cs="Times New Roman"/>
          <w:sz w:val="32"/>
          <w:szCs w:val="22"/>
          <w:highlight w:val="none"/>
        </w:rPr>
      </w:pPr>
      <w:r>
        <w:rPr>
          <w:rFonts w:hint="default" w:ascii="Times New Roman" w:hAnsi="Times New Roman" w:eastAsia="仿宋_GB2312" w:cs="Times New Roman"/>
          <w:b/>
          <w:bCs/>
          <w:sz w:val="32"/>
          <w:szCs w:val="22"/>
          <w:highlight w:val="none"/>
          <w:lang w:val="en-US" w:eastAsia="zh-CN"/>
        </w:rPr>
        <w:t>2.</w:t>
      </w:r>
      <w:r>
        <w:rPr>
          <w:rFonts w:hint="default" w:ascii="Times New Roman" w:hAnsi="Times New Roman" w:eastAsia="仿宋_GB2312" w:cs="Times New Roman"/>
          <w:b/>
          <w:bCs/>
          <w:kern w:val="2"/>
          <w:sz w:val="32"/>
          <w:szCs w:val="28"/>
          <w:highlight w:val="none"/>
          <w:lang w:val="en-US" w:eastAsia="zh-CN" w:bidi="ar-SA"/>
        </w:rPr>
        <w:t>自治区级绩效管理框架完善，组织实施过程基本统一。</w:t>
      </w:r>
      <w:bookmarkEnd w:id="2"/>
      <w:r>
        <w:rPr>
          <w:rFonts w:hint="default" w:ascii="Times New Roman" w:hAnsi="Times New Roman" w:eastAsia="仿宋_GB2312" w:cs="Times New Roman"/>
          <w:sz w:val="32"/>
          <w:szCs w:val="22"/>
          <w:highlight w:val="none"/>
        </w:rPr>
        <w:t>一是绩效目标要求明确，</w:t>
      </w:r>
      <w:r>
        <w:rPr>
          <w:rFonts w:hint="default" w:ascii="Times New Roman" w:hAnsi="Times New Roman" w:eastAsia="仿宋_GB2312" w:cs="Times New Roman"/>
          <w:sz w:val="32"/>
          <w:szCs w:val="22"/>
          <w:highlight w:val="none"/>
          <w:lang w:val="en-US" w:eastAsia="zh-CN"/>
        </w:rPr>
        <w:t>专项</w:t>
      </w:r>
      <w:r>
        <w:rPr>
          <w:rFonts w:hint="default" w:ascii="Times New Roman" w:hAnsi="Times New Roman" w:eastAsia="仿宋_GB2312" w:cs="Times New Roman"/>
          <w:sz w:val="32"/>
          <w:szCs w:val="22"/>
          <w:highlight w:val="none"/>
        </w:rPr>
        <w:t>资金绩效结果基本可控。202</w:t>
      </w:r>
      <w:r>
        <w:rPr>
          <w:rFonts w:hint="eastAsia" w:eastAsia="仿宋_GB2312" w:cs="Times New Roman"/>
          <w:sz w:val="32"/>
          <w:szCs w:val="22"/>
          <w:highlight w:val="none"/>
          <w:lang w:val="en-US" w:eastAsia="zh-CN"/>
        </w:rPr>
        <w:t>3</w:t>
      </w:r>
      <w:r>
        <w:rPr>
          <w:rFonts w:hint="default" w:ascii="Times New Roman" w:hAnsi="Times New Roman" w:eastAsia="仿宋_GB2312" w:cs="Times New Roman"/>
          <w:sz w:val="32"/>
          <w:szCs w:val="22"/>
          <w:highlight w:val="none"/>
        </w:rPr>
        <w:t>年，自治区工业和信息化厅在下达专项资金的同时结合地</w:t>
      </w:r>
      <w:r>
        <w:rPr>
          <w:rFonts w:hint="default" w:ascii="Times New Roman" w:hAnsi="Times New Roman" w:eastAsia="仿宋_GB2312" w:cs="Times New Roman"/>
          <w:sz w:val="32"/>
          <w:szCs w:val="22"/>
          <w:highlight w:val="none"/>
          <w:lang w:val="en-US" w:eastAsia="zh-CN"/>
        </w:rPr>
        <w:t>州（</w:t>
      </w:r>
      <w:r>
        <w:rPr>
          <w:rFonts w:hint="default" w:ascii="Times New Roman" w:hAnsi="Times New Roman" w:eastAsia="仿宋_GB2312" w:cs="Times New Roman"/>
          <w:sz w:val="32"/>
          <w:szCs w:val="22"/>
          <w:highlight w:val="none"/>
        </w:rPr>
        <w:t>市</w:t>
      </w:r>
      <w:r>
        <w:rPr>
          <w:rFonts w:hint="default" w:ascii="Times New Roman" w:hAnsi="Times New Roman" w:eastAsia="仿宋_GB2312" w:cs="Times New Roman"/>
          <w:sz w:val="32"/>
          <w:szCs w:val="22"/>
          <w:highlight w:val="none"/>
          <w:lang w:val="en-US" w:eastAsia="zh-CN"/>
        </w:rPr>
        <w:t>）</w:t>
      </w:r>
      <w:r>
        <w:rPr>
          <w:rFonts w:hint="default" w:ascii="Times New Roman" w:hAnsi="Times New Roman" w:eastAsia="仿宋_GB2312" w:cs="Times New Roman"/>
          <w:sz w:val="32"/>
          <w:szCs w:val="22"/>
          <w:highlight w:val="none"/>
        </w:rPr>
        <w:t>间的特点下达了差异化的绩效目标，在为地州（市）的组织实施工作指明方向的基础上，兼顾了地州（市）间产业基础、发展方向的差异，一定程度上保证了目标的可实现性，进而保证了全自治区层面的</w:t>
      </w:r>
      <w:r>
        <w:rPr>
          <w:rFonts w:hint="default" w:ascii="Times New Roman" w:hAnsi="Times New Roman" w:eastAsia="仿宋_GB2312" w:cs="Times New Roman"/>
          <w:sz w:val="32"/>
          <w:szCs w:val="22"/>
          <w:highlight w:val="none"/>
          <w:lang w:val="en-US" w:eastAsia="zh-CN"/>
        </w:rPr>
        <w:t>专项</w:t>
      </w:r>
      <w:r>
        <w:rPr>
          <w:rFonts w:hint="default" w:ascii="Times New Roman" w:hAnsi="Times New Roman" w:eastAsia="仿宋_GB2312" w:cs="Times New Roman"/>
          <w:sz w:val="32"/>
          <w:szCs w:val="22"/>
          <w:highlight w:val="none"/>
        </w:rPr>
        <w:t>资金绩效结果基本可控。二是实施细则指引到位，组织实施过程基本规范。详细说明了专项资金管理和组织实施过程的具体要求，为地市工信部门开展相关工作提供了指引。</w:t>
      </w:r>
      <w:bookmarkStart w:id="3" w:name="_Toc85554267"/>
    </w:p>
    <w:p>
      <w:pPr>
        <w:keepNext w:val="0"/>
        <w:keepLines w:val="0"/>
        <w:pageBreakBefore w:val="0"/>
        <w:kinsoku/>
        <w:wordWrap/>
        <w:overflowPunct/>
        <w:topLinePunct w:val="0"/>
        <w:autoSpaceDE/>
        <w:autoSpaceDN/>
        <w:bidi w:val="0"/>
        <w:adjustRightInd/>
        <w:snapToGrid/>
        <w:spacing w:after="0" w:line="560" w:lineRule="exact"/>
        <w:ind w:left="0" w:leftChars="0" w:right="0" w:rightChars="0" w:firstLine="581" w:firstLineChars="181"/>
        <w:jc w:val="both"/>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b/>
          <w:bCs/>
          <w:sz w:val="32"/>
          <w:szCs w:val="28"/>
          <w:highlight w:val="none"/>
          <w:lang w:val="en-US" w:eastAsia="zh-CN"/>
        </w:rPr>
        <w:t>3.</w:t>
      </w:r>
      <w:r>
        <w:rPr>
          <w:rFonts w:hint="default" w:ascii="Times New Roman" w:hAnsi="Times New Roman" w:eastAsia="仿宋_GB2312" w:cs="Times New Roman"/>
          <w:b/>
          <w:bCs/>
          <w:sz w:val="32"/>
          <w:szCs w:val="28"/>
          <w:highlight w:val="none"/>
        </w:rPr>
        <w:t>地州（市）绩效管理意识增强，资金绩效管理效率提升</w:t>
      </w:r>
      <w:bookmarkEnd w:id="3"/>
      <w:r>
        <w:rPr>
          <w:rFonts w:hint="eastAsia" w:eastAsia="仿宋_GB2312" w:cs="Times New Roman"/>
          <w:b/>
          <w:bCs/>
          <w:sz w:val="32"/>
          <w:szCs w:val="28"/>
          <w:highlight w:val="none"/>
          <w:lang w:eastAsia="zh-CN"/>
        </w:rPr>
        <w:t>。</w:t>
      </w:r>
      <w:r>
        <w:rPr>
          <w:rFonts w:hint="default" w:ascii="Times New Roman" w:hAnsi="Times New Roman" w:eastAsia="仿宋_GB2312" w:cs="Times New Roman"/>
          <w:sz w:val="32"/>
          <w:szCs w:val="22"/>
          <w:highlight w:val="none"/>
        </w:rPr>
        <w:t>专项资金管理模式充分突显了地州（市）工信部门在专项资金绩效管理工作中的主体地位和责任。</w:t>
      </w:r>
    </w:p>
    <w:p>
      <w:pPr>
        <w:keepNext/>
        <w:keepLines/>
        <w:pageBreakBefore w:val="0"/>
        <w:numPr>
          <w:ilvl w:val="0"/>
          <w:numId w:val="3"/>
        </w:numPr>
        <w:kinsoku/>
        <w:wordWrap/>
        <w:overflowPunct/>
        <w:topLinePunct w:val="0"/>
        <w:autoSpaceDE/>
        <w:autoSpaceDN/>
        <w:bidi w:val="0"/>
        <w:adjustRightInd/>
        <w:snapToGrid/>
        <w:spacing w:line="560" w:lineRule="exact"/>
        <w:ind w:firstLine="642" w:firstLineChars="200"/>
        <w:textAlignment w:val="auto"/>
        <w:rPr>
          <w:rFonts w:eastAsia="楷体_GB2312"/>
          <w:b/>
          <w:bCs/>
          <w:sz w:val="32"/>
          <w:szCs w:val="32"/>
        </w:rPr>
      </w:pPr>
      <w:r>
        <w:rPr>
          <w:rFonts w:eastAsia="楷体_GB2312"/>
          <w:b/>
          <w:bCs/>
          <w:sz w:val="32"/>
          <w:szCs w:val="32"/>
        </w:rPr>
        <w:t>存在的问题及原因分析</w:t>
      </w:r>
    </w:p>
    <w:p>
      <w:pPr>
        <w:keepNext w:val="0"/>
        <w:keepLines w:val="0"/>
        <w:pageBreakBefore w:val="0"/>
        <w:kinsoku/>
        <w:wordWrap/>
        <w:overflowPunct/>
        <w:topLinePunct w:val="0"/>
        <w:autoSpaceDE/>
        <w:autoSpaceDN/>
        <w:bidi w:val="0"/>
        <w:adjustRightInd/>
        <w:snapToGrid/>
        <w:spacing w:after="0" w:line="560" w:lineRule="exact"/>
        <w:ind w:left="0" w:leftChars="0" w:right="0" w:rightChars="0" w:firstLine="579" w:firstLineChars="181"/>
        <w:jc w:val="both"/>
        <w:textAlignment w:val="auto"/>
        <w:rPr>
          <w:rFonts w:hint="eastAsia" w:ascii="Times New Roman" w:hAnsi="Times New Roman" w:eastAsia="仿宋_GB2312" w:cs="Times New Roman"/>
          <w:sz w:val="32"/>
          <w:szCs w:val="22"/>
          <w:highlight w:val="none"/>
          <w:lang w:val="en-US" w:eastAsia="zh-CN"/>
        </w:rPr>
      </w:pPr>
      <w:r>
        <w:rPr>
          <w:rFonts w:hint="default" w:ascii="Times New Roman" w:hAnsi="Times New Roman" w:eastAsia="仿宋_GB2312" w:cs="Times New Roman"/>
          <w:sz w:val="32"/>
          <w:szCs w:val="22"/>
          <w:highlight w:val="none"/>
        </w:rPr>
        <w:t>从本次</w:t>
      </w:r>
      <w:r>
        <w:rPr>
          <w:rFonts w:hint="eastAsia" w:ascii="Times New Roman" w:hAnsi="Times New Roman" w:eastAsia="仿宋_GB2312" w:cs="Times New Roman"/>
          <w:sz w:val="32"/>
          <w:szCs w:val="22"/>
          <w:highlight w:val="none"/>
          <w:lang w:val="en-US" w:eastAsia="zh-CN"/>
        </w:rPr>
        <w:t>自治区中小企业发展专项资金使用效果评估</w:t>
      </w:r>
      <w:r>
        <w:rPr>
          <w:rFonts w:hint="default" w:ascii="Times New Roman" w:hAnsi="Times New Roman" w:eastAsia="仿宋_GB2312" w:cs="Times New Roman"/>
          <w:sz w:val="32"/>
          <w:szCs w:val="22"/>
          <w:highlight w:val="none"/>
        </w:rPr>
        <w:t>工作整体来看，</w:t>
      </w:r>
      <w:r>
        <w:rPr>
          <w:rFonts w:hint="eastAsia" w:ascii="Times New Roman" w:hAnsi="Times New Roman" w:eastAsia="仿宋_GB2312" w:cs="Times New Roman"/>
          <w:sz w:val="32"/>
          <w:szCs w:val="22"/>
          <w:highlight w:val="none"/>
          <w:lang w:val="en-US" w:eastAsia="zh-CN"/>
        </w:rPr>
        <w:t>自治区本级</w:t>
      </w:r>
      <w:r>
        <w:rPr>
          <w:rFonts w:hint="default" w:ascii="Times New Roman" w:hAnsi="Times New Roman" w:eastAsia="仿宋_GB2312" w:cs="Times New Roman"/>
          <w:sz w:val="32"/>
          <w:szCs w:val="22"/>
          <w:highlight w:val="none"/>
        </w:rPr>
        <w:t>基本上能够</w:t>
      </w:r>
      <w:r>
        <w:rPr>
          <w:rFonts w:hint="eastAsia" w:eastAsia="仿宋_GB2312" w:cs="Times New Roman"/>
          <w:sz w:val="32"/>
          <w:szCs w:val="22"/>
          <w:highlight w:val="none"/>
          <w:lang w:eastAsia="zh-CN"/>
        </w:rPr>
        <w:t>按照</w:t>
      </w:r>
      <w:r>
        <w:rPr>
          <w:rFonts w:hint="default" w:ascii="Times New Roman" w:hAnsi="Times New Roman" w:eastAsia="仿宋_GB2312" w:cs="Times New Roman"/>
          <w:sz w:val="32"/>
          <w:szCs w:val="22"/>
          <w:highlight w:val="none"/>
        </w:rPr>
        <w:t>《202</w:t>
      </w:r>
      <w:r>
        <w:rPr>
          <w:rFonts w:hint="eastAsia" w:ascii="Times New Roman" w:hAnsi="Times New Roman" w:eastAsia="仿宋_GB2312" w:cs="Times New Roman"/>
          <w:sz w:val="32"/>
          <w:szCs w:val="22"/>
          <w:highlight w:val="none"/>
          <w:lang w:val="en-US" w:eastAsia="zh-CN"/>
        </w:rPr>
        <w:t>3</w:t>
      </w:r>
      <w:r>
        <w:rPr>
          <w:rFonts w:hint="default" w:ascii="Times New Roman" w:hAnsi="Times New Roman" w:eastAsia="仿宋_GB2312" w:cs="Times New Roman"/>
          <w:sz w:val="32"/>
          <w:szCs w:val="22"/>
          <w:highlight w:val="none"/>
        </w:rPr>
        <w:t>年度自治区中小企业</w:t>
      </w:r>
      <w:r>
        <w:rPr>
          <w:rFonts w:hint="eastAsia" w:ascii="Times New Roman" w:hAnsi="Times New Roman" w:eastAsia="仿宋_GB2312" w:cs="Times New Roman"/>
          <w:sz w:val="32"/>
          <w:szCs w:val="22"/>
          <w:highlight w:val="none"/>
          <w:lang w:val="en-US" w:eastAsia="zh-CN"/>
        </w:rPr>
        <w:t>发展</w:t>
      </w:r>
      <w:r>
        <w:rPr>
          <w:rFonts w:hint="default" w:ascii="Times New Roman" w:hAnsi="Times New Roman" w:eastAsia="仿宋_GB2312" w:cs="Times New Roman"/>
          <w:sz w:val="32"/>
          <w:szCs w:val="22"/>
          <w:highlight w:val="none"/>
        </w:rPr>
        <w:t>专项资金项目申报指南》的要求开展并完成工作，但其中也存在着一些问题</w:t>
      </w:r>
      <w:r>
        <w:rPr>
          <w:rFonts w:hint="eastAsia" w:ascii="Times New Roman" w:hAnsi="Times New Roman" w:eastAsia="仿宋_GB2312" w:cs="Times New Roman"/>
          <w:sz w:val="32"/>
          <w:szCs w:val="22"/>
          <w:highlight w:val="none"/>
        </w:rPr>
        <w:t>∶</w:t>
      </w:r>
      <w:r>
        <w:rPr>
          <w:rFonts w:hint="eastAsia" w:ascii="Times New Roman" w:hAnsi="Times New Roman" w:eastAsia="仿宋_GB2312" w:cs="Times New Roman"/>
          <w:sz w:val="32"/>
          <w:szCs w:val="22"/>
          <w:highlight w:val="none"/>
          <w:lang w:val="en-US" w:eastAsia="zh-CN"/>
        </w:rPr>
        <w:t>受国际国内发展环境变化，企业难以应对要素成本上涨、市场需求变化等情况，</w:t>
      </w:r>
      <w:r>
        <w:rPr>
          <w:rFonts w:hint="eastAsia" w:eastAsia="仿宋_GB2312" w:cs="Times New Roman"/>
          <w:sz w:val="32"/>
          <w:szCs w:val="22"/>
          <w:highlight w:val="none"/>
          <w:lang w:val="en-US" w:eastAsia="zh-CN"/>
        </w:rPr>
        <w:t>没有充分调动企业参展积极性，</w:t>
      </w:r>
      <w:r>
        <w:rPr>
          <w:rFonts w:hint="eastAsia" w:ascii="Times New Roman" w:hAnsi="Times New Roman" w:eastAsia="仿宋_GB2312" w:cs="Times New Roman"/>
          <w:sz w:val="32"/>
          <w:szCs w:val="22"/>
          <w:highlight w:val="none"/>
          <w:lang w:val="en-US" w:eastAsia="zh-CN"/>
        </w:rPr>
        <w:t>企业参加第十八届中博</w:t>
      </w:r>
      <w:r>
        <w:rPr>
          <w:rFonts w:hint="eastAsia" w:eastAsia="仿宋_GB2312" w:cs="Times New Roman"/>
          <w:sz w:val="32"/>
          <w:szCs w:val="22"/>
          <w:highlight w:val="none"/>
          <w:lang w:val="en-US" w:eastAsia="zh-CN"/>
        </w:rPr>
        <w:t>会和</w:t>
      </w:r>
      <w:r>
        <w:rPr>
          <w:rFonts w:hint="eastAsia" w:ascii="Times New Roman" w:hAnsi="Times New Roman" w:eastAsia="仿宋_GB2312" w:cs="Times New Roman"/>
          <w:sz w:val="32"/>
          <w:szCs w:val="22"/>
          <w:highlight w:val="none"/>
          <w:lang w:val="en-US" w:eastAsia="zh-CN"/>
        </w:rPr>
        <w:t>第十二届APEC技展会积极性不高。</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lang w:val="en-US" w:eastAsia="zh-CN"/>
        </w:rPr>
        <w:t>七、</w:t>
      </w:r>
      <w:r>
        <w:rPr>
          <w:rFonts w:eastAsia="黑体"/>
          <w:sz w:val="32"/>
          <w:szCs w:val="32"/>
        </w:rPr>
        <w:t>有关建议</w:t>
      </w:r>
    </w:p>
    <w:p>
      <w:pPr>
        <w:keepNext w:val="0"/>
        <w:keepLines w:val="0"/>
        <w:pageBreakBefore w:val="0"/>
        <w:kinsoku/>
        <w:wordWrap/>
        <w:overflowPunct/>
        <w:topLinePunct w:val="0"/>
        <w:autoSpaceDE/>
        <w:autoSpaceDN/>
        <w:bidi w:val="0"/>
        <w:adjustRightInd/>
        <w:snapToGrid/>
        <w:spacing w:after="0" w:line="560" w:lineRule="exact"/>
        <w:ind w:left="0" w:leftChars="0" w:right="0" w:rightChars="0" w:firstLine="566" w:firstLineChars="181"/>
        <w:textAlignment w:val="auto"/>
        <w:rPr>
          <w:rFonts w:hint="default" w:ascii="Times New Roman" w:hAnsi="Times New Roman" w:eastAsia="仿宋_GB2312" w:cs="Times New Roman"/>
          <w:sz w:val="32"/>
          <w:szCs w:val="22"/>
          <w:highlight w:val="none"/>
          <w:lang w:val="en-US"/>
        </w:rPr>
      </w:pPr>
      <w:bookmarkStart w:id="4" w:name="_Toc85554275"/>
      <w:r>
        <w:rPr>
          <w:rStyle w:val="23"/>
          <w:rFonts w:hint="eastAsia" w:ascii="楷体_GB2312" w:hAnsi="楷体_GB2312" w:eastAsia="楷体_GB2312" w:cs="楷体_GB2312"/>
          <w:b/>
          <w:bCs/>
          <w:spacing w:val="-4"/>
          <w:sz w:val="32"/>
          <w:szCs w:val="32"/>
          <w:highlight w:val="none"/>
          <w:lang w:val="en-US" w:eastAsia="zh-CN"/>
        </w:rPr>
        <w:t>（一）</w:t>
      </w:r>
      <w:r>
        <w:rPr>
          <w:rStyle w:val="23"/>
          <w:rFonts w:hint="default" w:ascii="楷体_GB2312" w:hAnsi="楷体_GB2312" w:eastAsia="楷体_GB2312" w:cs="楷体_GB2312"/>
          <w:b/>
          <w:bCs/>
          <w:spacing w:val="-4"/>
          <w:sz w:val="32"/>
          <w:szCs w:val="32"/>
          <w:highlight w:val="none"/>
          <w:lang w:val="en-US" w:eastAsia="zh-CN"/>
        </w:rPr>
        <w:t>优化专项扶持政策，增强专项资金的引导带动作用</w:t>
      </w:r>
      <w:bookmarkEnd w:id="4"/>
      <w:r>
        <w:rPr>
          <w:rStyle w:val="23"/>
          <w:rFonts w:hint="default" w:ascii="楷体_GB2312" w:hAnsi="楷体_GB2312" w:eastAsia="楷体_GB2312" w:cs="楷体_GB2312"/>
          <w:b/>
          <w:bCs/>
          <w:spacing w:val="-4"/>
          <w:sz w:val="32"/>
          <w:szCs w:val="32"/>
          <w:highlight w:val="none"/>
          <w:lang w:val="en-US" w:eastAsia="zh-CN"/>
        </w:rPr>
        <w:t xml:space="preserve"> </w:t>
      </w:r>
      <w:r>
        <w:rPr>
          <w:rStyle w:val="23"/>
          <w:rFonts w:hint="eastAsia" w:ascii="楷体_GB2312" w:hAnsi="楷体_GB2312" w:eastAsia="楷体_GB2312" w:cs="楷体_GB2312"/>
          <w:b/>
          <w:bCs/>
          <w:spacing w:val="-4"/>
          <w:sz w:val="32"/>
          <w:szCs w:val="32"/>
          <w:highlight w:val="none"/>
          <w:lang w:val="en-US" w:eastAsia="zh-CN"/>
        </w:rPr>
        <w:t>。</w:t>
      </w:r>
      <w:r>
        <w:rPr>
          <w:rFonts w:hint="default" w:ascii="Times New Roman" w:hAnsi="Times New Roman" w:eastAsia="仿宋_GB2312" w:cs="Times New Roman"/>
          <w:sz w:val="32"/>
          <w:szCs w:val="22"/>
          <w:highlight w:val="none"/>
          <w:lang w:val="en-US"/>
        </w:rPr>
        <w:t>优先采用直接补贴的方式扶持产业发展的核心关键环节和标杆示范项目，加强对标杆示范项目的监管，完善标杆示范项目的后续管理及推广机制。</w:t>
      </w:r>
    </w:p>
    <w:p>
      <w:pPr>
        <w:keepNext w:val="0"/>
        <w:keepLines w:val="0"/>
        <w:pageBreakBefore w:val="0"/>
        <w:kinsoku/>
        <w:wordWrap/>
        <w:overflowPunct/>
        <w:topLinePunct w:val="0"/>
        <w:autoSpaceDE/>
        <w:autoSpaceDN/>
        <w:bidi w:val="0"/>
        <w:adjustRightInd/>
        <w:snapToGrid/>
        <w:spacing w:after="0" w:line="560" w:lineRule="exact"/>
        <w:ind w:left="0" w:leftChars="0" w:right="0" w:rightChars="0" w:firstLine="566" w:firstLineChars="181"/>
        <w:textAlignment w:val="auto"/>
        <w:rPr>
          <w:rFonts w:hint="default" w:ascii="Times New Roman" w:hAnsi="Times New Roman" w:eastAsia="仿宋_GB2312" w:cs="Times New Roman"/>
          <w:sz w:val="32"/>
          <w:szCs w:val="22"/>
          <w:highlight w:val="none"/>
          <w:lang w:val="en-US"/>
        </w:rPr>
      </w:pPr>
      <w:bookmarkStart w:id="5" w:name="_Toc85554277"/>
      <w:r>
        <w:rPr>
          <w:rStyle w:val="23"/>
          <w:rFonts w:hint="default" w:ascii="楷体_GB2312" w:hAnsi="楷体_GB2312" w:eastAsia="楷体_GB2312" w:cs="楷体_GB2312"/>
          <w:b/>
          <w:bCs/>
          <w:spacing w:val="-4"/>
          <w:sz w:val="32"/>
          <w:szCs w:val="32"/>
          <w:highlight w:val="none"/>
          <w:lang w:val="en-US" w:eastAsia="zh-CN"/>
        </w:rPr>
        <w:t>（</w:t>
      </w:r>
      <w:r>
        <w:rPr>
          <w:rStyle w:val="23"/>
          <w:rFonts w:hint="eastAsia" w:ascii="楷体_GB2312" w:hAnsi="楷体_GB2312" w:eastAsia="楷体_GB2312" w:cs="楷体_GB2312"/>
          <w:b/>
          <w:bCs/>
          <w:spacing w:val="-4"/>
          <w:sz w:val="32"/>
          <w:szCs w:val="32"/>
          <w:highlight w:val="none"/>
          <w:lang w:val="en-US" w:eastAsia="zh-CN"/>
        </w:rPr>
        <w:t>二</w:t>
      </w:r>
      <w:r>
        <w:rPr>
          <w:rStyle w:val="23"/>
          <w:rFonts w:hint="default" w:ascii="楷体_GB2312" w:hAnsi="楷体_GB2312" w:eastAsia="楷体_GB2312" w:cs="楷体_GB2312"/>
          <w:b/>
          <w:bCs/>
          <w:spacing w:val="-4"/>
          <w:sz w:val="32"/>
          <w:szCs w:val="32"/>
          <w:highlight w:val="none"/>
          <w:lang w:val="en-US" w:eastAsia="zh-CN"/>
        </w:rPr>
        <w:t>）完善专项资金管理，增加资金下拨管理使用</w:t>
      </w:r>
      <w:r>
        <w:rPr>
          <w:rStyle w:val="23"/>
          <w:rFonts w:hint="eastAsia" w:ascii="楷体_GB2312" w:hAnsi="楷体_GB2312" w:eastAsia="楷体_GB2312" w:cs="楷体_GB2312"/>
          <w:b/>
          <w:bCs/>
          <w:spacing w:val="-4"/>
          <w:sz w:val="32"/>
          <w:szCs w:val="32"/>
          <w:highlight w:val="none"/>
          <w:lang w:val="en-US" w:eastAsia="zh-CN"/>
        </w:rPr>
        <w:t>效率</w:t>
      </w:r>
      <w:bookmarkEnd w:id="5"/>
      <w:r>
        <w:rPr>
          <w:rStyle w:val="23"/>
          <w:rFonts w:hint="eastAsia" w:ascii="楷体_GB2312" w:hAnsi="楷体_GB2312" w:eastAsia="楷体_GB2312" w:cs="楷体_GB2312"/>
          <w:b/>
          <w:bCs/>
          <w:spacing w:val="-4"/>
          <w:sz w:val="32"/>
          <w:szCs w:val="32"/>
          <w:highlight w:val="none"/>
          <w:lang w:val="en-US" w:eastAsia="zh-CN"/>
        </w:rPr>
        <w:t>。</w:t>
      </w:r>
      <w:r>
        <w:rPr>
          <w:rFonts w:hint="default" w:ascii="Times New Roman" w:hAnsi="Times New Roman" w:eastAsia="仿宋_GB2312" w:cs="Times New Roman"/>
          <w:sz w:val="32"/>
          <w:szCs w:val="22"/>
          <w:highlight w:val="none"/>
          <w:lang w:val="en-US"/>
        </w:rPr>
        <w:t>加强部门间的沟通协作，优化资金下拨路径，疏通资金下拨通道，尽量减少多级资金管理部门的影响。</w:t>
      </w:r>
    </w:p>
    <w:p>
      <w:pPr>
        <w:keepNext w:val="0"/>
        <w:keepLines w:val="0"/>
        <w:pageBreakBefore w:val="0"/>
        <w:kinsoku/>
        <w:wordWrap/>
        <w:overflowPunct/>
        <w:topLinePunct w:val="0"/>
        <w:autoSpaceDE/>
        <w:autoSpaceDN/>
        <w:bidi w:val="0"/>
        <w:adjustRightInd/>
        <w:snapToGrid/>
        <w:spacing w:after="0" w:line="560" w:lineRule="exact"/>
        <w:ind w:left="0" w:leftChars="0" w:right="0" w:rightChars="0" w:firstLine="566" w:firstLineChars="181"/>
        <w:textAlignment w:val="auto"/>
        <w:rPr>
          <w:rFonts w:hint="default" w:ascii="Times New Roman" w:hAnsi="Times New Roman" w:eastAsia="仿宋_GB2312" w:cs="Times New Roman"/>
          <w:sz w:val="32"/>
          <w:szCs w:val="22"/>
          <w:highlight w:val="none"/>
          <w:lang w:val="en-US"/>
        </w:rPr>
      </w:pPr>
      <w:bookmarkStart w:id="6" w:name="_Toc85554278"/>
      <w:r>
        <w:rPr>
          <w:rStyle w:val="23"/>
          <w:rFonts w:hint="default" w:ascii="楷体_GB2312" w:hAnsi="楷体_GB2312" w:eastAsia="楷体_GB2312" w:cs="楷体_GB2312"/>
          <w:b/>
          <w:bCs/>
          <w:spacing w:val="-4"/>
          <w:sz w:val="32"/>
          <w:szCs w:val="32"/>
          <w:highlight w:val="none"/>
          <w:lang w:val="en-US" w:eastAsia="zh-CN"/>
        </w:rPr>
        <w:t>（</w:t>
      </w:r>
      <w:r>
        <w:rPr>
          <w:rStyle w:val="23"/>
          <w:rFonts w:hint="eastAsia" w:ascii="楷体_GB2312" w:hAnsi="楷体_GB2312" w:eastAsia="楷体_GB2312" w:cs="楷体_GB2312"/>
          <w:b/>
          <w:bCs/>
          <w:spacing w:val="-4"/>
          <w:sz w:val="32"/>
          <w:szCs w:val="32"/>
          <w:highlight w:val="none"/>
          <w:lang w:val="en-US" w:eastAsia="zh-CN"/>
        </w:rPr>
        <w:t>三</w:t>
      </w:r>
      <w:r>
        <w:rPr>
          <w:rStyle w:val="23"/>
          <w:rFonts w:hint="default" w:ascii="楷体_GB2312" w:hAnsi="楷体_GB2312" w:eastAsia="楷体_GB2312" w:cs="楷体_GB2312"/>
          <w:b/>
          <w:bCs/>
          <w:spacing w:val="-4"/>
          <w:sz w:val="32"/>
          <w:szCs w:val="32"/>
          <w:highlight w:val="none"/>
          <w:lang w:val="en-US" w:eastAsia="zh-CN"/>
        </w:rPr>
        <w:t>）规范组织实施程序，建立全面的绩效跟踪管理机制</w:t>
      </w:r>
      <w:bookmarkEnd w:id="6"/>
      <w:r>
        <w:rPr>
          <w:rStyle w:val="23"/>
          <w:rFonts w:hint="eastAsia" w:ascii="楷体_GB2312" w:hAnsi="楷体_GB2312" w:eastAsia="楷体_GB2312" w:cs="楷体_GB2312"/>
          <w:b/>
          <w:bCs/>
          <w:spacing w:val="-4"/>
          <w:sz w:val="32"/>
          <w:szCs w:val="32"/>
          <w:highlight w:val="none"/>
          <w:lang w:val="en-US" w:eastAsia="zh-CN"/>
        </w:rPr>
        <w:t>。</w:t>
      </w:r>
      <w:r>
        <w:rPr>
          <w:rFonts w:hint="default" w:ascii="Times New Roman" w:hAnsi="Times New Roman" w:eastAsia="仿宋_GB2312" w:cs="Times New Roman"/>
          <w:sz w:val="32"/>
          <w:szCs w:val="22"/>
          <w:highlight w:val="none"/>
          <w:lang w:val="en-US"/>
        </w:rPr>
        <w:t>统一基本实施程序，降低程序性问题的沟通成本。根据扶持方式的不同，制定规范的实施程序。</w:t>
      </w:r>
    </w:p>
    <w:p>
      <w:pPr>
        <w:keepNext w:val="0"/>
        <w:keepLines w:val="0"/>
        <w:pageBreakBefore w:val="0"/>
        <w:kinsoku/>
        <w:wordWrap/>
        <w:overflowPunct/>
        <w:topLinePunct w:val="0"/>
        <w:autoSpaceDE/>
        <w:autoSpaceDN/>
        <w:bidi w:val="0"/>
        <w:adjustRightInd/>
        <w:snapToGrid/>
        <w:spacing w:after="0" w:line="560" w:lineRule="exact"/>
        <w:ind w:left="0" w:leftChars="0" w:right="0" w:rightChars="0" w:firstLine="640"/>
        <w:textAlignment w:val="auto"/>
        <w:rPr>
          <w:rStyle w:val="23"/>
          <w:rFonts w:ascii="黑体" w:hAnsi="黑体" w:eastAsia="黑体"/>
          <w:b w:val="0"/>
          <w:spacing w:val="-4"/>
          <w:sz w:val="32"/>
          <w:szCs w:val="32"/>
          <w:highlight w:val="none"/>
        </w:rPr>
      </w:pPr>
      <w:r>
        <w:rPr>
          <w:rStyle w:val="23"/>
          <w:rFonts w:hint="eastAsia" w:ascii="黑体" w:hAnsi="黑体" w:eastAsia="黑体"/>
          <w:b w:val="0"/>
          <w:spacing w:val="-4"/>
          <w:sz w:val="32"/>
          <w:szCs w:val="32"/>
          <w:highlight w:val="none"/>
          <w:lang w:val="en-US" w:eastAsia="zh-CN"/>
        </w:rPr>
        <w:t>八</w:t>
      </w:r>
      <w:r>
        <w:rPr>
          <w:rStyle w:val="23"/>
          <w:rFonts w:hint="eastAsia" w:ascii="黑体" w:hAnsi="黑体" w:eastAsia="黑体"/>
          <w:b w:val="0"/>
          <w:spacing w:val="-4"/>
          <w:sz w:val="32"/>
          <w:szCs w:val="32"/>
          <w:highlight w:val="none"/>
        </w:rPr>
        <w:t>、</w:t>
      </w:r>
      <w:r>
        <w:rPr>
          <w:rStyle w:val="23"/>
          <w:rFonts w:hint="eastAsia" w:ascii="黑体" w:hAnsi="黑体" w:eastAsia="黑体"/>
          <w:b w:val="0"/>
          <w:spacing w:val="-4"/>
          <w:sz w:val="32"/>
          <w:szCs w:val="32"/>
          <w:highlight w:val="none"/>
          <w:lang w:eastAsia="zh-CN"/>
        </w:rPr>
        <w:t>其他需要说明的问题</w:t>
      </w:r>
    </w:p>
    <w:p>
      <w:pPr>
        <w:keepNext w:val="0"/>
        <w:keepLines w:val="0"/>
        <w:pageBreakBefore w:val="0"/>
        <w:kinsoku/>
        <w:wordWrap/>
        <w:overflowPunct/>
        <w:topLinePunct w:val="0"/>
        <w:autoSpaceDE/>
        <w:autoSpaceDN/>
        <w:bidi w:val="0"/>
        <w:adjustRightInd/>
        <w:snapToGrid/>
        <w:spacing w:after="0" w:line="560" w:lineRule="exact"/>
        <w:ind w:left="0" w:leftChars="0" w:right="0" w:rightChars="0" w:firstLine="579" w:firstLineChars="181"/>
        <w:jc w:val="both"/>
        <w:textAlignment w:val="auto"/>
        <w:rPr>
          <w:rFonts w:hint="eastAsia" w:ascii="Times New Roman" w:hAnsi="Times New Roman" w:eastAsia="仿宋_GB2312" w:cs="Times New Roman"/>
          <w:sz w:val="32"/>
          <w:szCs w:val="22"/>
          <w:highlight w:val="none"/>
          <w:lang w:val="en-US" w:eastAsia="zh-CN"/>
        </w:rPr>
      </w:pPr>
      <w:r>
        <w:rPr>
          <w:rFonts w:hint="eastAsia" w:ascii="Times New Roman" w:hAnsi="Times New Roman" w:eastAsia="仿宋_GB2312" w:cs="Times New Roman"/>
          <w:sz w:val="32"/>
          <w:szCs w:val="22"/>
          <w:highlight w:val="none"/>
          <w:lang w:val="en-US" w:eastAsia="zh-CN"/>
        </w:rPr>
        <w:t>在中央巡视、各级审计和财政监督中未发现问题。</w:t>
      </w:r>
    </w:p>
    <w:p>
      <w:pPr>
        <w:spacing w:line="600" w:lineRule="exact"/>
        <w:rPr>
          <w:bCs/>
          <w:sz w:val="32"/>
          <w:szCs w:val="32"/>
        </w:rPr>
      </w:pPr>
      <w:r>
        <w:rPr>
          <w:bCs/>
          <w:sz w:val="32"/>
          <w:szCs w:val="32"/>
        </w:rPr>
        <w:t>附件1</w:t>
      </w:r>
    </w:p>
    <w:tbl>
      <w:tblPr>
        <w:tblStyle w:val="21"/>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518"/>
        <w:gridCol w:w="474"/>
        <w:gridCol w:w="540"/>
        <w:gridCol w:w="1455"/>
        <w:gridCol w:w="3208"/>
        <w:gridCol w:w="804"/>
        <w:gridCol w:w="84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r>
    </w:tbl>
    <w:p>
      <w:pPr>
        <w:pStyle w:val="2"/>
        <w:rPr>
          <w:rFonts w:ascii="Times New Roman" w:hAnsi="Times New Roman"/>
        </w:rPr>
      </w:pPr>
    </w:p>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rPr>
          <w:rStyle w:val="23"/>
          <w:rFonts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文泉驿正黑">
    <w:panose1 w:val="02000603000000000000"/>
    <w:charset w:val="86"/>
    <w:family w:val="auto"/>
    <w:pitch w:val="default"/>
    <w:sig w:usb0="900002BF" w:usb1="2BDF7DFB" w:usb2="00000036" w:usb3="00000000" w:csb0="603E000D" w:csb1="D2D7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6"/>
          <w:jc w:val="center"/>
        </w:pPr>
        <w:r>
          <w:fldChar w:fldCharType="begin"/>
        </w:r>
        <w:r>
          <w:instrText xml:space="preserve">PAGE   \* MERGEFORMAT</w:instrText>
        </w:r>
        <w:r>
          <w:fldChar w:fldCharType="separate"/>
        </w:r>
        <w:r>
          <w:rPr>
            <w:lang w:val="zh-CN"/>
          </w:rPr>
          <w:t>17</w:t>
        </w:r>
        <w:r>
          <w:fldChar w:fldCharType="end"/>
        </w:r>
      </w:p>
    </w:sdtContent>
  </w:sdt>
  <w:p>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lhMWQxY2Y3MjlmMzc2NDQxNjk3MWFiYmYzMzA1NmU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22E79EE"/>
    <w:rsid w:val="051A56F5"/>
    <w:rsid w:val="066D6EAA"/>
    <w:rsid w:val="06D24F1D"/>
    <w:rsid w:val="06DC1681"/>
    <w:rsid w:val="072B7208"/>
    <w:rsid w:val="08C662D4"/>
    <w:rsid w:val="09BD4D95"/>
    <w:rsid w:val="0A6767AA"/>
    <w:rsid w:val="0B0F58D6"/>
    <w:rsid w:val="0F8D41CB"/>
    <w:rsid w:val="0FEE2F21"/>
    <w:rsid w:val="115303D0"/>
    <w:rsid w:val="11C75270"/>
    <w:rsid w:val="12637CC3"/>
    <w:rsid w:val="12E657C5"/>
    <w:rsid w:val="13160D6D"/>
    <w:rsid w:val="133C6E2A"/>
    <w:rsid w:val="167C7687"/>
    <w:rsid w:val="168B3546"/>
    <w:rsid w:val="1A2374E0"/>
    <w:rsid w:val="1C317CE2"/>
    <w:rsid w:val="1DD45808"/>
    <w:rsid w:val="1DED42AC"/>
    <w:rsid w:val="20005763"/>
    <w:rsid w:val="20085EE1"/>
    <w:rsid w:val="20FB313D"/>
    <w:rsid w:val="220B4804"/>
    <w:rsid w:val="278B653F"/>
    <w:rsid w:val="282475E3"/>
    <w:rsid w:val="28254877"/>
    <w:rsid w:val="28E60D8A"/>
    <w:rsid w:val="29E421D9"/>
    <w:rsid w:val="2A1A6F3D"/>
    <w:rsid w:val="2BD17ACF"/>
    <w:rsid w:val="2C6100C1"/>
    <w:rsid w:val="31A57E05"/>
    <w:rsid w:val="3235157C"/>
    <w:rsid w:val="3251420F"/>
    <w:rsid w:val="3264220D"/>
    <w:rsid w:val="32A83563"/>
    <w:rsid w:val="342D478F"/>
    <w:rsid w:val="359E6C74"/>
    <w:rsid w:val="36820514"/>
    <w:rsid w:val="38872456"/>
    <w:rsid w:val="392A6A70"/>
    <w:rsid w:val="3963178C"/>
    <w:rsid w:val="3BA5236D"/>
    <w:rsid w:val="3C7F70D3"/>
    <w:rsid w:val="3CED0699"/>
    <w:rsid w:val="3D3121C8"/>
    <w:rsid w:val="3EB02FD6"/>
    <w:rsid w:val="41CC2676"/>
    <w:rsid w:val="46614BA3"/>
    <w:rsid w:val="46B21672"/>
    <w:rsid w:val="4F552460"/>
    <w:rsid w:val="4FCC6863"/>
    <w:rsid w:val="500A214A"/>
    <w:rsid w:val="518A40F8"/>
    <w:rsid w:val="522D604D"/>
    <w:rsid w:val="5297585E"/>
    <w:rsid w:val="52AD7D6F"/>
    <w:rsid w:val="549178AB"/>
    <w:rsid w:val="5549519D"/>
    <w:rsid w:val="5557596B"/>
    <w:rsid w:val="55D55E1F"/>
    <w:rsid w:val="56051FA0"/>
    <w:rsid w:val="56BD758A"/>
    <w:rsid w:val="57476891"/>
    <w:rsid w:val="581E593B"/>
    <w:rsid w:val="58AE2091"/>
    <w:rsid w:val="59A70CE5"/>
    <w:rsid w:val="5A186745"/>
    <w:rsid w:val="5B596DFC"/>
    <w:rsid w:val="5DAE6D00"/>
    <w:rsid w:val="5DC81C25"/>
    <w:rsid w:val="5DF03945"/>
    <w:rsid w:val="5F03526B"/>
    <w:rsid w:val="613F5D6A"/>
    <w:rsid w:val="61D736BC"/>
    <w:rsid w:val="62E515AF"/>
    <w:rsid w:val="637C2815"/>
    <w:rsid w:val="63C9645D"/>
    <w:rsid w:val="666B4FDC"/>
    <w:rsid w:val="675F169C"/>
    <w:rsid w:val="67FF13C8"/>
    <w:rsid w:val="682144B7"/>
    <w:rsid w:val="6AB25739"/>
    <w:rsid w:val="6AFFC3A8"/>
    <w:rsid w:val="6B503F77"/>
    <w:rsid w:val="6E311968"/>
    <w:rsid w:val="712560CC"/>
    <w:rsid w:val="72DE12F0"/>
    <w:rsid w:val="75266E05"/>
    <w:rsid w:val="77C3215F"/>
    <w:rsid w:val="7A353D0B"/>
    <w:rsid w:val="7AE53FCA"/>
    <w:rsid w:val="7CB927D8"/>
    <w:rsid w:val="7D3A5E2F"/>
    <w:rsid w:val="7E72E964"/>
    <w:rsid w:val="7EC42148"/>
    <w:rsid w:val="B4D9B046"/>
    <w:rsid w:val="DFB57684"/>
    <w:rsid w:val="E7FF9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6"/>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7"/>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8"/>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9"/>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0"/>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1"/>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2"/>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3"/>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text"/>
    <w:basedOn w:val="1"/>
    <w:qFormat/>
    <w:uiPriority w:val="0"/>
    <w:pPr>
      <w:jc w:val="left"/>
    </w:pPr>
  </w:style>
  <w:style w:type="paragraph" w:styleId="13">
    <w:name w:val="Body Text"/>
    <w:basedOn w:val="1"/>
    <w:next w:val="1"/>
    <w:qFormat/>
    <w:uiPriority w:val="0"/>
    <w:pPr>
      <w:spacing w:after="120"/>
    </w:pPr>
  </w:style>
  <w:style w:type="paragraph" w:styleId="14">
    <w:name w:val="Body Text Indent"/>
    <w:basedOn w:val="1"/>
    <w:qFormat/>
    <w:uiPriority w:val="0"/>
    <w:pPr>
      <w:spacing w:after="120"/>
      <w:ind w:left="420" w:leftChars="200"/>
    </w:pPr>
    <w:rPr>
      <w:rFonts w:ascii="Calibri" w:hAnsi="Calibri"/>
    </w:rPr>
  </w:style>
  <w:style w:type="paragraph" w:styleId="15">
    <w:name w:val="Balloon Text"/>
    <w:basedOn w:val="1"/>
    <w:link w:val="50"/>
    <w:semiHidden/>
    <w:unhideWhenUsed/>
    <w:qFormat/>
    <w:uiPriority w:val="99"/>
    <w:rPr>
      <w:sz w:val="18"/>
      <w:szCs w:val="18"/>
    </w:rPr>
  </w:style>
  <w:style w:type="paragraph" w:styleId="16">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9">
    <w:name w:val="Body Text First Indent"/>
    <w:basedOn w:val="13"/>
    <w:qFormat/>
    <w:uiPriority w:val="0"/>
    <w:pPr>
      <w:spacing w:after="0"/>
      <w:ind w:firstLine="200" w:firstLineChars="200"/>
    </w:pPr>
  </w:style>
  <w:style w:type="paragraph" w:styleId="20">
    <w:name w:val="Body Text First Indent 2"/>
    <w:basedOn w:val="14"/>
    <w:qFormat/>
    <w:uiPriority w:val="0"/>
    <w:pPr>
      <w:ind w:firstLine="420" w:firstLineChars="200"/>
    </w:p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customStyle="1" w:styleId="25">
    <w:name w:val="标题 1 字符"/>
    <w:basedOn w:val="22"/>
    <w:link w:val="3"/>
    <w:qFormat/>
    <w:uiPriority w:val="9"/>
    <w:rPr>
      <w:rFonts w:asciiTheme="majorHAnsi" w:hAnsiTheme="majorHAnsi" w:eastAsiaTheme="majorEastAsia"/>
      <w:b/>
      <w:bCs/>
      <w:kern w:val="32"/>
      <w:sz w:val="32"/>
      <w:szCs w:val="32"/>
    </w:rPr>
  </w:style>
  <w:style w:type="character" w:customStyle="1" w:styleId="26">
    <w:name w:val="标题 2 字符"/>
    <w:basedOn w:val="22"/>
    <w:link w:val="4"/>
    <w:semiHidden/>
    <w:qFormat/>
    <w:uiPriority w:val="9"/>
    <w:rPr>
      <w:rFonts w:asciiTheme="majorHAnsi" w:hAnsiTheme="majorHAnsi" w:eastAsiaTheme="majorEastAsia"/>
      <w:b/>
      <w:bCs/>
      <w:i/>
      <w:iCs/>
      <w:sz w:val="28"/>
      <w:szCs w:val="28"/>
    </w:rPr>
  </w:style>
  <w:style w:type="character" w:customStyle="1" w:styleId="27">
    <w:name w:val="标题 3 字符"/>
    <w:basedOn w:val="22"/>
    <w:link w:val="5"/>
    <w:semiHidden/>
    <w:qFormat/>
    <w:uiPriority w:val="9"/>
    <w:rPr>
      <w:rFonts w:asciiTheme="majorHAnsi" w:hAnsiTheme="majorHAnsi" w:eastAsiaTheme="majorEastAsia"/>
      <w:b/>
      <w:bCs/>
      <w:sz w:val="26"/>
      <w:szCs w:val="26"/>
    </w:rPr>
  </w:style>
  <w:style w:type="character" w:customStyle="1" w:styleId="28">
    <w:name w:val="标题 4 字符"/>
    <w:basedOn w:val="22"/>
    <w:link w:val="6"/>
    <w:semiHidden/>
    <w:qFormat/>
    <w:uiPriority w:val="9"/>
    <w:rPr>
      <w:b/>
      <w:bCs/>
      <w:sz w:val="28"/>
      <w:szCs w:val="28"/>
    </w:rPr>
  </w:style>
  <w:style w:type="character" w:customStyle="1" w:styleId="29">
    <w:name w:val="标题 5 字符"/>
    <w:basedOn w:val="22"/>
    <w:link w:val="7"/>
    <w:semiHidden/>
    <w:qFormat/>
    <w:uiPriority w:val="9"/>
    <w:rPr>
      <w:b/>
      <w:bCs/>
      <w:i/>
      <w:iCs/>
      <w:sz w:val="26"/>
      <w:szCs w:val="26"/>
    </w:rPr>
  </w:style>
  <w:style w:type="character" w:customStyle="1" w:styleId="30">
    <w:name w:val="标题 6 字符"/>
    <w:basedOn w:val="22"/>
    <w:link w:val="8"/>
    <w:semiHidden/>
    <w:qFormat/>
    <w:uiPriority w:val="9"/>
    <w:rPr>
      <w:b/>
      <w:bCs/>
    </w:rPr>
  </w:style>
  <w:style w:type="character" w:customStyle="1" w:styleId="31">
    <w:name w:val="标题 7 字符"/>
    <w:basedOn w:val="22"/>
    <w:link w:val="9"/>
    <w:semiHidden/>
    <w:qFormat/>
    <w:uiPriority w:val="9"/>
    <w:rPr>
      <w:sz w:val="24"/>
      <w:szCs w:val="24"/>
    </w:rPr>
  </w:style>
  <w:style w:type="character" w:customStyle="1" w:styleId="32">
    <w:name w:val="标题 8 字符"/>
    <w:basedOn w:val="22"/>
    <w:link w:val="10"/>
    <w:semiHidden/>
    <w:qFormat/>
    <w:uiPriority w:val="9"/>
    <w:rPr>
      <w:i/>
      <w:iCs/>
      <w:sz w:val="24"/>
      <w:szCs w:val="24"/>
    </w:rPr>
  </w:style>
  <w:style w:type="character" w:customStyle="1" w:styleId="33">
    <w:name w:val="标题 9 字符"/>
    <w:basedOn w:val="22"/>
    <w:link w:val="11"/>
    <w:semiHidden/>
    <w:qFormat/>
    <w:uiPriority w:val="9"/>
    <w:rPr>
      <w:rFonts w:asciiTheme="majorHAnsi" w:hAnsiTheme="majorHAnsi" w:eastAsiaTheme="majorEastAsia"/>
    </w:rPr>
  </w:style>
  <w:style w:type="character" w:customStyle="1" w:styleId="34">
    <w:name w:val="标题 字符"/>
    <w:basedOn w:val="22"/>
    <w:link w:val="2"/>
    <w:qFormat/>
    <w:uiPriority w:val="10"/>
    <w:rPr>
      <w:rFonts w:asciiTheme="majorHAnsi" w:hAnsiTheme="majorHAnsi" w:eastAsiaTheme="majorEastAsia"/>
      <w:b/>
      <w:bCs/>
      <w:kern w:val="28"/>
      <w:sz w:val="32"/>
      <w:szCs w:val="32"/>
    </w:rPr>
  </w:style>
  <w:style w:type="character" w:customStyle="1" w:styleId="35">
    <w:name w:val="副标题 字符"/>
    <w:basedOn w:val="22"/>
    <w:link w:val="18"/>
    <w:qFormat/>
    <w:uiPriority w:val="11"/>
    <w:rPr>
      <w:rFonts w:asciiTheme="majorHAnsi" w:hAnsiTheme="majorHAnsi" w:eastAsiaTheme="majorEastAsia"/>
      <w:sz w:val="24"/>
      <w:szCs w:val="24"/>
    </w:rPr>
  </w:style>
  <w:style w:type="paragraph"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qFormat/>
    <w:uiPriority w:val="29"/>
    <w:rPr>
      <w:i/>
      <w:sz w:val="24"/>
      <w:szCs w:val="24"/>
    </w:rPr>
  </w:style>
  <w:style w:type="paragraph"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qFormat/>
    <w:uiPriority w:val="30"/>
    <w:rPr>
      <w:b/>
      <w:i/>
      <w:sz w:val="24"/>
    </w:rPr>
  </w:style>
  <w:style w:type="character" w:customStyle="1" w:styleId="42">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qFormat/>
    <w:uiPriority w:val="21"/>
    <w:rPr>
      <w:b/>
      <w:i/>
      <w:sz w:val="24"/>
      <w:szCs w:val="24"/>
      <w:u w:val="single"/>
    </w:rPr>
  </w:style>
  <w:style w:type="character" w:customStyle="1" w:styleId="44">
    <w:name w:val="不明显参考1"/>
    <w:basedOn w:val="22"/>
    <w:qFormat/>
    <w:uiPriority w:val="31"/>
    <w:rPr>
      <w:sz w:val="24"/>
      <w:szCs w:val="24"/>
      <w:u w:val="single"/>
    </w:rPr>
  </w:style>
  <w:style w:type="character" w:customStyle="1" w:styleId="45">
    <w:name w:val="明显参考1"/>
    <w:basedOn w:val="22"/>
    <w:qFormat/>
    <w:uiPriority w:val="32"/>
    <w:rPr>
      <w:b/>
      <w:sz w:val="24"/>
      <w:u w:val="single"/>
    </w:rPr>
  </w:style>
  <w:style w:type="character" w:customStyle="1" w:styleId="46">
    <w:name w:val="书籍标题1"/>
    <w:basedOn w:val="22"/>
    <w:qFormat/>
    <w:uiPriority w:val="33"/>
    <w:rPr>
      <w:rFonts w:asciiTheme="majorHAnsi" w:hAnsiTheme="majorHAnsi" w:eastAsiaTheme="majorEastAsia"/>
      <w:b/>
      <w:i/>
      <w:sz w:val="24"/>
      <w:szCs w:val="24"/>
    </w:rPr>
  </w:style>
  <w:style w:type="paragraph" w:customStyle="1" w:styleId="47">
    <w:name w:val="TOC 标题1"/>
    <w:basedOn w:val="3"/>
    <w:next w:val="1"/>
    <w:semiHidden/>
    <w:unhideWhenUsed/>
    <w:qFormat/>
    <w:uiPriority w:val="39"/>
    <w:pPr>
      <w:outlineLvl w:val="9"/>
    </w:pPr>
    <w:rPr>
      <w:lang w:eastAsia="en-US" w:bidi="en-US"/>
    </w:rPr>
  </w:style>
  <w:style w:type="character" w:customStyle="1" w:styleId="48">
    <w:name w:val="页眉 字符"/>
    <w:basedOn w:val="22"/>
    <w:link w:val="17"/>
    <w:qFormat/>
    <w:uiPriority w:val="99"/>
    <w:rPr>
      <w:rFonts w:ascii="Calibri" w:hAnsi="Calibri" w:eastAsia="宋体"/>
      <w:kern w:val="2"/>
      <w:sz w:val="18"/>
      <w:szCs w:val="18"/>
    </w:rPr>
  </w:style>
  <w:style w:type="character" w:customStyle="1" w:styleId="49">
    <w:name w:val="页脚 字符"/>
    <w:basedOn w:val="22"/>
    <w:link w:val="16"/>
    <w:qFormat/>
    <w:uiPriority w:val="99"/>
    <w:rPr>
      <w:rFonts w:ascii="Calibri" w:hAnsi="Calibri" w:eastAsia="宋体"/>
      <w:kern w:val="2"/>
      <w:sz w:val="18"/>
      <w:szCs w:val="18"/>
    </w:rPr>
  </w:style>
  <w:style w:type="character" w:customStyle="1" w:styleId="50">
    <w:name w:val="批注框文本 字符"/>
    <w:basedOn w:val="22"/>
    <w:link w:val="15"/>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 w:type="paragraph" w:customStyle="1" w:styleId="53">
    <w:name w:val="样式 文字 + 首行缩进:  2 字符3"/>
    <w:basedOn w:val="1"/>
    <w:qFormat/>
    <w:uiPriority w:val="0"/>
    <w:pPr>
      <w:spacing w:line="360" w:lineRule="auto"/>
      <w:ind w:firstLine="200" w:firstLineChars="200"/>
    </w:pPr>
    <w:rPr>
      <w:rFonts w:eastAsia="仿宋_GB2312" w:cs="宋体"/>
      <w:sz w:val="28"/>
      <w:szCs w:val="28"/>
    </w:rPr>
  </w:style>
  <w:style w:type="paragraph" w:customStyle="1" w:styleId="54">
    <w:name w:val="样式1"/>
    <w:basedOn w:val="1"/>
    <w:next w:val="6"/>
    <w:qFormat/>
    <w:uiPriority w:val="0"/>
    <w:pPr>
      <w:ind w:firstLine="420"/>
    </w:pPr>
    <w:rPr>
      <w:rFonts w:ascii="宋体" w:hAnsi="宋体"/>
      <w:szCs w:val="21"/>
    </w:rPr>
  </w:style>
  <w:style w:type="paragraph" w:customStyle="1" w:styleId="55">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14817</Words>
  <Characters>15676</Characters>
  <Lines>50</Lines>
  <Paragraphs>14</Paragraphs>
  <TotalTime>22</TotalTime>
  <ScaleCrop>false</ScaleCrop>
  <LinksUpToDate>false</LinksUpToDate>
  <CharactersWithSpaces>15701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2020-07-06T00:35:00Z</dcterms:created>
  <dc:creator>赵 恺（预算处）</dc:creator>
  <cp:lastModifiedBy>user</cp:lastModifiedBy>
  <cp:lastPrinted>2020-01-02T00:02:00Z</cp:lastPrinted>
  <dcterms:modified xsi:type="dcterms:W3CDTF">2024-08-30T20:05:29Z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013360FACCE1418B80C968824022A9DF</vt:lpwstr>
  </property>
  <property fmtid="{D5CDD505-2E9C-101B-9397-08002B2CF9AE}" pid="4" name="KSOSaveFontToCloudKey">
    <vt:lpwstr>0_btnclosed</vt:lpwstr>
  </property>
</Properties>
</file>