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bookmarkStart w:id="52" w:name="_GoBack"/>
      <w:bookmarkEnd w:id="52"/>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新疆维吾尔自治区药品监督管理局培训中心</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单位2023年度部门决算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highlight w:val="none"/>
        </w:rPr>
      </w:pPr>
      <w:r>
        <w:rPr>
          <w:rFonts w:hint="eastAsia" w:ascii="仿宋_GB2312" w:hAnsi="仿宋_GB2312" w:eastAsia="仿宋_GB2312" w:cs="仿宋_GB2312"/>
          <w:b/>
          <w:kern w:val="0"/>
          <w:sz w:val="36"/>
          <w:szCs w:val="36"/>
          <w:highlight w:val="none"/>
        </w:rPr>
        <w:t>目  录</w:t>
      </w:r>
    </w:p>
    <w:p>
      <w:pPr>
        <w:pStyle w:val="6"/>
        <w:tabs>
          <w:tab w:val="right" w:pos="8306"/>
        </w:tabs>
        <w:rPr>
          <w:rFonts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highlight w:val="none"/>
        </w:rPr>
        <w:fldChar w:fldCharType="begin"/>
      </w:r>
      <w:r>
        <w:rPr>
          <w:highlight w:val="none"/>
        </w:rPr>
        <w:instrText xml:space="preserve"> HYPERLINK \l "_Toc32314" </w:instrText>
      </w:r>
      <w:r>
        <w:rPr>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"_Toc30567" </w:instrText>
      </w:r>
      <w:r>
        <w:rPr>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"_Toc2151" </w:instrText>
      </w:r>
      <w:r>
        <w:rPr>
          <w:highlight w:val="none"/>
        </w:rPr>
        <w:fldChar w:fldCharType="separate"/>
      </w:r>
      <w:r>
        <w:rPr>
          <w:rFonts w:hint="eastAsia" w:ascii="仿宋_GB2312" w:hAnsi="仿宋_GB2312" w:eastAsia="仿宋_GB2312" w:cs="仿宋_GB2312"/>
          <w:bCs/>
          <w:kern w:val="0"/>
          <w:sz w:val="32"/>
          <w:szCs w:val="32"/>
          <w:highlight w:val="none"/>
        </w:rPr>
        <w:t>二、机构设置及人员情况</w:t>
      </w:r>
      <w:r>
        <w:rPr>
          <w:rFonts w:hint="eastAsia" w:ascii="仿宋_GB2312" w:hAnsi="仿宋_GB2312" w:eastAsia="仿宋_GB2312" w:cs="仿宋_GB2312"/>
          <w:bCs/>
          <w:kern w:val="0"/>
          <w:sz w:val="32"/>
          <w:szCs w:val="32"/>
          <w:highlight w:val="none"/>
        </w:rPr>
        <w:fldChar w:fldCharType="end"/>
      </w:r>
    </w:p>
    <w:p>
      <w:pPr>
        <w:pStyle w:val="6"/>
        <w:tabs>
          <w:tab w:val="right" w:pos="8306"/>
        </w:tabs>
        <w:rPr>
          <w:rFonts w:ascii="仿宋_GB2312" w:hAnsi="仿宋_GB2312" w:eastAsia="仿宋_GB2312" w:cs="仿宋_GB2312"/>
          <w:b/>
          <w:bCs/>
          <w:sz w:val="32"/>
          <w:szCs w:val="32"/>
          <w:highlight w:val="none"/>
        </w:rPr>
      </w:pPr>
      <w:r>
        <w:rPr>
          <w:highlight w:val="none"/>
        </w:rPr>
        <w:fldChar w:fldCharType="begin"/>
      </w:r>
      <w:r>
        <w:rPr>
          <w:highlight w:val="none"/>
        </w:rPr>
        <w:instrText xml:space="preserve"> HYPERLINK \l "_Toc29374" </w:instrText>
      </w:r>
      <w:r>
        <w:rPr>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"_Toc25314" </w:instrText>
      </w:r>
      <w:r>
        <w:rPr>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"_Toc12142" </w:instrText>
      </w:r>
      <w:r>
        <w:rPr>
          <w:highlight w:val="none"/>
        </w:rPr>
        <w:fldChar w:fldCharType="separate"/>
      </w:r>
      <w:r>
        <w:rPr>
          <w:rFonts w:hint="eastAsia" w:ascii="仿宋_GB2312" w:hAnsi="仿宋_GB2312" w:eastAsia="仿宋_GB2312" w:cs="仿宋_GB2312"/>
          <w:bCs/>
          <w:kern w:val="0"/>
          <w:sz w:val="32"/>
          <w:szCs w:val="32"/>
          <w:highlight w:val="none"/>
        </w:rPr>
        <w:t>二、收入决算情况说明</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"_Toc13201" </w:instrText>
      </w:r>
      <w:r>
        <w:rPr>
          <w:highlight w:val="none"/>
        </w:rPr>
        <w:fldChar w:fldCharType="separate"/>
      </w:r>
      <w:r>
        <w:rPr>
          <w:rFonts w:hint="eastAsia" w:ascii="仿宋_GB2312" w:hAnsi="仿宋_GB2312" w:eastAsia="仿宋_GB2312" w:cs="仿宋_GB2312"/>
          <w:bCs/>
          <w:kern w:val="0"/>
          <w:sz w:val="32"/>
          <w:szCs w:val="32"/>
          <w:highlight w:val="none"/>
        </w:rPr>
        <w:t>三、支出决算情况说明</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"_Toc26564" </w:instrText>
      </w:r>
      <w:r>
        <w:rPr>
          <w:highlight w:val="none"/>
        </w:rPr>
        <w:fldChar w:fldCharType="separate"/>
      </w:r>
      <w:r>
        <w:rPr>
          <w:rFonts w:hint="eastAsia" w:ascii="仿宋_GB2312" w:hAnsi="仿宋_GB2312" w:eastAsia="仿宋_GB2312" w:cs="仿宋_GB2312"/>
          <w:bCs/>
          <w:kern w:val="0"/>
          <w:sz w:val="32"/>
          <w:szCs w:val="32"/>
          <w:highlight w:val="none"/>
        </w:rPr>
        <w:t>四、财政拨款收入支出决算总体情况说明</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"_Toc20360" </w:instrText>
      </w:r>
      <w:r>
        <w:rPr>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五、一般公共预算财政拨款支出决算情况说明</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"_Toc30870" </w:instrText>
      </w:r>
      <w:r>
        <w:rPr>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六、一般公共预算财政拨款基本支出决算情况说明</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"_Toc21518" </w:instrText>
      </w:r>
      <w:r>
        <w:rPr>
          <w:highlight w:val="none"/>
        </w:rPr>
        <w:fldChar w:fldCharType="separate"/>
      </w:r>
      <w:r>
        <w:rPr>
          <w:rFonts w:hint="eastAsia" w:ascii="仿宋_GB2312" w:hAnsi="仿宋_GB2312" w:eastAsia="仿宋_GB2312" w:cs="仿宋_GB2312"/>
          <w:bCs/>
          <w:kern w:val="0"/>
          <w:sz w:val="32"/>
          <w:szCs w:val="32"/>
          <w:highlight w:val="none"/>
        </w:rPr>
        <w:t>七、财政拨款“三公”经费支出决算情况说明</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"_Toc5810" </w:instrText>
      </w:r>
      <w:r>
        <w:rPr>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八、政府性基金预算财政拨款收入支出决算情况说明</w:t>
      </w:r>
      <w:r>
        <w:rPr>
          <w:rFonts w:hint="eastAsia" w:ascii="仿宋_GB2312" w:hAnsi="仿宋_GB2312" w:eastAsia="仿宋_GB2312" w:cs="仿宋_GB2312"/>
          <w:bCs/>
          <w:kern w:val="0"/>
          <w:sz w:val="32"/>
          <w:szCs w:val="32"/>
          <w:highlight w:val="none"/>
        </w:rPr>
        <w:fldChar w:fldCharType="end"/>
      </w:r>
    </w:p>
    <w:p>
      <w:pPr>
        <w:rPr>
          <w:highlight w:val="none"/>
        </w:rPr>
      </w:pPr>
      <w:r>
        <w:rPr>
          <w:highlight w:val="none"/>
        </w:rPr>
        <w:fldChar w:fldCharType="begin"/>
      </w:r>
      <w:r>
        <w:rPr>
          <w:highlight w:val="none"/>
        </w:rPr>
        <w:instrText xml:space="preserve"> HYPERLINK \l "_Toc5810" </w:instrText>
      </w:r>
      <w:r>
        <w:rPr>
          <w:highlight w:val="none"/>
        </w:rPr>
        <w:fldChar w:fldCharType="separate"/>
      </w:r>
      <w:r>
        <w:rPr>
          <w:rFonts w:hint="eastAsia" w:ascii="仿宋_GB2312" w:hAnsi="仿宋_GB2312" w:eastAsia="仿宋_GB2312" w:cs="仿宋_GB2312"/>
          <w:bCs/>
          <w:kern w:val="0"/>
          <w:sz w:val="32"/>
          <w:szCs w:val="32"/>
          <w:highlight w:val="none"/>
        </w:rPr>
        <w:t>九、国有资本经营预算财政拨款收入支出决算情况说明</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"_Toc1235" </w:instrText>
      </w:r>
      <w:r>
        <w:rPr>
          <w:highlight w:val="none"/>
        </w:rPr>
        <w:fldChar w:fldCharType="separate"/>
      </w:r>
      <w:r>
        <w:rPr>
          <w:rFonts w:hint="eastAsia" w:ascii="仿宋_GB2312" w:hAnsi="仿宋_GB2312" w:eastAsia="仿宋_GB2312" w:cs="仿宋_GB2312"/>
          <w:sz w:val="32"/>
          <w:szCs w:val="32"/>
          <w:highlight w:val="none"/>
        </w:rPr>
        <w:t>十</w:t>
      </w:r>
      <w:r>
        <w:rPr>
          <w:rFonts w:hint="eastAsia" w:ascii="仿宋_GB2312" w:hAnsi="仿宋_GB2312" w:eastAsia="仿宋_GB2312" w:cs="仿宋_GB2312"/>
          <w:bCs/>
          <w:kern w:val="0"/>
          <w:sz w:val="32"/>
          <w:szCs w:val="32"/>
          <w:highlight w:val="none"/>
        </w:rPr>
        <w:t>、其他重要事项的情况说明</w:t>
      </w:r>
      <w:r>
        <w:rPr>
          <w:rFonts w:hint="eastAsia" w:ascii="仿宋_GB2312" w:hAnsi="仿宋_GB2312" w:eastAsia="仿宋_GB2312" w:cs="仿宋_GB2312"/>
          <w:bCs/>
          <w:kern w:val="0"/>
          <w:sz w:val="32"/>
          <w:szCs w:val="32"/>
          <w:highlight w:val="none"/>
        </w:rPr>
        <w:fldChar w:fldCharType="end"/>
      </w:r>
    </w:p>
    <w:p>
      <w:pPr>
        <w:pStyle w:val="3"/>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"_Toc14519" </w:instrText>
      </w:r>
      <w:r>
        <w:rPr>
          <w:highlight w:val="none"/>
        </w:rPr>
        <w:fldChar w:fldCharType="separate"/>
      </w:r>
      <w:r>
        <w:rPr>
          <w:rFonts w:hint="eastAsia" w:ascii="仿宋_GB2312" w:hAnsi="仿宋_GB2312" w:eastAsia="仿宋_GB2312" w:cs="仿宋_GB2312"/>
          <w:sz w:val="32"/>
          <w:szCs w:val="32"/>
          <w:highlight w:val="none"/>
        </w:rPr>
        <w:t>（一）机关运行经费支出情况</w:t>
      </w:r>
      <w:r>
        <w:rPr>
          <w:rFonts w:hint="eastAsia" w:ascii="仿宋_GB2312" w:hAnsi="仿宋_GB2312" w:eastAsia="仿宋_GB2312" w:cs="仿宋_GB2312"/>
          <w:sz w:val="32"/>
          <w:szCs w:val="32"/>
          <w:highlight w:val="none"/>
        </w:rPr>
        <w:fldChar w:fldCharType="end"/>
      </w:r>
    </w:p>
    <w:p>
      <w:pPr>
        <w:pStyle w:val="3"/>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"_Toc227" </w:instrText>
      </w:r>
      <w:r>
        <w:rPr>
          <w:highlight w:val="none"/>
        </w:rPr>
        <w:fldChar w:fldCharType="separate"/>
      </w:r>
      <w:r>
        <w:rPr>
          <w:rFonts w:hint="eastAsia" w:ascii="仿宋_GB2312" w:hAnsi="仿宋_GB2312" w:eastAsia="仿宋_GB2312" w:cs="仿宋_GB2312"/>
          <w:sz w:val="32"/>
          <w:szCs w:val="32"/>
          <w:highlight w:val="none"/>
        </w:rPr>
        <w:t>（二）政府采购情况</w:t>
      </w:r>
      <w:r>
        <w:rPr>
          <w:rFonts w:hint="eastAsia" w:ascii="仿宋_GB2312" w:hAnsi="仿宋_GB2312" w:eastAsia="仿宋_GB2312" w:cs="仿宋_GB2312"/>
          <w:sz w:val="32"/>
          <w:szCs w:val="32"/>
          <w:highlight w:val="none"/>
        </w:rPr>
        <w:fldChar w:fldCharType="end"/>
      </w:r>
    </w:p>
    <w:p>
      <w:pPr>
        <w:pStyle w:val="3"/>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"_Toc8391" </w:instrText>
      </w:r>
      <w:r>
        <w:rPr>
          <w:highlight w:val="none"/>
        </w:rPr>
        <w:fldChar w:fldCharType="separate"/>
      </w:r>
      <w:r>
        <w:rPr>
          <w:rFonts w:hint="eastAsia" w:ascii="仿宋_GB2312" w:hAnsi="仿宋_GB2312" w:eastAsia="仿宋_GB2312" w:cs="仿宋_GB2312"/>
          <w:sz w:val="32"/>
          <w:szCs w:val="32"/>
          <w:highlight w:val="none"/>
        </w:rPr>
        <w:t>（三）国有资产占用情况说明</w:t>
      </w:r>
      <w:r>
        <w:rPr>
          <w:rFonts w:hint="eastAsia" w:ascii="仿宋_GB2312" w:hAnsi="仿宋_GB2312" w:eastAsia="仿宋_GB2312" w:cs="仿宋_GB2312"/>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"_Toc11283" </w:instrText>
      </w:r>
      <w:r>
        <w:rPr>
          <w:highlight w:val="none"/>
        </w:rPr>
        <w:fldChar w:fldCharType="separate"/>
      </w:r>
      <w:r>
        <w:rPr>
          <w:rFonts w:hint="eastAsia" w:ascii="仿宋_GB2312" w:hAnsi="仿宋_GB2312" w:eastAsia="仿宋_GB2312" w:cs="仿宋_GB2312"/>
          <w:bCs/>
          <w:kern w:val="0"/>
          <w:sz w:val="32"/>
          <w:szCs w:val="32"/>
          <w:highlight w:val="none"/>
        </w:rPr>
        <w:t>十一、预算绩效的情况说明</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十二、其他需说明的事项</w:t>
      </w:r>
    </w:p>
    <w:p>
      <w:pPr>
        <w:pStyle w:val="6"/>
        <w:tabs>
          <w:tab w:val="right" w:pos="8306"/>
        </w:tabs>
        <w:rPr>
          <w:rFonts w:ascii="仿宋_GB2312" w:hAnsi="仿宋_GB2312" w:eastAsia="仿宋_GB2312" w:cs="仿宋_GB2312"/>
          <w:b/>
          <w:bCs/>
          <w:sz w:val="32"/>
          <w:szCs w:val="32"/>
          <w:highlight w:val="none"/>
        </w:rPr>
      </w:pPr>
      <w:r>
        <w:rPr>
          <w:highlight w:val="none"/>
        </w:rPr>
        <w:fldChar w:fldCharType="begin"/>
      </w:r>
      <w:r>
        <w:rPr>
          <w:highlight w:val="none"/>
        </w:rPr>
        <w:instrText xml:space="preserve"> HYPERLINK \l "_Toc3250" </w:instrText>
      </w:r>
      <w:r>
        <w:rPr>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tabs>
          <w:tab w:val="right" w:pos="8306"/>
        </w:tabs>
        <w:rPr>
          <w:rFonts w:ascii="仿宋_GB2312" w:hAnsi="仿宋_GB2312" w:eastAsia="仿宋_GB2312" w:cs="仿宋_GB2312"/>
          <w:b/>
          <w:bCs/>
          <w:sz w:val="32"/>
          <w:szCs w:val="32"/>
          <w:highlight w:val="none"/>
        </w:rPr>
      </w:pPr>
      <w:r>
        <w:rPr>
          <w:highlight w:val="none"/>
        </w:rPr>
        <w:fldChar w:fldCharType="begin"/>
      </w:r>
      <w:r>
        <w:rPr>
          <w:highlight w:val="none"/>
        </w:rPr>
        <w:instrText xml:space="preserve"> HYPERLINK \l "_Toc22784" </w:instrText>
      </w:r>
      <w:r>
        <w:rPr>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"_Toc2183" </w:instrText>
      </w:r>
      <w:r>
        <w:rPr>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"_Toc24532" </w:instrText>
      </w:r>
      <w:r>
        <w:rPr>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"_Toc32434" </w:instrText>
      </w:r>
      <w:r>
        <w:rPr>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"_Toc28786" </w:instrText>
      </w:r>
      <w:r>
        <w:rPr>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"_Toc14869" </w:instrText>
      </w:r>
      <w:r>
        <w:rPr>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"_Toc8884" </w:instrText>
      </w:r>
      <w:r>
        <w:rPr>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"_Toc29106" </w:instrText>
      </w:r>
      <w:r>
        <w:rPr>
          <w:highlight w:val="none"/>
        </w:rPr>
        <w:fldChar w:fldCharType="separate"/>
      </w:r>
      <w:r>
        <w:rPr>
          <w:rFonts w:hint="eastAsia" w:ascii="仿宋_GB2312" w:hAnsi="仿宋_GB2312" w:eastAsia="仿宋_GB2312" w:cs="仿宋_GB2312"/>
          <w:bCs/>
          <w:kern w:val="0"/>
          <w:sz w:val="32"/>
          <w:szCs w:val="32"/>
          <w:highlight w:val="none"/>
        </w:rPr>
        <w:t>七、《财政拨款“三公”经费支出决算表》</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bCs/>
          <w:kern w:val="0"/>
          <w:sz w:val="32"/>
          <w:szCs w:val="32"/>
          <w:highlight w:val="none"/>
        </w:rPr>
      </w:pPr>
      <w:r>
        <w:rPr>
          <w:highlight w:val="none"/>
        </w:rPr>
        <w:fldChar w:fldCharType="begin"/>
      </w:r>
      <w:r>
        <w:rPr>
          <w:highlight w:val="none"/>
        </w:rPr>
        <w:instrText xml:space="preserve"> HYPERLINK \l "_Toc7643" </w:instrText>
      </w:r>
      <w:r>
        <w:rPr>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tabs>
          <w:tab w:val="right" w:pos="8306"/>
        </w:tabs>
        <w:ind w:left="0" w:leftChars="0"/>
        <w:rPr>
          <w:rFonts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九、《国有资本经营预算财政拨款收入支出决算表》</w:t>
      </w:r>
    </w:p>
    <w:p>
      <w:pPr>
        <w:rPr>
          <w:highlight w:val="none"/>
        </w:rPr>
      </w:pPr>
      <w:r>
        <w:rPr>
          <w:rFonts w:hint="eastAsia" w:ascii="仿宋_GB2312" w:hAnsi="仿宋_GB2312" w:eastAsia="仿宋_GB2312" w:cs="仿宋_GB2312"/>
          <w:sz w:val="32"/>
          <w:szCs w:val="32"/>
          <w:highlight w:val="none"/>
        </w:rPr>
        <w:fldChar w:fldCharType="end"/>
      </w:r>
    </w:p>
    <w:p>
      <w:pPr>
        <w:rPr>
          <w:rFonts w:ascii="仿宋_GB2312" w:eastAsia="仿宋_GB2312"/>
          <w:sz w:val="32"/>
          <w:szCs w:val="32"/>
          <w:highlight w:val="none"/>
        </w:rPr>
      </w:pPr>
      <w:r>
        <w:rPr>
          <w:rFonts w:hint="eastAsia" w:ascii="仿宋_GB2312" w:eastAsia="仿宋_GB2312"/>
          <w:sz w:val="32"/>
          <w:szCs w:val="32"/>
          <w:highlight w:val="none"/>
        </w:rPr>
        <w:br w:type="page"/>
      </w:r>
    </w:p>
    <w:p>
      <w:pPr>
        <w:jc w:val="center"/>
        <w:outlineLvl w:val="0"/>
        <w:rPr>
          <w:rFonts w:ascii="黑体" w:hAnsi="黑体" w:eastAsia="黑体"/>
          <w:sz w:val="32"/>
          <w:szCs w:val="32"/>
          <w:highlight w:val="none"/>
        </w:rPr>
      </w:pPr>
      <w:bookmarkStart w:id="0" w:name="_Toc24028"/>
      <w:bookmarkStart w:id="1" w:name="_Toc32314"/>
      <w:r>
        <w:rPr>
          <w:rFonts w:hint="eastAsia" w:ascii="黑体" w:hAnsi="黑体" w:eastAsia="黑体"/>
          <w:sz w:val="32"/>
          <w:szCs w:val="32"/>
          <w:highlight w:val="none"/>
        </w:rPr>
        <w:t>第一部分 单位概况</w:t>
      </w:r>
      <w:bookmarkEnd w:id="0"/>
      <w:bookmarkEnd w:id="1"/>
    </w:p>
    <w:p>
      <w:pPr>
        <w:ind w:firstLine="640" w:firstLineChars="200"/>
        <w:outlineLvl w:val="1"/>
        <w:rPr>
          <w:rFonts w:ascii="黑体" w:hAnsi="黑体" w:eastAsia="黑体" w:cs="宋体"/>
          <w:bCs/>
          <w:kern w:val="0"/>
          <w:sz w:val="32"/>
          <w:szCs w:val="32"/>
          <w:highlight w:val="none"/>
        </w:rPr>
      </w:pPr>
      <w:bookmarkStart w:id="2" w:name="_Toc30738"/>
      <w:bookmarkStart w:id="3" w:name="_Toc30567"/>
      <w:r>
        <w:rPr>
          <w:rFonts w:hint="eastAsia" w:ascii="黑体" w:hAnsi="黑体" w:eastAsia="黑体" w:cs="宋体"/>
          <w:bCs/>
          <w:kern w:val="0"/>
          <w:sz w:val="32"/>
          <w:szCs w:val="32"/>
          <w:highlight w:val="none"/>
        </w:rPr>
        <w:t>一、主要职能</w:t>
      </w:r>
      <w:bookmarkEnd w:id="2"/>
      <w:bookmarkEnd w:id="3"/>
    </w:p>
    <w:p>
      <w:pPr>
        <w:adjustRightInd w:val="0"/>
        <w:ind w:firstLine="640" w:firstLineChars="200"/>
        <w:rPr>
          <w:rFonts w:ascii="仿宋_GB2312" w:hAnsi="仿宋_GB2312" w:eastAsia="仿宋_GB2312" w:cs="仿宋_GB2312"/>
          <w:bCs/>
          <w:kern w:val="0"/>
          <w:sz w:val="32"/>
          <w:szCs w:val="32"/>
          <w:highlight w:val="none"/>
        </w:rPr>
      </w:pPr>
      <w:bookmarkStart w:id="4" w:name="_Toc31238"/>
      <w:bookmarkStart w:id="5" w:name="_Toc2151"/>
      <w:r>
        <w:rPr>
          <w:rFonts w:hint="eastAsia" w:ascii="仿宋_GB2312" w:hAnsi="仿宋_GB2312" w:eastAsia="仿宋_GB2312" w:cs="仿宋_GB2312"/>
          <w:bCs/>
          <w:kern w:val="0"/>
          <w:sz w:val="32"/>
          <w:szCs w:val="32"/>
          <w:highlight w:val="none"/>
        </w:rPr>
        <w:t>（一）承担自治区药品监督管理局干部教育培训的组织实施工作。</w:t>
      </w:r>
    </w:p>
    <w:p>
      <w:pPr>
        <w:adjustRightInd w:val="0"/>
        <w:ind w:firstLine="640" w:firstLineChars="200"/>
        <w:rPr>
          <w:rFonts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（二）负责对全区药品、医疗器械、化妆品行业进行法律法规、质量标准、科研技术新方法、新工艺和管理技术的推广与培训工作。</w:t>
      </w:r>
    </w:p>
    <w:p>
      <w:pPr>
        <w:adjustRightInd w:val="0"/>
        <w:ind w:firstLine="640" w:firstLineChars="200"/>
        <w:rPr>
          <w:rFonts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（三）开展药品生产规范（</w:t>
      </w:r>
      <w:r>
        <w:rPr>
          <w:rFonts w:ascii="仿宋_GB2312" w:hAnsi="仿宋_GB2312" w:eastAsia="仿宋_GB2312" w:cs="仿宋_GB2312"/>
          <w:bCs/>
          <w:kern w:val="0"/>
          <w:sz w:val="32"/>
          <w:szCs w:val="32"/>
          <w:highlight w:val="none"/>
        </w:rPr>
        <w:t>GMP</w:t>
      </w:r>
      <w:r>
        <w:rPr>
          <w:rFonts w:hint="eastAsia" w:ascii="仿宋_GB2312" w:hAnsi="仿宋_GB2312" w:eastAsia="仿宋_GB2312" w:cs="仿宋_GB2312"/>
          <w:bCs/>
          <w:kern w:val="0"/>
          <w:sz w:val="32"/>
          <w:szCs w:val="32"/>
          <w:highlight w:val="none"/>
        </w:rPr>
        <w:t>）、药品经营规范（</w:t>
      </w:r>
      <w:r>
        <w:rPr>
          <w:rFonts w:ascii="仿宋_GB2312" w:hAnsi="仿宋_GB2312" w:eastAsia="仿宋_GB2312" w:cs="仿宋_GB2312"/>
          <w:bCs/>
          <w:kern w:val="0"/>
          <w:sz w:val="32"/>
          <w:szCs w:val="32"/>
          <w:highlight w:val="none"/>
        </w:rPr>
        <w:t>GSP</w:t>
      </w:r>
      <w:r>
        <w:rPr>
          <w:rFonts w:hint="eastAsia" w:ascii="仿宋_GB2312" w:hAnsi="仿宋_GB2312" w:eastAsia="仿宋_GB2312" w:cs="仿宋_GB2312"/>
          <w:bCs/>
          <w:kern w:val="0"/>
          <w:sz w:val="32"/>
          <w:szCs w:val="32"/>
          <w:highlight w:val="none"/>
        </w:rPr>
        <w:t>）职业化、专业化检查员队伍培训和继续教育等工作。</w:t>
      </w:r>
    </w:p>
    <w:p>
      <w:pPr>
        <w:adjustRightInd w:val="0"/>
        <w:ind w:firstLine="640" w:firstLineChars="200"/>
        <w:rPr>
          <w:rFonts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（四）承担全区药品、医疗器械、化妆品的研究、生产、经营、使用单位从业人员的岗前培训和继续教育。</w:t>
      </w:r>
    </w:p>
    <w:p>
      <w:pPr>
        <w:adjustRightInd w:val="0"/>
        <w:ind w:firstLine="640" w:firstLineChars="200"/>
        <w:rPr>
          <w:rFonts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（五）开展系统内和全区行业内的业务培训、考察与交流。</w:t>
      </w:r>
    </w:p>
    <w:p>
      <w:pPr>
        <w:ind w:firstLine="640" w:firstLineChars="200"/>
        <w:outlineLvl w:val="1"/>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二、机构设置及</w:t>
      </w:r>
      <w:bookmarkEnd w:id="4"/>
      <w:r>
        <w:rPr>
          <w:rFonts w:hint="eastAsia" w:ascii="黑体" w:hAnsi="黑体" w:eastAsia="黑体" w:cs="宋体"/>
          <w:bCs/>
          <w:kern w:val="0"/>
          <w:sz w:val="32"/>
          <w:szCs w:val="32"/>
          <w:highlight w:val="none"/>
        </w:rPr>
        <w:t>人员情况</w:t>
      </w:r>
      <w:bookmarkEnd w:id="5"/>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新疆维吾尔自治区药品监督管理局培训中心单位2023年度，实有人数4人，其中：在职人员3人，离休人员0人，退休人员1人。</w:t>
      </w:r>
    </w:p>
    <w:p>
      <w:pPr>
        <w:ind w:firstLine="640" w:firstLineChars="200"/>
        <w:rPr>
          <w:rFonts w:ascii="仿宋_GB2312" w:eastAsia="仿宋_GB2312"/>
          <w:sz w:val="32"/>
          <w:szCs w:val="32"/>
          <w:highlight w:val="none"/>
        </w:rPr>
      </w:pPr>
      <w:r>
        <w:rPr>
          <w:rFonts w:hint="eastAsia" w:ascii="仿宋_GB2312" w:hAnsi="黑体" w:eastAsia="仿宋_GB2312" w:cs="宋体"/>
          <w:bCs/>
          <w:kern w:val="0"/>
          <w:sz w:val="32"/>
          <w:szCs w:val="32"/>
          <w:highlight w:val="none"/>
        </w:rPr>
        <w:t>单位无下属预算单位，下设0个处室，分别是：无下设处室</w:t>
      </w:r>
      <w:r>
        <w:rPr>
          <w:rFonts w:hint="eastAsia" w:ascii="仿宋_GB2312" w:hAnsi="宋体" w:eastAsia="仿宋_GB2312" w:cs="宋体"/>
          <w:kern w:val="0"/>
          <w:sz w:val="32"/>
          <w:szCs w:val="32"/>
          <w:highlight w:val="none"/>
        </w:rPr>
        <w:t>。</w:t>
      </w:r>
    </w:p>
    <w:p>
      <w:pPr>
        <w:jc w:val="center"/>
        <w:outlineLvl w:val="0"/>
        <w:rPr>
          <w:rFonts w:ascii="黑体" w:hAnsi="黑体" w:eastAsia="黑体"/>
          <w:sz w:val="32"/>
          <w:szCs w:val="32"/>
          <w:highlight w:val="none"/>
        </w:rPr>
      </w:pPr>
      <w:bookmarkStart w:id="6" w:name="_Toc3092"/>
      <w:bookmarkStart w:id="7" w:name="_Toc29374"/>
      <w:r>
        <w:rPr>
          <w:rFonts w:hint="eastAsia" w:ascii="黑体" w:hAnsi="黑体" w:eastAsia="黑体"/>
          <w:sz w:val="32"/>
          <w:szCs w:val="32"/>
          <w:highlight w:val="none"/>
        </w:rPr>
        <w:t>第二部分 部门决算情况说明</w:t>
      </w:r>
      <w:bookmarkEnd w:id="6"/>
      <w:bookmarkEnd w:id="7"/>
    </w:p>
    <w:p>
      <w:pPr>
        <w:ind w:firstLine="640" w:firstLineChars="200"/>
        <w:outlineLvl w:val="1"/>
        <w:rPr>
          <w:rFonts w:ascii="黑体" w:hAnsi="黑体" w:eastAsia="黑体" w:cs="宋体"/>
          <w:bCs/>
          <w:kern w:val="0"/>
          <w:sz w:val="32"/>
          <w:szCs w:val="32"/>
          <w:highlight w:val="none"/>
        </w:rPr>
      </w:pPr>
      <w:bookmarkStart w:id="8" w:name="_Toc12566"/>
      <w:bookmarkStart w:id="9" w:name="_Toc25314"/>
      <w:r>
        <w:rPr>
          <w:rFonts w:hint="eastAsia" w:ascii="黑体" w:hAnsi="黑体" w:eastAsia="黑体" w:cs="宋体"/>
          <w:bCs/>
          <w:kern w:val="0"/>
          <w:sz w:val="32"/>
          <w:szCs w:val="32"/>
          <w:highlight w:val="none"/>
        </w:rPr>
        <w:t>一、收入支出决算总体情况说明</w:t>
      </w:r>
      <w:bookmarkEnd w:id="8"/>
      <w:bookmarkEnd w:id="9"/>
    </w:p>
    <w:p>
      <w:pPr>
        <w:ind w:firstLine="640" w:firstLineChars="200"/>
        <w:rPr>
          <w:rFonts w:hint="eastAsia" w:ascii="仿宋_GB2312" w:hAnsi="仿宋_GB2312" w:eastAsia="仿宋_GB2312" w:cs="仿宋_GB2312"/>
          <w:sz w:val="32"/>
          <w:szCs w:val="32"/>
          <w:highlight w:val="none"/>
          <w:lang w:eastAsia="zh-CN"/>
        </w:rPr>
      </w:pPr>
      <w:r>
        <w:rPr>
          <w:rFonts w:hint="eastAsia" w:ascii="仿宋_GB2312" w:eastAsia="仿宋_GB2312"/>
          <w:sz w:val="32"/>
          <w:szCs w:val="32"/>
          <w:highlight w:val="none"/>
        </w:rPr>
        <w:t>2023年度收入总</w:t>
      </w:r>
      <w:r>
        <w:rPr>
          <w:rFonts w:hint="eastAsia" w:ascii="仿宋_GB2312" w:hAnsi="仿宋_GB2312" w:eastAsia="仿宋_GB2312" w:cs="仿宋_GB2312"/>
          <w:sz w:val="32"/>
          <w:szCs w:val="32"/>
          <w:highlight w:val="none"/>
        </w:rPr>
        <w:t>计</w:t>
      </w:r>
      <w:r>
        <w:rPr>
          <w:rFonts w:hint="eastAsia" w:ascii="仿宋_GB2312" w:hAnsi="仿宋_GB2312" w:eastAsia="仿宋_GB2312" w:cs="仿宋_GB2312"/>
          <w:sz w:val="30"/>
          <w:szCs w:val="30"/>
          <w:highlight w:val="none"/>
        </w:rPr>
        <w:t>466.34</w:t>
      </w:r>
      <w:r>
        <w:rPr>
          <w:rFonts w:hint="eastAsia" w:ascii="仿宋_GB2312" w:hAnsi="仿宋_GB2312" w:eastAsia="仿宋_GB2312" w:cs="仿宋_GB2312"/>
          <w:sz w:val="32"/>
          <w:szCs w:val="32"/>
          <w:highlight w:val="none"/>
        </w:rPr>
        <w:t>万元，其中：本年收入合计</w:t>
      </w:r>
      <w:r>
        <w:rPr>
          <w:rFonts w:hint="eastAsia" w:ascii="仿宋_GB2312" w:hAnsi="仿宋_GB2312" w:eastAsia="仿宋_GB2312" w:cs="仿宋_GB2312"/>
          <w:sz w:val="30"/>
          <w:szCs w:val="30"/>
          <w:highlight w:val="none"/>
        </w:rPr>
        <w:t>432.33</w:t>
      </w:r>
      <w:r>
        <w:rPr>
          <w:rFonts w:hint="eastAsia" w:ascii="仿宋_GB2312" w:hAnsi="仿宋_GB2312" w:eastAsia="仿宋_GB2312" w:cs="仿宋_GB2312"/>
          <w:sz w:val="32"/>
          <w:szCs w:val="32"/>
          <w:highlight w:val="none"/>
        </w:rPr>
        <w:t>万元，使用非财政拨款结余</w:t>
      </w:r>
      <w:r>
        <w:rPr>
          <w:rFonts w:hint="eastAsia" w:ascii="仿宋_GB2312" w:hAnsi="仿宋_GB2312" w:eastAsia="仿宋_GB2312" w:cs="仿宋_GB2312"/>
          <w:sz w:val="30"/>
          <w:szCs w:val="30"/>
          <w:highlight w:val="none"/>
        </w:rPr>
        <w:t>34.01</w:t>
      </w:r>
      <w:r>
        <w:rPr>
          <w:rFonts w:hint="eastAsia" w:ascii="仿宋_GB2312" w:hAnsi="仿宋_GB2312" w:eastAsia="仿宋_GB2312" w:cs="仿宋_GB2312"/>
          <w:sz w:val="32"/>
          <w:szCs w:val="32"/>
          <w:highlight w:val="none"/>
        </w:rPr>
        <w:t>万元，年初结转和结余</w:t>
      </w:r>
      <w:r>
        <w:rPr>
          <w:rFonts w:hint="eastAsia" w:ascii="仿宋_GB2312" w:hAnsi="仿宋_GB2312" w:eastAsia="仿宋_GB2312" w:cs="仿宋_GB2312"/>
          <w:sz w:val="30"/>
          <w:szCs w:val="30"/>
          <w:highlight w:val="none"/>
        </w:rPr>
        <w:t>0.00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p>
    <w:p>
      <w:pPr>
        <w:ind w:firstLine="640" w:firstLineChars="200"/>
        <w:rPr>
          <w:rFonts w:hint="eastAsia" w:ascii="仿宋_GB2312" w:eastAsia="仿宋_GB2312"/>
          <w:sz w:val="32"/>
          <w:szCs w:val="32"/>
          <w:highlight w:val="none"/>
        </w:rPr>
      </w:pPr>
      <w:r>
        <w:rPr>
          <w:rFonts w:hint="eastAsia" w:ascii="仿宋_GB2312" w:hAnsi="仿宋_GB2312" w:eastAsia="仿宋_GB2312" w:cs="仿宋_GB2312"/>
          <w:sz w:val="32"/>
          <w:szCs w:val="32"/>
          <w:highlight w:val="none"/>
        </w:rPr>
        <w:t>本年支出总计</w:t>
      </w:r>
      <w:r>
        <w:rPr>
          <w:rFonts w:hint="eastAsia" w:ascii="仿宋_GB2312" w:hAnsi="仿宋_GB2312" w:eastAsia="仿宋_GB2312" w:cs="仿宋_GB2312"/>
          <w:sz w:val="30"/>
          <w:szCs w:val="30"/>
          <w:highlight w:val="none"/>
        </w:rPr>
        <w:t>466.34</w:t>
      </w:r>
      <w:r>
        <w:rPr>
          <w:rFonts w:hint="eastAsia" w:ascii="仿宋_GB2312" w:hAnsi="仿宋_GB2312" w:eastAsia="仿宋_GB2312" w:cs="仿宋_GB2312"/>
          <w:sz w:val="32"/>
          <w:szCs w:val="32"/>
          <w:highlight w:val="none"/>
        </w:rPr>
        <w:t>万元，其中：本年支出合计</w:t>
      </w:r>
      <w:r>
        <w:rPr>
          <w:rFonts w:hint="eastAsia" w:ascii="仿宋_GB2312" w:hAnsi="仿宋_GB2312" w:eastAsia="仿宋_GB2312" w:cs="仿宋_GB2312"/>
          <w:sz w:val="30"/>
          <w:szCs w:val="30"/>
          <w:highlight w:val="none"/>
        </w:rPr>
        <w:t>465.30</w:t>
      </w:r>
      <w:r>
        <w:rPr>
          <w:rFonts w:hint="eastAsia" w:ascii="仿宋_GB2312" w:eastAsia="仿宋_GB2312"/>
          <w:sz w:val="32"/>
          <w:szCs w:val="32"/>
          <w:highlight w:val="none"/>
        </w:rPr>
        <w:t>万元，结余分配1.04万元，年末结转和结余0.00万元。</w:t>
      </w:r>
    </w:p>
    <w:p>
      <w:pPr>
        <w:ind w:firstLine="600" w:firstLineChars="200"/>
        <w:rPr>
          <w:rFonts w:hint="eastAsia" w:ascii="仿宋_GB2312" w:eastAsia="仿宋_GB2312"/>
          <w:sz w:val="32"/>
          <w:szCs w:val="32"/>
          <w:highlight w:val="none"/>
        </w:rPr>
      </w:pPr>
      <w:r>
        <w:rPr>
          <w:rFonts w:hint="eastAsia" w:ascii="仿宋_GB2312" w:eastAsia="仿宋_GB2312"/>
          <w:sz w:val="30"/>
          <w:szCs w:val="30"/>
          <w:highlight w:val="none"/>
        </w:rPr>
        <w:t>收入</w:t>
      </w:r>
      <w:r>
        <w:rPr>
          <w:rFonts w:hint="eastAsia" w:ascii="仿宋_GB2312" w:eastAsia="仿宋_GB2312"/>
          <w:sz w:val="30"/>
          <w:szCs w:val="30"/>
          <w:highlight w:val="none"/>
          <w:lang w:eastAsia="zh-CN"/>
        </w:rPr>
        <w:t>支出</w:t>
      </w:r>
      <w:r>
        <w:rPr>
          <w:rFonts w:hint="eastAsia" w:ascii="仿宋_GB2312" w:eastAsia="仿宋_GB2312"/>
          <w:sz w:val="30"/>
          <w:szCs w:val="30"/>
          <w:highlight w:val="none"/>
        </w:rPr>
        <w:t>总</w:t>
      </w:r>
      <w:r>
        <w:rPr>
          <w:rFonts w:hint="eastAsia" w:ascii="仿宋_GB2312" w:eastAsia="仿宋_GB2312"/>
          <w:sz w:val="30"/>
          <w:szCs w:val="30"/>
          <w:highlight w:val="none"/>
          <w:lang w:eastAsia="zh-CN"/>
        </w:rPr>
        <w:t>体</w:t>
      </w:r>
      <w:r>
        <w:rPr>
          <w:rFonts w:hint="eastAsia" w:ascii="仿宋_GB2312" w:eastAsia="仿宋_GB2312"/>
          <w:sz w:val="30"/>
          <w:szCs w:val="30"/>
          <w:highlight w:val="none"/>
        </w:rPr>
        <w:t>与上年相比</w:t>
      </w:r>
      <w:r>
        <w:rPr>
          <w:rFonts w:hint="eastAsia" w:ascii="仿宋_GB2312" w:eastAsia="仿宋_GB2312"/>
          <w:sz w:val="32"/>
          <w:szCs w:val="32"/>
          <w:highlight w:val="none"/>
        </w:rPr>
        <w:t>，</w:t>
      </w:r>
      <w:r>
        <w:rPr>
          <w:rFonts w:hint="eastAsia" w:ascii="仿宋_GB2312" w:eastAsia="仿宋_GB2312"/>
          <w:sz w:val="32"/>
          <w:szCs w:val="32"/>
          <w:highlight w:val="none"/>
          <w:lang w:val="zh-CN"/>
        </w:rPr>
        <w:t>增加102.26万元</w:t>
      </w:r>
      <w:r>
        <w:rPr>
          <w:rFonts w:hint="eastAsia" w:ascii="仿宋_GB2312" w:eastAsia="仿宋_GB2312"/>
          <w:sz w:val="32"/>
          <w:szCs w:val="32"/>
          <w:highlight w:val="none"/>
        </w:rPr>
        <w:t>，</w:t>
      </w:r>
      <w:r>
        <w:rPr>
          <w:rFonts w:hint="eastAsia" w:ascii="仿宋_GB2312" w:eastAsia="仿宋_GB2312"/>
          <w:sz w:val="32"/>
          <w:szCs w:val="32"/>
          <w:highlight w:val="none"/>
          <w:lang w:val="zh-CN"/>
        </w:rPr>
        <w:t>增长28.09%</w:t>
      </w:r>
      <w:r>
        <w:rPr>
          <w:rFonts w:hint="eastAsia" w:ascii="仿宋_GB2312" w:eastAsia="仿宋_GB2312"/>
          <w:sz w:val="32"/>
          <w:szCs w:val="32"/>
          <w:highlight w:val="none"/>
        </w:rPr>
        <w:t>，主要原因是：增加的主要是培训中心专用基金支出项目和中央转移支付食品药品监管补助项目。</w:t>
      </w:r>
    </w:p>
    <w:p>
      <w:pPr>
        <w:ind w:firstLine="640" w:firstLineChars="200"/>
        <w:outlineLvl w:val="1"/>
        <w:rPr>
          <w:rFonts w:ascii="黑体" w:hAnsi="黑体" w:eastAsia="黑体" w:cs="宋体"/>
          <w:bCs/>
          <w:kern w:val="0"/>
          <w:sz w:val="32"/>
          <w:szCs w:val="32"/>
          <w:highlight w:val="none"/>
        </w:rPr>
      </w:pPr>
      <w:bookmarkStart w:id="10" w:name="_Toc1979"/>
      <w:bookmarkStart w:id="11" w:name="_Toc12142"/>
      <w:r>
        <w:rPr>
          <w:rFonts w:hint="eastAsia" w:ascii="黑体" w:hAnsi="黑体" w:eastAsia="黑体" w:cs="宋体"/>
          <w:bCs/>
          <w:kern w:val="0"/>
          <w:sz w:val="32"/>
          <w:szCs w:val="32"/>
          <w:highlight w:val="none"/>
        </w:rPr>
        <w:t>二、收入决算情况说明</w:t>
      </w:r>
      <w:bookmarkEnd w:id="10"/>
      <w:bookmarkEnd w:id="11"/>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2023年度本年收入432.33万元，其中：财政拨款收入</w:t>
      </w:r>
      <w:r>
        <w:rPr>
          <w:rFonts w:hint="eastAsia" w:ascii="仿宋_GB2312" w:eastAsia="仿宋_GB2312"/>
          <w:sz w:val="32"/>
          <w:szCs w:val="32"/>
          <w:highlight w:val="none"/>
          <w:lang w:val="zh-CN"/>
        </w:rPr>
        <w:t>423.24</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97.90</w:t>
      </w:r>
      <w:r>
        <w:rPr>
          <w:rFonts w:hint="eastAsia" w:ascii="仿宋_GB2312" w:eastAsia="仿宋_GB2312"/>
          <w:sz w:val="32"/>
          <w:szCs w:val="32"/>
          <w:highlight w:val="none"/>
        </w:rPr>
        <w:t>%；上级补助收入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rPr>
        <w:t>%；事业收入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rPr>
        <w:t>%；经营收入</w:t>
      </w:r>
      <w:r>
        <w:rPr>
          <w:rFonts w:hint="eastAsia" w:ascii="仿宋_GB2312" w:eastAsia="仿宋_GB2312"/>
          <w:sz w:val="32"/>
          <w:szCs w:val="32"/>
          <w:highlight w:val="none"/>
          <w:lang w:val="zh-CN"/>
        </w:rPr>
        <w:t>8.75</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2.02</w:t>
      </w:r>
      <w:r>
        <w:rPr>
          <w:rFonts w:hint="eastAsia" w:ascii="仿宋_GB2312" w:eastAsia="仿宋_GB2312"/>
          <w:sz w:val="32"/>
          <w:szCs w:val="32"/>
          <w:highlight w:val="none"/>
        </w:rPr>
        <w:t>%；附属单位上缴收入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rPr>
        <w:t>%；其他收入</w:t>
      </w:r>
      <w:r>
        <w:rPr>
          <w:rFonts w:hint="eastAsia" w:ascii="仿宋_GB2312" w:eastAsia="仿宋_GB2312"/>
          <w:sz w:val="32"/>
          <w:szCs w:val="32"/>
          <w:highlight w:val="none"/>
          <w:lang w:val="zh-CN"/>
        </w:rPr>
        <w:t>0.35</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0.08</w:t>
      </w:r>
      <w:r>
        <w:rPr>
          <w:rFonts w:hint="eastAsia" w:ascii="仿宋_GB2312" w:eastAsia="仿宋_GB2312"/>
          <w:sz w:val="32"/>
          <w:szCs w:val="32"/>
          <w:highlight w:val="none"/>
        </w:rPr>
        <w:t>%。</w:t>
      </w:r>
    </w:p>
    <w:p>
      <w:pPr>
        <w:ind w:firstLine="640" w:firstLineChars="200"/>
        <w:outlineLvl w:val="1"/>
        <w:rPr>
          <w:rFonts w:ascii="黑体" w:hAnsi="黑体" w:eastAsia="黑体" w:cs="宋体"/>
          <w:bCs/>
          <w:kern w:val="0"/>
          <w:sz w:val="32"/>
          <w:szCs w:val="32"/>
          <w:highlight w:val="none"/>
        </w:rPr>
      </w:pPr>
      <w:bookmarkStart w:id="12" w:name="_Toc27961"/>
      <w:bookmarkStart w:id="13" w:name="_Toc13201"/>
      <w:r>
        <w:rPr>
          <w:rFonts w:hint="eastAsia" w:ascii="黑体" w:hAnsi="黑体" w:eastAsia="黑体" w:cs="宋体"/>
          <w:bCs/>
          <w:kern w:val="0"/>
          <w:sz w:val="32"/>
          <w:szCs w:val="32"/>
          <w:highlight w:val="none"/>
        </w:rPr>
        <w:t>三、支出决算情况说明</w:t>
      </w:r>
      <w:bookmarkEnd w:id="12"/>
      <w:bookmarkEnd w:id="13"/>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2023年度本年支出合计465.30万元，其中：基本支出136.25万元，占29.28%；项目支出320.99万元，占68.9</w:t>
      </w:r>
      <w:r>
        <w:rPr>
          <w:rFonts w:hint="eastAsia" w:ascii="仿宋_GB2312" w:eastAsia="仿宋_GB2312"/>
          <w:sz w:val="32"/>
          <w:szCs w:val="32"/>
          <w:highlight w:val="none"/>
          <w:lang w:val="en-US" w:eastAsia="zh-CN"/>
        </w:rPr>
        <w:t>9</w:t>
      </w:r>
      <w:r>
        <w:rPr>
          <w:rFonts w:hint="eastAsia" w:ascii="仿宋_GB2312" w:eastAsia="仿宋_GB2312"/>
          <w:sz w:val="32"/>
          <w:szCs w:val="32"/>
          <w:highlight w:val="none"/>
          <w:lang w:val="zh-CN"/>
        </w:rPr>
        <w:t>%</w:t>
      </w:r>
      <w:r>
        <w:rPr>
          <w:rFonts w:hint="eastAsia" w:ascii="仿宋_GB2312" w:eastAsia="仿宋_GB2312"/>
          <w:sz w:val="32"/>
          <w:szCs w:val="32"/>
          <w:highlight w:val="none"/>
        </w:rPr>
        <w:t>；上缴上级支出0.00万元，占0.00</w:t>
      </w:r>
      <w:r>
        <w:rPr>
          <w:rFonts w:hint="eastAsia" w:ascii="仿宋_GB2312" w:eastAsia="仿宋_GB2312"/>
          <w:sz w:val="32"/>
          <w:szCs w:val="32"/>
          <w:highlight w:val="none"/>
          <w:lang w:val="zh-CN"/>
        </w:rPr>
        <w:t>%</w:t>
      </w:r>
      <w:r>
        <w:rPr>
          <w:rFonts w:hint="eastAsia" w:ascii="仿宋_GB2312" w:eastAsia="仿宋_GB2312"/>
          <w:sz w:val="32"/>
          <w:szCs w:val="32"/>
          <w:highlight w:val="none"/>
        </w:rPr>
        <w:t>；经营支出8.06万元，占1.73%；对附属单位补助支出0.00万元，占0.00</w:t>
      </w:r>
      <w:r>
        <w:rPr>
          <w:rFonts w:hint="eastAsia" w:ascii="仿宋_GB2312" w:eastAsia="仿宋_GB2312"/>
          <w:sz w:val="32"/>
          <w:szCs w:val="32"/>
          <w:highlight w:val="none"/>
          <w:lang w:val="zh-CN"/>
        </w:rPr>
        <w:t>%</w:t>
      </w:r>
      <w:r>
        <w:rPr>
          <w:rFonts w:hint="eastAsia" w:ascii="仿宋_GB2312" w:eastAsia="仿宋_GB2312"/>
          <w:sz w:val="32"/>
          <w:szCs w:val="32"/>
          <w:highlight w:val="none"/>
        </w:rPr>
        <w:t>。</w:t>
      </w:r>
    </w:p>
    <w:p>
      <w:pPr>
        <w:ind w:firstLine="640" w:firstLineChars="200"/>
        <w:outlineLvl w:val="1"/>
        <w:rPr>
          <w:rFonts w:ascii="黑体" w:hAnsi="黑体" w:eastAsia="黑体" w:cs="宋体"/>
          <w:bCs/>
          <w:kern w:val="0"/>
          <w:sz w:val="32"/>
          <w:szCs w:val="32"/>
          <w:highlight w:val="none"/>
        </w:rPr>
      </w:pPr>
      <w:bookmarkStart w:id="14" w:name="_Toc26564"/>
      <w:bookmarkStart w:id="15" w:name="_Toc4393"/>
      <w:r>
        <w:rPr>
          <w:rFonts w:hint="eastAsia" w:ascii="黑体" w:hAnsi="黑体" w:eastAsia="黑体" w:cs="宋体"/>
          <w:bCs/>
          <w:kern w:val="0"/>
          <w:sz w:val="32"/>
          <w:szCs w:val="32"/>
          <w:highlight w:val="none"/>
        </w:rPr>
        <w:t>四、财政拨款收入支出决算总体情况说明</w:t>
      </w:r>
      <w:bookmarkEnd w:id="14"/>
      <w:bookmarkEnd w:id="15"/>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2023年度财政拨款收入总计</w:t>
      </w:r>
      <w:r>
        <w:rPr>
          <w:rFonts w:hint="eastAsia" w:ascii="仿宋_GB2312" w:eastAsia="仿宋_GB2312"/>
          <w:sz w:val="32"/>
          <w:szCs w:val="32"/>
          <w:highlight w:val="none"/>
          <w:lang w:val="zh-CN"/>
        </w:rPr>
        <w:t>423.24</w:t>
      </w:r>
      <w:r>
        <w:rPr>
          <w:rFonts w:hint="eastAsia" w:ascii="仿宋_GB2312" w:eastAsia="仿宋_GB2312"/>
          <w:sz w:val="32"/>
          <w:szCs w:val="32"/>
          <w:highlight w:val="none"/>
        </w:rPr>
        <w:t>万元，其中：年初财政拨款结转和结余</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万元，财政拨款本年收入</w:t>
      </w:r>
      <w:r>
        <w:rPr>
          <w:rFonts w:hint="eastAsia" w:ascii="仿宋_GB2312" w:eastAsia="仿宋_GB2312"/>
          <w:sz w:val="32"/>
          <w:szCs w:val="32"/>
          <w:highlight w:val="none"/>
          <w:lang w:val="zh-CN"/>
        </w:rPr>
        <w:t>423.24</w:t>
      </w:r>
      <w:r>
        <w:rPr>
          <w:rFonts w:hint="eastAsia" w:ascii="仿宋_GB2312" w:eastAsia="仿宋_GB2312"/>
          <w:sz w:val="32"/>
          <w:szCs w:val="32"/>
          <w:highlight w:val="none"/>
        </w:rPr>
        <w:t>万元；财政拨款支出总计</w:t>
      </w:r>
      <w:r>
        <w:rPr>
          <w:rFonts w:hint="eastAsia" w:ascii="仿宋_GB2312" w:eastAsia="仿宋_GB2312"/>
          <w:sz w:val="32"/>
          <w:szCs w:val="32"/>
          <w:highlight w:val="none"/>
          <w:lang w:val="zh-CN"/>
        </w:rPr>
        <w:t>423.24</w:t>
      </w:r>
      <w:r>
        <w:rPr>
          <w:rFonts w:hint="eastAsia" w:ascii="仿宋_GB2312" w:eastAsia="仿宋_GB2312"/>
          <w:sz w:val="32"/>
          <w:szCs w:val="32"/>
          <w:highlight w:val="none"/>
        </w:rPr>
        <w:t>万元，其中：年末财政拨款结转和结余</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万元，财政拨款本年支出</w:t>
      </w:r>
      <w:r>
        <w:rPr>
          <w:rFonts w:hint="eastAsia" w:ascii="仿宋_GB2312" w:eastAsia="仿宋_GB2312"/>
          <w:sz w:val="32"/>
          <w:szCs w:val="32"/>
          <w:highlight w:val="none"/>
          <w:lang w:val="zh-CN"/>
        </w:rPr>
        <w:t>423.24</w:t>
      </w:r>
      <w:r>
        <w:rPr>
          <w:rFonts w:hint="eastAsia" w:ascii="仿宋_GB2312" w:eastAsia="仿宋_GB2312"/>
          <w:sz w:val="32"/>
          <w:szCs w:val="32"/>
          <w:highlight w:val="none"/>
        </w:rPr>
        <w:t>万元。</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财政拨款收入支出总</w:t>
      </w:r>
      <w:r>
        <w:rPr>
          <w:rFonts w:hint="eastAsia" w:ascii="仿宋_GB2312" w:eastAsia="仿宋_GB2312"/>
          <w:sz w:val="32"/>
          <w:szCs w:val="32"/>
          <w:highlight w:val="none"/>
          <w:lang w:eastAsia="zh-CN"/>
        </w:rPr>
        <w:t>体与上年</w:t>
      </w:r>
      <w:r>
        <w:rPr>
          <w:rFonts w:hint="eastAsia" w:ascii="仿宋_GB2312" w:eastAsia="仿宋_GB2312"/>
          <w:sz w:val="32"/>
          <w:szCs w:val="32"/>
          <w:highlight w:val="none"/>
        </w:rPr>
        <w:t>相比，</w:t>
      </w:r>
      <w:r>
        <w:rPr>
          <w:rFonts w:hint="eastAsia" w:ascii="仿宋_GB2312" w:eastAsia="仿宋_GB2312"/>
          <w:sz w:val="32"/>
          <w:szCs w:val="32"/>
          <w:highlight w:val="none"/>
          <w:lang w:val="zh-CN"/>
        </w:rPr>
        <w:t>增加64.6</w:t>
      </w: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lang w:val="zh-CN"/>
        </w:rPr>
        <w:t>万元</w:t>
      </w:r>
      <w:r>
        <w:rPr>
          <w:rFonts w:hint="eastAsia" w:ascii="仿宋_GB2312" w:eastAsia="仿宋_GB2312"/>
          <w:sz w:val="32"/>
          <w:szCs w:val="32"/>
          <w:highlight w:val="none"/>
        </w:rPr>
        <w:t>，</w:t>
      </w:r>
      <w:r>
        <w:rPr>
          <w:rFonts w:hint="eastAsia" w:ascii="仿宋_GB2312" w:eastAsia="仿宋_GB2312"/>
          <w:sz w:val="32"/>
          <w:szCs w:val="32"/>
          <w:highlight w:val="none"/>
          <w:lang w:val="zh-CN"/>
        </w:rPr>
        <w:t>增长18.0</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val="zh-CN"/>
        </w:rPr>
        <w:t>%，</w:t>
      </w:r>
      <w:r>
        <w:rPr>
          <w:rFonts w:hint="eastAsia" w:ascii="仿宋_GB2312" w:eastAsia="仿宋_GB2312"/>
          <w:sz w:val="32"/>
          <w:szCs w:val="32"/>
          <w:highlight w:val="none"/>
        </w:rPr>
        <w:t>主要原因是：增加的主要是培训中心专用基金支出项目和中央转移支付食品药品监管补助项目。</w:t>
      </w:r>
      <w:r>
        <w:rPr>
          <w:rFonts w:hint="eastAsia" w:ascii="仿宋_GB2312" w:eastAsia="仿宋_GB2312"/>
          <w:sz w:val="32"/>
          <w:szCs w:val="32"/>
          <w:highlight w:val="none"/>
          <w:lang w:eastAsia="zh-CN"/>
        </w:rPr>
        <w:t>与年初预算数相比，年初预算数</w:t>
      </w:r>
      <w:r>
        <w:rPr>
          <w:rFonts w:hint="eastAsia" w:ascii="仿宋_GB2312" w:eastAsia="仿宋_GB2312"/>
          <w:sz w:val="32"/>
          <w:szCs w:val="32"/>
          <w:highlight w:val="none"/>
          <w:lang w:val="en-US" w:eastAsia="zh-CN"/>
        </w:rPr>
        <w:t>325.51万元，决算数423.24万元，预决算差异率30.02%，主要原因是：</w:t>
      </w:r>
      <w:r>
        <w:rPr>
          <w:rFonts w:hint="eastAsia" w:ascii="仿宋_GB2312" w:hAnsi="仿宋" w:eastAsia="仿宋_GB2312" w:cs="仿宋_GB2312"/>
          <w:sz w:val="32"/>
          <w:szCs w:val="32"/>
          <w:highlight w:val="none"/>
        </w:rPr>
        <w:t>本年度基本支出较上年增加公用经费32.80万元，项目支出较上年增加68.70万元，导致本年度总支出较上年度增加。</w:t>
      </w:r>
    </w:p>
    <w:p>
      <w:pPr>
        <w:ind w:firstLine="640" w:firstLineChars="200"/>
        <w:outlineLvl w:val="1"/>
        <w:rPr>
          <w:rFonts w:ascii="黑体" w:hAnsi="黑体" w:eastAsia="黑体" w:cs="宋体"/>
          <w:bCs/>
          <w:kern w:val="0"/>
          <w:sz w:val="32"/>
          <w:szCs w:val="32"/>
          <w:highlight w:val="none"/>
        </w:rPr>
      </w:pPr>
      <w:bookmarkStart w:id="16" w:name="_Toc20360"/>
      <w:bookmarkStart w:id="17" w:name="_Toc13833"/>
      <w:r>
        <w:rPr>
          <w:rFonts w:hint="eastAsia" w:ascii="黑体" w:hAnsi="黑体" w:eastAsia="黑体" w:cs="宋体"/>
          <w:bCs/>
          <w:kern w:val="0"/>
          <w:sz w:val="32"/>
          <w:szCs w:val="32"/>
          <w:highlight w:val="none"/>
        </w:rPr>
        <w:t>五、一般公共预算财政拨款支出决算情况说明</w:t>
      </w:r>
      <w:bookmarkEnd w:id="16"/>
      <w:bookmarkEnd w:id="17"/>
    </w:p>
    <w:p>
      <w:pPr>
        <w:ind w:firstLine="640" w:firstLineChars="200"/>
        <w:outlineLvl w:val="2"/>
        <w:rPr>
          <w:rFonts w:ascii="黑体" w:hAnsi="黑体" w:eastAsia="黑体"/>
          <w:sz w:val="32"/>
          <w:szCs w:val="32"/>
          <w:highlight w:val="none"/>
        </w:rPr>
      </w:pPr>
      <w:r>
        <w:rPr>
          <w:rFonts w:hint="eastAsia" w:ascii="黑体" w:hAnsi="黑体" w:eastAsia="黑体"/>
          <w:sz w:val="32"/>
          <w:szCs w:val="32"/>
          <w:highlight w:val="none"/>
        </w:rPr>
        <w:t>（一）一般公共预算财政拨款支出决算总体情况</w:t>
      </w:r>
    </w:p>
    <w:p>
      <w:pPr>
        <w:ind w:firstLine="640" w:firstLineChars="200"/>
        <w:rPr>
          <w:rFonts w:hint="eastAsia" w:ascii="仿宋_GB2312" w:eastAsia="仿宋_GB2312"/>
          <w:sz w:val="32"/>
          <w:szCs w:val="32"/>
          <w:highlight w:val="none"/>
          <w:lang w:val="zh-CN"/>
        </w:rPr>
      </w:pPr>
      <w:r>
        <w:rPr>
          <w:rFonts w:hint="eastAsia" w:ascii="仿宋_GB2312" w:eastAsia="仿宋_GB2312"/>
          <w:sz w:val="32"/>
          <w:szCs w:val="32"/>
          <w:highlight w:val="none"/>
          <w:lang w:val="zh-CN"/>
        </w:rPr>
        <w:t>2023年度一般公共预算财政拨款支出423.24万元，占本年支出合计的90.96%，与上年相比，增加64.6</w:t>
      </w: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lang w:val="zh-CN"/>
        </w:rPr>
        <w:t>万元，增长18.0</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val="zh-CN"/>
        </w:rPr>
        <w:t>%，主要原因是：</w:t>
      </w:r>
      <w:r>
        <w:rPr>
          <w:rFonts w:hint="eastAsia" w:ascii="仿宋_GB2312" w:eastAsia="仿宋_GB2312"/>
          <w:sz w:val="32"/>
          <w:szCs w:val="32"/>
          <w:highlight w:val="none"/>
        </w:rPr>
        <w:t>增加的主要是培训中心专用基金支出项目和中央转移支付食品药品监管补助项目</w:t>
      </w:r>
      <w:r>
        <w:rPr>
          <w:rFonts w:hint="eastAsia" w:ascii="仿宋_GB2312" w:eastAsia="仿宋_GB2312"/>
          <w:sz w:val="32"/>
          <w:szCs w:val="32"/>
          <w:highlight w:val="none"/>
          <w:lang w:val="zh-CN"/>
        </w:rPr>
        <w:t>。与年初预算相比：年初预算数325.51万元，决算数423.24万元，预决算差异率30.02%，主要原因是：本年度基本支出较上年增加公用经费32.80万元，项目支出较上年增加68.70万元，导致本年度总支出较上年度增加。</w:t>
      </w:r>
    </w:p>
    <w:p>
      <w:pPr>
        <w:spacing w:line="60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w:t>
      </w:r>
      <w:r>
        <w:rPr>
          <w:rFonts w:hint="eastAsia" w:ascii="黑体" w:hAnsi="黑体" w:eastAsia="黑体"/>
          <w:sz w:val="32"/>
          <w:szCs w:val="32"/>
          <w:highlight w:val="none"/>
          <w:lang w:eastAsia="zh-CN"/>
        </w:rPr>
        <w:t>二</w:t>
      </w:r>
      <w:r>
        <w:rPr>
          <w:rFonts w:hint="eastAsia" w:ascii="黑体" w:hAnsi="黑体" w:eastAsia="黑体"/>
          <w:sz w:val="32"/>
          <w:szCs w:val="32"/>
          <w:highlight w:val="none"/>
        </w:rPr>
        <w:t>）一般公共预算财政拨款支出决算结构情况</w:t>
      </w:r>
    </w:p>
    <w:p>
      <w:pPr>
        <w:pStyle w:val="8"/>
        <w:widowControl/>
        <w:numPr>
          <w:ilvl w:val="0"/>
          <w:numId w:val="1"/>
        </w:numPr>
        <w:spacing w:before="0" w:beforeAutospacing="0" w:after="0" w:afterAutospacing="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一 般公共服务支出（类）392.36万元，占92.70%；</w:t>
      </w:r>
    </w:p>
    <w:p>
      <w:pPr>
        <w:pStyle w:val="8"/>
        <w:widowControl/>
        <w:numPr>
          <w:ilvl w:val="0"/>
          <w:numId w:val="1"/>
        </w:numPr>
        <w:spacing w:before="0" w:beforeAutospacing="0" w:after="0" w:afterAutospacing="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社会保障和就业支出（类）15.72万元，占3.7</w:t>
      </w:r>
      <w:r>
        <w:rPr>
          <w:rFonts w:hint="eastAsia" w:ascii="仿宋_GB2312" w:eastAsia="仿宋_GB2312" w:cs="Times New Roman"/>
          <w:kern w:val="2"/>
          <w:sz w:val="32"/>
          <w:szCs w:val="32"/>
          <w:highlight w:val="none"/>
          <w:lang w:val="en-US" w:eastAsia="zh-CN" w:bidi="ar-SA"/>
        </w:rPr>
        <w:t>1</w:t>
      </w:r>
      <w:r>
        <w:rPr>
          <w:rFonts w:hint="eastAsia" w:ascii="仿宋_GB2312" w:hAnsi="Times New Roman" w:eastAsia="仿宋_GB2312" w:cs="Times New Roman"/>
          <w:kern w:val="2"/>
          <w:sz w:val="32"/>
          <w:szCs w:val="32"/>
          <w:highlight w:val="none"/>
          <w:lang w:val="zh-CN" w:eastAsia="zh-CN" w:bidi="ar-SA"/>
        </w:rPr>
        <w:t>%；</w:t>
      </w:r>
    </w:p>
    <w:p>
      <w:pPr>
        <w:pStyle w:val="8"/>
        <w:widowControl/>
        <w:numPr>
          <w:ilvl w:val="0"/>
          <w:numId w:val="1"/>
        </w:numPr>
        <w:spacing w:before="0" w:beforeAutospacing="0" w:after="0" w:afterAutospacing="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卫生健康支出（类）8.29万元，占 1.96%；</w:t>
      </w:r>
    </w:p>
    <w:p>
      <w:pPr>
        <w:pStyle w:val="8"/>
        <w:widowControl/>
        <w:numPr>
          <w:ilvl w:val="0"/>
          <w:numId w:val="1"/>
        </w:numPr>
        <w:spacing w:before="0" w:beforeAutospacing="0" w:after="0" w:afterAutospacing="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住房保障支出（类）6.86万元，占1.62%</w:t>
      </w:r>
      <w:r>
        <w:rPr>
          <w:rFonts w:hint="eastAsia" w:ascii="仿宋_GB2312" w:eastAsia="仿宋_GB2312" w:cs="Times New Roman"/>
          <w:kern w:val="2"/>
          <w:sz w:val="32"/>
          <w:szCs w:val="32"/>
          <w:highlight w:val="none"/>
          <w:lang w:val="zh-CN" w:eastAsia="zh-CN" w:bidi="ar-SA"/>
        </w:rPr>
        <w:t>。</w:t>
      </w:r>
    </w:p>
    <w:p>
      <w:pPr>
        <w:ind w:firstLine="640" w:firstLineChars="200"/>
        <w:outlineLvl w:val="2"/>
        <w:rPr>
          <w:rFonts w:ascii="黑体" w:hAnsi="黑体" w:eastAsia="黑体"/>
          <w:sz w:val="32"/>
          <w:szCs w:val="32"/>
          <w:highlight w:val="none"/>
        </w:rPr>
      </w:pPr>
      <w:r>
        <w:rPr>
          <w:rFonts w:hint="eastAsia" w:ascii="黑体" w:hAnsi="黑体" w:eastAsia="黑体"/>
          <w:sz w:val="32"/>
          <w:szCs w:val="32"/>
          <w:highlight w:val="none"/>
        </w:rPr>
        <w:t>（三）一般公共预算财政拨款支出决算具体情况</w:t>
      </w:r>
    </w:p>
    <w:p>
      <w:pPr>
        <w:ind w:firstLine="640" w:firstLineChars="200"/>
        <w:outlineLvl w:val="1"/>
        <w:rPr>
          <w:rFonts w:hint="eastAsia" w:ascii="仿宋_GB2312" w:hAnsi="Times New Roman" w:eastAsia="仿宋_GB2312" w:cs="Times New Roman"/>
          <w:kern w:val="2"/>
          <w:sz w:val="32"/>
          <w:szCs w:val="32"/>
          <w:highlight w:val="none"/>
          <w:lang w:val="zh-CN" w:eastAsia="zh-CN" w:bidi="ar-SA"/>
        </w:rPr>
      </w:pPr>
      <w:r>
        <w:rPr>
          <w:rFonts w:hint="eastAsia" w:ascii="仿宋_GB2312" w:eastAsia="仿宋_GB2312" w:cs="Times New Roman"/>
          <w:kern w:val="2"/>
          <w:sz w:val="32"/>
          <w:szCs w:val="32"/>
          <w:highlight w:val="none"/>
          <w:lang w:val="en-US" w:eastAsia="zh-CN" w:bidi="ar-SA"/>
        </w:rPr>
        <w:t>1</w:t>
      </w:r>
      <w:r>
        <w:rPr>
          <w:rFonts w:hint="eastAsia" w:ascii="仿宋_GB2312" w:hAnsi="Times New Roman" w:eastAsia="仿宋_GB2312" w:cs="Times New Roman"/>
          <w:kern w:val="2"/>
          <w:sz w:val="32"/>
          <w:szCs w:val="32"/>
          <w:highlight w:val="none"/>
          <w:lang w:val="zh-CN" w:eastAsia="zh-CN" w:bidi="ar-SA"/>
        </w:rPr>
        <w:t>.一般公共服务支出(类)市场监督管理事务(款)其他市场监督管理事务(项):支出决算数为94.38万元，比上年决算减少40.59万元，下降30.07%,主要原因是: 2023年中央转移支付专项结余结转30.68</w:t>
      </w:r>
      <w:r>
        <w:rPr>
          <w:rFonts w:hint="eastAsia" w:ascii="仿宋_GB2312" w:eastAsia="仿宋_GB2312" w:cs="Times New Roman"/>
          <w:kern w:val="2"/>
          <w:sz w:val="32"/>
          <w:szCs w:val="32"/>
          <w:highlight w:val="none"/>
          <w:lang w:val="zh-CN" w:eastAsia="zh-CN" w:bidi="ar-SA"/>
        </w:rPr>
        <w:t>万元</w:t>
      </w:r>
      <w:r>
        <w:rPr>
          <w:rFonts w:hint="eastAsia" w:ascii="仿宋_GB2312" w:hAnsi="Times New Roman" w:eastAsia="仿宋_GB2312" w:cs="Times New Roman"/>
          <w:kern w:val="2"/>
          <w:sz w:val="32"/>
          <w:szCs w:val="32"/>
          <w:highlight w:val="none"/>
          <w:lang w:val="zh-CN" w:eastAsia="zh-CN" w:bidi="ar-SA"/>
        </w:rPr>
        <w:t>使用功能科目是2013899（其它市场监督管理事务），</w:t>
      </w:r>
      <w:r>
        <w:rPr>
          <w:rFonts w:hint="eastAsia" w:ascii="仿宋_GB2312" w:eastAsia="仿宋_GB2312" w:cs="Times New Roman"/>
          <w:kern w:val="2"/>
          <w:sz w:val="32"/>
          <w:szCs w:val="32"/>
          <w:highlight w:val="none"/>
          <w:lang w:val="zh-CN" w:eastAsia="zh-CN" w:bidi="ar-SA"/>
        </w:rPr>
        <w:t>今年未安排</w:t>
      </w:r>
      <w:r>
        <w:rPr>
          <w:rFonts w:hint="eastAsia" w:ascii="仿宋_GB2312" w:hAnsi="Times New Roman" w:eastAsia="仿宋_GB2312" w:cs="Times New Roman"/>
          <w:kern w:val="2"/>
          <w:sz w:val="32"/>
          <w:szCs w:val="32"/>
          <w:highlight w:val="none"/>
          <w:lang w:val="zh-CN" w:eastAsia="zh-CN" w:bidi="ar-SA"/>
        </w:rPr>
        <w:t>功能科目2013812（药品事务）。</w:t>
      </w:r>
    </w:p>
    <w:p>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eastAsia="仿宋_GB2312" w:cs="Times New Roman"/>
          <w:kern w:val="2"/>
          <w:sz w:val="32"/>
          <w:szCs w:val="32"/>
          <w:highlight w:val="none"/>
          <w:lang w:val="en-US" w:eastAsia="zh-CN" w:bidi="ar-SA"/>
        </w:rPr>
        <w:t>2</w:t>
      </w:r>
      <w:r>
        <w:rPr>
          <w:rFonts w:hint="eastAsia" w:ascii="仿宋_GB2312" w:hAnsi="Times New Roman" w:eastAsia="仿宋_GB2312" w:cs="Times New Roman"/>
          <w:kern w:val="2"/>
          <w:sz w:val="32"/>
          <w:szCs w:val="32"/>
          <w:highlight w:val="none"/>
          <w:lang w:val="zh-CN" w:eastAsia="zh-CN" w:bidi="ar-SA"/>
        </w:rPr>
        <w:t>.一般公共服务支出(类)市场监督管理事务(款)药品事务(项):支出决算数为226.61万元，比上年决算增加109.29万元，增长93.16%,主要原因是: 培训中心专用基金支出项目和中央转移支付食品药品监管补助项目。</w:t>
      </w:r>
    </w:p>
    <w:p>
      <w:pPr>
        <w:ind w:firstLine="640" w:firstLineChars="200"/>
        <w:outlineLvl w:val="1"/>
        <w:rPr>
          <w:rFonts w:hint="eastAsia" w:ascii="仿宋_GB2312" w:hAnsi="Times New Roman" w:eastAsia="仿宋_GB2312" w:cs="Times New Roman"/>
          <w:kern w:val="2"/>
          <w:sz w:val="32"/>
          <w:szCs w:val="32"/>
          <w:highlight w:val="none"/>
          <w:lang w:val="zh-CN" w:eastAsia="zh-CN" w:bidi="ar-SA"/>
        </w:rPr>
      </w:pPr>
      <w:r>
        <w:rPr>
          <w:rFonts w:hint="eastAsia" w:ascii="仿宋_GB2312" w:eastAsia="仿宋_GB2312" w:cs="Times New Roman"/>
          <w:kern w:val="2"/>
          <w:sz w:val="32"/>
          <w:szCs w:val="32"/>
          <w:highlight w:val="none"/>
          <w:lang w:val="en-US" w:eastAsia="zh-CN" w:bidi="ar-SA"/>
        </w:rPr>
        <w:t>3</w:t>
      </w:r>
      <w:r>
        <w:rPr>
          <w:rFonts w:hint="eastAsia" w:ascii="仿宋_GB2312" w:hAnsi="Times New Roman" w:eastAsia="仿宋_GB2312" w:cs="Times New Roman"/>
          <w:kern w:val="2"/>
          <w:sz w:val="32"/>
          <w:szCs w:val="32"/>
          <w:highlight w:val="none"/>
          <w:lang w:val="zh-CN" w:eastAsia="zh-CN" w:bidi="ar-SA"/>
        </w:rPr>
        <w:t>.卫生健康支出(类)行政事业单位医疗(款)事业单位医疗(项):支出决算数为4.29万元，比上年决算增加0.17万元，增长4.13%,主要原因是:人员工资进行了调标增资从而导致社保基数增加，机关事业单位基本医疗保险缴费有所增加。</w:t>
      </w:r>
    </w:p>
    <w:p>
      <w:pPr>
        <w:ind w:firstLine="640" w:firstLineChars="200"/>
        <w:outlineLvl w:val="1"/>
        <w:rPr>
          <w:rFonts w:hint="eastAsia" w:ascii="仿宋_GB2312" w:hAnsi="Times New Roman" w:eastAsia="仿宋_GB2312" w:cs="Times New Roman"/>
          <w:kern w:val="2"/>
          <w:sz w:val="32"/>
          <w:szCs w:val="32"/>
          <w:highlight w:val="none"/>
          <w:lang w:val="zh-CN" w:eastAsia="zh-CN" w:bidi="ar-SA"/>
        </w:rPr>
      </w:pPr>
      <w:r>
        <w:rPr>
          <w:rFonts w:hint="eastAsia" w:ascii="仿宋_GB2312" w:eastAsia="仿宋_GB2312" w:cs="Times New Roman"/>
          <w:kern w:val="2"/>
          <w:sz w:val="32"/>
          <w:szCs w:val="32"/>
          <w:highlight w:val="none"/>
          <w:lang w:val="en-US" w:eastAsia="zh-CN" w:bidi="ar-SA"/>
        </w:rPr>
        <w:t>4</w:t>
      </w:r>
      <w:r>
        <w:rPr>
          <w:rFonts w:hint="eastAsia" w:ascii="仿宋_GB2312" w:hAnsi="Times New Roman" w:eastAsia="仿宋_GB2312" w:cs="Times New Roman"/>
          <w:kern w:val="2"/>
          <w:sz w:val="32"/>
          <w:szCs w:val="32"/>
          <w:highlight w:val="none"/>
          <w:lang w:val="zh-CN" w:eastAsia="zh-CN" w:bidi="ar-SA"/>
        </w:rPr>
        <w:t>.卫生健康支出(类)行政事业单位医疗(款)公务员医疗补助(项):支出决算数为4.0</w:t>
      </w:r>
      <w:r>
        <w:rPr>
          <w:rFonts w:hint="eastAsia" w:ascii="仿宋_GB2312" w:eastAsia="仿宋_GB2312" w:cs="Times New Roman"/>
          <w:kern w:val="2"/>
          <w:sz w:val="32"/>
          <w:szCs w:val="32"/>
          <w:highlight w:val="none"/>
          <w:lang w:val="en-US" w:eastAsia="zh-CN" w:bidi="ar-SA"/>
        </w:rPr>
        <w:t>0</w:t>
      </w:r>
      <w:r>
        <w:rPr>
          <w:rFonts w:hint="eastAsia" w:ascii="仿宋_GB2312" w:hAnsi="Times New Roman" w:eastAsia="仿宋_GB2312" w:cs="Times New Roman"/>
          <w:kern w:val="2"/>
          <w:sz w:val="32"/>
          <w:szCs w:val="32"/>
          <w:highlight w:val="none"/>
          <w:lang w:val="zh-CN" w:eastAsia="zh-CN" w:bidi="ar-SA"/>
        </w:rPr>
        <w:t>万元，比上年决算增加0.79万元，增长24.61%,主要原因是:人员工资进行了调标增资从而导致社保基数增加，机关事业单位公务员医疗保险缴费有所增加。</w:t>
      </w:r>
    </w:p>
    <w:p>
      <w:pPr>
        <w:ind w:firstLine="640" w:firstLineChars="200"/>
        <w:outlineLvl w:val="1"/>
        <w:rPr>
          <w:rFonts w:hint="eastAsia" w:ascii="仿宋_GB2312" w:hAnsi="Times New Roman" w:eastAsia="仿宋_GB2312" w:cs="Times New Roman"/>
          <w:kern w:val="2"/>
          <w:sz w:val="32"/>
          <w:szCs w:val="32"/>
          <w:highlight w:val="none"/>
          <w:lang w:val="zh-CN" w:eastAsia="zh-CN" w:bidi="ar-SA"/>
        </w:rPr>
      </w:pPr>
      <w:r>
        <w:rPr>
          <w:rFonts w:hint="eastAsia" w:ascii="仿宋_GB2312" w:eastAsia="仿宋_GB2312" w:cs="Times New Roman"/>
          <w:kern w:val="2"/>
          <w:sz w:val="32"/>
          <w:szCs w:val="32"/>
          <w:highlight w:val="none"/>
          <w:lang w:val="en-US" w:eastAsia="zh-CN" w:bidi="ar-SA"/>
        </w:rPr>
        <w:t>5</w:t>
      </w:r>
      <w:r>
        <w:rPr>
          <w:rFonts w:hint="eastAsia" w:ascii="仿宋_GB2312" w:hAnsi="Times New Roman" w:eastAsia="仿宋_GB2312" w:cs="Times New Roman"/>
          <w:kern w:val="2"/>
          <w:sz w:val="32"/>
          <w:szCs w:val="32"/>
          <w:highlight w:val="none"/>
          <w:lang w:val="zh-CN" w:eastAsia="zh-CN" w:bidi="ar-SA"/>
        </w:rPr>
        <w:t>.住房保障支出(类)住房改革支出(款)住房公积金(项):支出决算数为6.86万元，比上年决算增加1.13万元，增长19.72%,主要原因是:人员工资进行了调标增资从而导致公积金基数增加，机关事业单位住房公积金缴费有所增加。</w:t>
      </w:r>
    </w:p>
    <w:p>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eastAsia="仿宋_GB2312" w:cs="Times New Roman"/>
          <w:kern w:val="2"/>
          <w:sz w:val="32"/>
          <w:szCs w:val="32"/>
          <w:highlight w:val="none"/>
          <w:lang w:val="en-US" w:eastAsia="zh-CN" w:bidi="ar-SA"/>
        </w:rPr>
        <w:t>6</w:t>
      </w:r>
      <w:r>
        <w:rPr>
          <w:rFonts w:hint="eastAsia" w:ascii="仿宋_GB2312" w:hAnsi="Times New Roman" w:eastAsia="仿宋_GB2312" w:cs="Times New Roman"/>
          <w:kern w:val="2"/>
          <w:sz w:val="32"/>
          <w:szCs w:val="32"/>
          <w:highlight w:val="none"/>
          <w:lang w:val="zh-CN" w:eastAsia="zh-CN" w:bidi="ar-SA"/>
        </w:rPr>
        <w:t>.一般公共服务支出(类)市场监督管理事务(款)事业运行(项):支出决算数为71.37万元，比上年决算减少7.67万元，下降9.7</w:t>
      </w:r>
      <w:r>
        <w:rPr>
          <w:rFonts w:hint="eastAsia" w:ascii="仿宋_GB2312" w:eastAsia="仿宋_GB2312" w:cs="Times New Roman"/>
          <w:kern w:val="2"/>
          <w:sz w:val="32"/>
          <w:szCs w:val="32"/>
          <w:highlight w:val="none"/>
          <w:lang w:val="en-US" w:eastAsia="zh-CN" w:bidi="ar-SA"/>
        </w:rPr>
        <w:t>0</w:t>
      </w:r>
      <w:r>
        <w:rPr>
          <w:rFonts w:hint="eastAsia" w:ascii="仿宋_GB2312" w:hAnsi="Times New Roman" w:eastAsia="仿宋_GB2312" w:cs="Times New Roman"/>
          <w:kern w:val="2"/>
          <w:sz w:val="32"/>
          <w:szCs w:val="32"/>
          <w:highlight w:val="none"/>
          <w:lang w:val="zh-CN" w:eastAsia="zh-CN" w:bidi="ar-SA"/>
        </w:rPr>
        <w:t>%,主要原因是:因为2023年住房公积金6.86万元使用功能科目2210201（住房公积金），2022年住房公积金使用功能科目2013850（事业运行）导致。</w:t>
      </w:r>
    </w:p>
    <w:p>
      <w:pPr>
        <w:ind w:firstLine="640" w:firstLineChars="200"/>
        <w:outlineLvl w:val="1"/>
        <w:rPr>
          <w:rFonts w:hint="eastAsia" w:ascii="仿宋_GB2312" w:hAnsi="Times New Roman" w:eastAsia="仿宋_GB2312" w:cs="Times New Roman"/>
          <w:kern w:val="2"/>
          <w:sz w:val="32"/>
          <w:szCs w:val="32"/>
          <w:highlight w:val="none"/>
          <w:lang w:val="zh-CN" w:eastAsia="zh-CN" w:bidi="ar-SA"/>
        </w:rPr>
      </w:pPr>
      <w:r>
        <w:rPr>
          <w:rFonts w:hint="eastAsia" w:ascii="仿宋_GB2312" w:eastAsia="仿宋_GB2312" w:cs="Times New Roman"/>
          <w:kern w:val="2"/>
          <w:sz w:val="32"/>
          <w:szCs w:val="32"/>
          <w:highlight w:val="none"/>
          <w:lang w:val="en-US" w:eastAsia="zh-CN" w:bidi="ar-SA"/>
        </w:rPr>
        <w:t>7</w:t>
      </w:r>
      <w:r>
        <w:rPr>
          <w:rFonts w:hint="eastAsia" w:ascii="仿宋_GB2312" w:hAnsi="Times New Roman" w:eastAsia="仿宋_GB2312" w:cs="Times New Roman"/>
          <w:kern w:val="2"/>
          <w:sz w:val="32"/>
          <w:szCs w:val="32"/>
          <w:highlight w:val="none"/>
          <w:lang w:val="zh-CN" w:eastAsia="zh-CN" w:bidi="ar-SA"/>
        </w:rPr>
        <w:t>.社会保障和就业支出(类)行政事业单位养老支出(款)事业单位离退休(项):支出决算数为2.0</w:t>
      </w:r>
      <w:r>
        <w:rPr>
          <w:rFonts w:hint="eastAsia" w:ascii="仿宋_GB2312" w:eastAsia="仿宋_GB2312" w:cs="Times New Roman"/>
          <w:kern w:val="2"/>
          <w:sz w:val="32"/>
          <w:szCs w:val="32"/>
          <w:highlight w:val="none"/>
          <w:lang w:val="en-US" w:eastAsia="zh-CN" w:bidi="ar-SA"/>
        </w:rPr>
        <w:t>0</w:t>
      </w:r>
      <w:r>
        <w:rPr>
          <w:rFonts w:hint="eastAsia" w:ascii="仿宋_GB2312" w:hAnsi="Times New Roman" w:eastAsia="仿宋_GB2312" w:cs="Times New Roman"/>
          <w:kern w:val="2"/>
          <w:sz w:val="32"/>
          <w:szCs w:val="32"/>
          <w:highlight w:val="none"/>
          <w:lang w:val="zh-CN" w:eastAsia="zh-CN" w:bidi="ar-SA"/>
        </w:rPr>
        <w:t>万元，比上年决算减少0.89万元，下降30.8</w:t>
      </w:r>
      <w:r>
        <w:rPr>
          <w:rFonts w:hint="eastAsia" w:ascii="仿宋_GB2312" w:eastAsia="仿宋_GB2312" w:cs="Times New Roman"/>
          <w:kern w:val="2"/>
          <w:sz w:val="32"/>
          <w:szCs w:val="32"/>
          <w:highlight w:val="none"/>
          <w:lang w:val="en-US" w:eastAsia="zh-CN" w:bidi="ar-SA"/>
        </w:rPr>
        <w:t>0</w:t>
      </w:r>
      <w:r>
        <w:rPr>
          <w:rFonts w:hint="eastAsia" w:ascii="仿宋_GB2312" w:hAnsi="Times New Roman" w:eastAsia="仿宋_GB2312" w:cs="Times New Roman"/>
          <w:kern w:val="2"/>
          <w:sz w:val="32"/>
          <w:szCs w:val="32"/>
          <w:highlight w:val="none"/>
          <w:lang w:val="zh-CN" w:eastAsia="zh-CN" w:bidi="ar-SA"/>
        </w:rPr>
        <w:t>%,主要原因是:退休人员工资减少。</w:t>
      </w:r>
    </w:p>
    <w:p>
      <w:pPr>
        <w:ind w:firstLine="640" w:firstLineChars="200"/>
        <w:outlineLvl w:val="1"/>
        <w:rPr>
          <w:rFonts w:hint="eastAsia" w:ascii="仿宋_GB2312" w:hAnsi="Times New Roman" w:eastAsia="仿宋_GB2312" w:cs="Times New Roman"/>
          <w:kern w:val="2"/>
          <w:sz w:val="32"/>
          <w:szCs w:val="32"/>
          <w:highlight w:val="none"/>
          <w:lang w:val="zh-CN" w:eastAsia="zh-CN" w:bidi="ar-SA"/>
        </w:rPr>
      </w:pPr>
      <w:r>
        <w:rPr>
          <w:rFonts w:hint="eastAsia" w:ascii="仿宋_GB2312" w:eastAsia="仿宋_GB2312" w:cs="Times New Roman"/>
          <w:kern w:val="2"/>
          <w:sz w:val="32"/>
          <w:szCs w:val="32"/>
          <w:highlight w:val="none"/>
          <w:lang w:val="en-US" w:eastAsia="zh-CN" w:bidi="ar-SA"/>
        </w:rPr>
        <w:t>8</w:t>
      </w:r>
      <w:r>
        <w:rPr>
          <w:rFonts w:hint="eastAsia" w:ascii="仿宋_GB2312" w:hAnsi="Times New Roman" w:eastAsia="仿宋_GB2312" w:cs="Times New Roman"/>
          <w:kern w:val="2"/>
          <w:sz w:val="32"/>
          <w:szCs w:val="32"/>
          <w:highlight w:val="none"/>
          <w:lang w:val="zh-CN" w:eastAsia="zh-CN" w:bidi="ar-SA"/>
        </w:rPr>
        <w:t>.社会保障和就业支出(类)行政事业单位养老支出(款)机关事业单位职业年金缴费支出(项):支出决算数为4.57万元，比上年决算增加0.9</w:t>
      </w:r>
      <w:r>
        <w:rPr>
          <w:rFonts w:hint="eastAsia" w:ascii="仿宋_GB2312" w:eastAsia="仿宋_GB2312" w:cs="Times New Roman"/>
          <w:kern w:val="2"/>
          <w:sz w:val="32"/>
          <w:szCs w:val="32"/>
          <w:highlight w:val="none"/>
          <w:lang w:val="en-US" w:eastAsia="zh-CN" w:bidi="ar-SA"/>
        </w:rPr>
        <w:t>0</w:t>
      </w:r>
      <w:r>
        <w:rPr>
          <w:rFonts w:hint="eastAsia" w:ascii="仿宋_GB2312" w:hAnsi="Times New Roman" w:eastAsia="仿宋_GB2312" w:cs="Times New Roman"/>
          <w:kern w:val="2"/>
          <w:sz w:val="32"/>
          <w:szCs w:val="32"/>
          <w:highlight w:val="none"/>
          <w:lang w:val="zh-CN" w:eastAsia="zh-CN" w:bidi="ar-SA"/>
        </w:rPr>
        <w:t>万元，增长24.52%,主要原因是:人员工资进行了调标增资</w:t>
      </w:r>
      <w:r>
        <w:rPr>
          <w:rFonts w:hint="eastAsia" w:ascii="仿宋_GB2312" w:eastAsia="仿宋_GB2312" w:cs="Times New Roman"/>
          <w:kern w:val="2"/>
          <w:sz w:val="32"/>
          <w:szCs w:val="32"/>
          <w:highlight w:val="none"/>
          <w:lang w:val="zh-CN" w:eastAsia="zh-CN" w:bidi="ar-SA"/>
        </w:rPr>
        <w:t>，</w:t>
      </w:r>
      <w:r>
        <w:rPr>
          <w:rFonts w:hint="eastAsia" w:ascii="仿宋_GB2312" w:hAnsi="Times New Roman" w:eastAsia="仿宋_GB2312" w:cs="Times New Roman"/>
          <w:kern w:val="2"/>
          <w:sz w:val="32"/>
          <w:szCs w:val="32"/>
          <w:highlight w:val="none"/>
          <w:lang w:val="zh-CN" w:eastAsia="zh-CN" w:bidi="ar-SA"/>
        </w:rPr>
        <w:t>从而导致社保基数增加，机关事业单位职业年金缴费有所增加。</w:t>
      </w:r>
    </w:p>
    <w:p>
      <w:pPr>
        <w:ind w:firstLine="640" w:firstLineChars="200"/>
        <w:outlineLvl w:val="1"/>
        <w:rPr>
          <w:rFonts w:hint="eastAsia" w:ascii="仿宋_GB2312" w:hAnsi="Times New Roman" w:eastAsia="仿宋_GB2312" w:cs="Times New Roman"/>
          <w:kern w:val="2"/>
          <w:sz w:val="32"/>
          <w:szCs w:val="32"/>
          <w:highlight w:val="yellow"/>
          <w:lang w:val="zh-CN" w:eastAsia="zh-CN" w:bidi="ar-SA"/>
        </w:rPr>
      </w:pPr>
      <w:r>
        <w:rPr>
          <w:rFonts w:hint="eastAsia" w:ascii="仿宋_GB2312" w:eastAsia="仿宋_GB2312" w:cs="Times New Roman"/>
          <w:kern w:val="2"/>
          <w:sz w:val="32"/>
          <w:szCs w:val="32"/>
          <w:highlight w:val="none"/>
          <w:lang w:val="en-US" w:eastAsia="zh-CN" w:bidi="ar-SA"/>
        </w:rPr>
        <w:t>9</w:t>
      </w:r>
      <w:r>
        <w:rPr>
          <w:rFonts w:hint="eastAsia" w:ascii="仿宋_GB2312" w:hAnsi="Times New Roman" w:eastAsia="仿宋_GB2312" w:cs="Times New Roman"/>
          <w:kern w:val="2"/>
          <w:sz w:val="32"/>
          <w:szCs w:val="32"/>
          <w:highlight w:val="none"/>
          <w:lang w:val="zh-CN" w:eastAsia="zh-CN" w:bidi="ar-SA"/>
        </w:rPr>
        <w:t>.社会保障和就业支出(类)行政事业单位养老支出(款)机关事业单位基本养老保险缴费支出(项):支出决算数为9.15万元，比上年决算增加1.51万元，增长19.76%,主要原因是:人员工资进行了调标增资从而导致社保基数增加，机关事业单位基本养老保险缴费有所增加。</w:t>
      </w:r>
    </w:p>
    <w:p>
      <w:pPr>
        <w:ind w:firstLine="640" w:firstLineChars="200"/>
        <w:outlineLvl w:val="1"/>
        <w:rPr>
          <w:rFonts w:ascii="黑体" w:hAnsi="黑体" w:eastAsia="黑体" w:cs="宋体"/>
          <w:bCs/>
          <w:kern w:val="0"/>
          <w:sz w:val="32"/>
          <w:szCs w:val="32"/>
          <w:highlight w:val="none"/>
        </w:rPr>
      </w:pPr>
      <w:bookmarkStart w:id="18" w:name="_Toc11146"/>
      <w:bookmarkStart w:id="19" w:name="_Toc30870"/>
      <w:r>
        <w:rPr>
          <w:rFonts w:hint="eastAsia" w:ascii="黑体" w:hAnsi="黑体" w:eastAsia="黑体" w:cs="宋体"/>
          <w:bCs/>
          <w:color w:val="000000" w:themeColor="text1"/>
          <w:kern w:val="0"/>
          <w:sz w:val="32"/>
          <w:szCs w:val="32"/>
          <w:highlight w:val="none"/>
          <w14:textFill>
            <w14:solidFill>
              <w14:schemeClr w14:val="tx1"/>
            </w14:solidFill>
          </w14:textFill>
        </w:rPr>
        <w:t>六、一般公共预算财政</w:t>
      </w:r>
      <w:r>
        <w:rPr>
          <w:rFonts w:hint="eastAsia" w:ascii="黑体" w:hAnsi="黑体" w:eastAsia="黑体" w:cs="宋体"/>
          <w:bCs/>
          <w:kern w:val="0"/>
          <w:sz w:val="32"/>
          <w:szCs w:val="32"/>
          <w:highlight w:val="none"/>
        </w:rPr>
        <w:t>拨款基本支出决算情况说明</w:t>
      </w:r>
      <w:bookmarkEnd w:id="18"/>
      <w:bookmarkEnd w:id="19"/>
    </w:p>
    <w:p>
      <w:pPr>
        <w:ind w:firstLine="640" w:firstLineChars="200"/>
        <w:outlineLvl w:val="1"/>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2023年度一般公共预算财政拨款基本支出102.25万元，其中：人员经费96.43万元，包括：基本工资、津贴补贴、奖金、绩效工资、机关事业单位基本养老保险缴费、职业年金缴费、职工基本医疗保险缴费、公务员医疗补助缴费、其他社会保障缴费、住房公积金、对个人和家庭的补助、退休费、其他对个人和家庭的补助。</w:t>
      </w:r>
    </w:p>
    <w:p>
      <w:pPr>
        <w:ind w:firstLine="640" w:firstLineChars="200"/>
        <w:outlineLvl w:val="1"/>
        <w:rPr>
          <w:rFonts w:ascii="仿宋_GB2312" w:eastAsia="仿宋_GB2312"/>
          <w:sz w:val="32"/>
          <w:szCs w:val="32"/>
          <w:highlight w:val="none"/>
        </w:rPr>
      </w:pPr>
      <w:r>
        <w:rPr>
          <w:rFonts w:hint="eastAsia" w:ascii="仿宋_GB2312" w:hAnsi="Times New Roman" w:eastAsia="仿宋_GB2312" w:cs="Times New Roman"/>
          <w:kern w:val="2"/>
          <w:sz w:val="32"/>
          <w:szCs w:val="32"/>
          <w:highlight w:val="none"/>
          <w:lang w:val="zh-CN" w:eastAsia="zh-CN" w:bidi="ar-SA"/>
        </w:rPr>
        <w:t>公用经费5.82万元，包括：办公费、邮电费、差旅费、工会经费、福利费、其他交通费用、其他商品和服务支出。</w:t>
      </w:r>
    </w:p>
    <w:p>
      <w:pPr>
        <w:ind w:firstLine="640" w:firstLineChars="200"/>
        <w:outlineLvl w:val="1"/>
        <w:rPr>
          <w:rFonts w:ascii="黑体" w:hAnsi="黑体" w:eastAsia="黑体" w:cs="宋体"/>
          <w:bCs/>
          <w:kern w:val="0"/>
          <w:sz w:val="32"/>
          <w:szCs w:val="32"/>
          <w:highlight w:val="none"/>
        </w:rPr>
      </w:pPr>
      <w:bookmarkStart w:id="20" w:name="_Toc7190"/>
      <w:bookmarkStart w:id="21" w:name="_Toc21518"/>
      <w:r>
        <w:rPr>
          <w:rFonts w:hint="eastAsia" w:ascii="黑体" w:hAnsi="黑体" w:eastAsia="黑体" w:cs="宋体"/>
          <w:bCs/>
          <w:kern w:val="0"/>
          <w:sz w:val="32"/>
          <w:szCs w:val="32"/>
          <w:highlight w:val="none"/>
        </w:rPr>
        <w:t>七、财政拨款“三公”经费支出决算情况说明</w:t>
      </w:r>
      <w:bookmarkEnd w:id="20"/>
      <w:bookmarkEnd w:id="21"/>
    </w:p>
    <w:p>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2023年度财政拨款“三公”经费支出决算2.38万元，比上年减少2.05万元，下降46.</w:t>
      </w:r>
      <w:r>
        <w:rPr>
          <w:rFonts w:hint="eastAsia" w:ascii="仿宋_GB2312" w:eastAsia="仿宋_GB2312" w:cs="Times New Roman"/>
          <w:kern w:val="2"/>
          <w:sz w:val="32"/>
          <w:szCs w:val="32"/>
          <w:highlight w:val="none"/>
          <w:lang w:val="en-US" w:eastAsia="zh-CN" w:bidi="ar-SA"/>
        </w:rPr>
        <w:t>28</w:t>
      </w:r>
      <w:r>
        <w:rPr>
          <w:rFonts w:hint="eastAsia" w:ascii="仿宋_GB2312" w:hAnsi="Times New Roman" w:eastAsia="仿宋_GB2312" w:cs="Times New Roman"/>
          <w:kern w:val="2"/>
          <w:sz w:val="32"/>
          <w:szCs w:val="32"/>
          <w:highlight w:val="none"/>
          <w:lang w:val="zh-CN" w:eastAsia="zh-CN" w:bidi="ar-SA"/>
        </w:rPr>
        <w:t>%，，主要原因是：主要是公务用车运行维护费严格按照年初部门预算执行，2023年较上年进一步压缩“三公”经费支出。其中：因公出国（境）费支出0.00万元，占0.00%，比上年</w:t>
      </w:r>
      <w:r>
        <w:rPr>
          <w:rFonts w:hint="eastAsia" w:ascii="仿宋_GB2312" w:eastAsia="仿宋_GB2312" w:cs="Times New Roman"/>
          <w:kern w:val="2"/>
          <w:sz w:val="32"/>
          <w:szCs w:val="32"/>
          <w:highlight w:val="none"/>
          <w:lang w:val="zh-CN" w:eastAsia="zh-CN" w:bidi="ar-SA"/>
        </w:rPr>
        <w:t>增加</w:t>
      </w:r>
      <w:r>
        <w:rPr>
          <w:rFonts w:hint="eastAsia" w:ascii="仿宋_GB2312" w:hAnsi="Times New Roman" w:eastAsia="仿宋_GB2312" w:cs="Times New Roman"/>
          <w:kern w:val="2"/>
          <w:sz w:val="32"/>
          <w:szCs w:val="32"/>
          <w:highlight w:val="none"/>
          <w:lang w:val="zh-CN" w:eastAsia="zh-CN" w:bidi="ar-SA"/>
        </w:rPr>
        <w:t>0.00万元</w:t>
      </w:r>
      <w:r>
        <w:rPr>
          <w:rFonts w:hint="eastAsia" w:ascii="仿宋_GB2312" w:eastAsia="仿宋_GB2312" w:cs="Times New Roman"/>
          <w:kern w:val="2"/>
          <w:sz w:val="32"/>
          <w:szCs w:val="32"/>
          <w:highlight w:val="none"/>
          <w:lang w:val="zh-CN" w:eastAsia="zh-CN" w:bidi="ar-SA"/>
        </w:rPr>
        <w:t>，增长</w:t>
      </w:r>
      <w:r>
        <w:rPr>
          <w:rFonts w:hint="eastAsia" w:ascii="仿宋_GB2312" w:hAnsi="Times New Roman" w:eastAsia="仿宋_GB2312" w:cs="Times New Roman"/>
          <w:kern w:val="2"/>
          <w:sz w:val="32"/>
          <w:szCs w:val="32"/>
          <w:highlight w:val="none"/>
          <w:lang w:val="zh-CN" w:eastAsia="zh-CN" w:bidi="ar-SA"/>
        </w:rPr>
        <w:t>0.00%，主要原因是：我单位无因公出国（境）费；公务用车购置及运行维护费支出2.38万元，占100.00%，比上年减少2.05万元，下降46.</w:t>
      </w:r>
      <w:r>
        <w:rPr>
          <w:rFonts w:hint="eastAsia" w:ascii="仿宋_GB2312" w:eastAsia="仿宋_GB2312" w:cs="Times New Roman"/>
          <w:kern w:val="2"/>
          <w:sz w:val="32"/>
          <w:szCs w:val="32"/>
          <w:highlight w:val="none"/>
          <w:lang w:val="en-US" w:eastAsia="zh-CN" w:bidi="ar-SA"/>
        </w:rPr>
        <w:t>28</w:t>
      </w:r>
      <w:r>
        <w:rPr>
          <w:rFonts w:hint="eastAsia" w:ascii="仿宋_GB2312" w:hAnsi="Times New Roman" w:eastAsia="仿宋_GB2312" w:cs="Times New Roman"/>
          <w:kern w:val="2"/>
          <w:sz w:val="32"/>
          <w:szCs w:val="32"/>
          <w:highlight w:val="none"/>
          <w:lang w:val="zh-CN" w:eastAsia="zh-CN" w:bidi="ar-SA"/>
        </w:rPr>
        <w:t>%，主要原因是：今年进一步压缩“三公”经费支出，主要是公务用车运行维护费严格按照年初部门预算执行；公务接待费支出0.00万元，占0.00%，比上年</w:t>
      </w:r>
      <w:r>
        <w:rPr>
          <w:rFonts w:hint="eastAsia" w:ascii="仿宋_GB2312" w:eastAsia="仿宋_GB2312" w:cs="Times New Roman"/>
          <w:kern w:val="2"/>
          <w:sz w:val="32"/>
          <w:szCs w:val="32"/>
          <w:highlight w:val="none"/>
          <w:lang w:val="zh-CN" w:eastAsia="zh-CN" w:bidi="ar-SA"/>
        </w:rPr>
        <w:t>增加</w:t>
      </w:r>
      <w:r>
        <w:rPr>
          <w:rFonts w:hint="eastAsia" w:ascii="仿宋_GB2312" w:eastAsia="仿宋_GB2312" w:cs="Times New Roman"/>
          <w:kern w:val="2"/>
          <w:sz w:val="32"/>
          <w:szCs w:val="32"/>
          <w:highlight w:val="none"/>
          <w:lang w:val="en-US" w:eastAsia="zh-CN" w:bidi="ar-SA"/>
        </w:rPr>
        <w:t>0.00万元，增长0.00%</w:t>
      </w:r>
      <w:r>
        <w:rPr>
          <w:rFonts w:hint="eastAsia" w:ascii="仿宋_GB2312" w:hAnsi="Times New Roman" w:eastAsia="仿宋_GB2312" w:cs="Times New Roman"/>
          <w:kern w:val="2"/>
          <w:sz w:val="32"/>
          <w:szCs w:val="32"/>
          <w:highlight w:val="none"/>
          <w:lang w:val="zh-CN" w:eastAsia="zh-CN" w:bidi="ar-SA"/>
        </w:rPr>
        <w:t>，主要原因是：我单位无公务接待费。</w:t>
      </w:r>
    </w:p>
    <w:p>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具体情况如下：</w:t>
      </w:r>
    </w:p>
    <w:p>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因公出国（境）费支出0.00万元，开支内容包括我单位无因公出国（境）费。单位全年安排的因公出国（境）团组0个，因公出国（境）0人次。</w:t>
      </w:r>
    </w:p>
    <w:p>
      <w:pPr>
        <w:ind w:firstLine="640" w:firstLineChars="2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zh-CN" w:eastAsia="zh-CN" w:bidi="ar-SA"/>
        </w:rPr>
        <w:t>公务用车购置及运行维护费2.38万元，其中：公务用车购置费0.00万元，公务用车运行维护费2.38万元。公务用车运行维护费开支内容包括公务用车日常保养维修费、车辆保险费、加油费。公务用车购置数0辆，公务用车保有量1辆。</w:t>
      </w:r>
      <w:r>
        <w:rPr>
          <w:rFonts w:hint="eastAsia" w:ascii="仿宋_GB2312" w:eastAsia="仿宋_GB2312" w:cs="Times New Roman"/>
          <w:kern w:val="2"/>
          <w:sz w:val="32"/>
          <w:szCs w:val="32"/>
          <w:highlight w:val="none"/>
          <w:lang w:val="zh-CN" w:eastAsia="zh-CN" w:bidi="ar-SA"/>
        </w:rPr>
        <w:t>国有资产占用情况中固定资产车辆</w:t>
      </w:r>
      <w:r>
        <w:rPr>
          <w:rFonts w:hint="eastAsia" w:ascii="仿宋_GB2312" w:eastAsia="仿宋_GB2312" w:cs="Times New Roman"/>
          <w:kern w:val="2"/>
          <w:sz w:val="32"/>
          <w:szCs w:val="32"/>
          <w:highlight w:val="none"/>
          <w:lang w:val="en-US" w:eastAsia="zh-CN" w:bidi="ar-SA"/>
        </w:rPr>
        <w:t>1</w:t>
      </w:r>
      <w:r>
        <w:rPr>
          <w:rFonts w:hint="eastAsia" w:ascii="仿宋_GB2312" w:eastAsia="仿宋_GB2312" w:cs="Times New Roman"/>
          <w:kern w:val="2"/>
          <w:sz w:val="32"/>
          <w:szCs w:val="32"/>
          <w:highlight w:val="none"/>
          <w:lang w:val="zh-CN" w:eastAsia="zh-CN" w:bidi="ar-SA"/>
        </w:rPr>
        <w:t>辆，与公务用车保有量差异原因是：无差异。</w:t>
      </w:r>
    </w:p>
    <w:p>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公务接待费0.00万元，开支内容包括我单位无公务接待费。单位全年安排的国内公务接待0批次，0人次。</w:t>
      </w:r>
    </w:p>
    <w:p>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与全年预算数相比情况：“三公”经费支出全年预算数2.38万元，决算数2.38万元，预决算差异率0.00%，主要原因是：严格按照年初部门预算执行。其中：因公出国（境）费全年预算数0.00万元，决算数0.00万元，预决算差异率0.00%，主要原因是：我单位无因公出国（境）费；公务用车购置费全年预算数0</w:t>
      </w:r>
      <w:r>
        <w:rPr>
          <w:rFonts w:hint="eastAsia" w:ascii="仿宋_GB2312" w:eastAsia="仿宋_GB2312" w:cs="Times New Roman"/>
          <w:kern w:val="2"/>
          <w:sz w:val="32"/>
          <w:szCs w:val="32"/>
          <w:highlight w:val="none"/>
          <w:lang w:val="en-US" w:eastAsia="zh-CN" w:bidi="ar-SA"/>
        </w:rPr>
        <w:t>.00</w:t>
      </w:r>
      <w:r>
        <w:rPr>
          <w:rFonts w:hint="eastAsia" w:ascii="仿宋_GB2312" w:hAnsi="Times New Roman" w:eastAsia="仿宋_GB2312" w:cs="Times New Roman"/>
          <w:kern w:val="2"/>
          <w:sz w:val="32"/>
          <w:szCs w:val="32"/>
          <w:highlight w:val="none"/>
          <w:lang w:val="zh-CN" w:eastAsia="zh-CN" w:bidi="ar-SA"/>
        </w:rPr>
        <w:t>万元，决算数0</w:t>
      </w:r>
      <w:r>
        <w:rPr>
          <w:rFonts w:hint="eastAsia" w:ascii="仿宋_GB2312" w:eastAsia="仿宋_GB2312" w:cs="Times New Roman"/>
          <w:kern w:val="2"/>
          <w:sz w:val="32"/>
          <w:szCs w:val="32"/>
          <w:highlight w:val="none"/>
          <w:lang w:val="en-US" w:eastAsia="zh-CN" w:bidi="ar-SA"/>
        </w:rPr>
        <w:t>.00</w:t>
      </w:r>
      <w:r>
        <w:rPr>
          <w:rFonts w:hint="eastAsia" w:ascii="仿宋_GB2312" w:hAnsi="Times New Roman" w:eastAsia="仿宋_GB2312" w:cs="Times New Roman"/>
          <w:kern w:val="2"/>
          <w:sz w:val="32"/>
          <w:szCs w:val="32"/>
          <w:highlight w:val="none"/>
          <w:lang w:val="zh-CN" w:eastAsia="zh-CN" w:bidi="ar-SA"/>
        </w:rPr>
        <w:t>万元，预决算差异率0.00%，主要原因是：我单位无公务用车购置费；公务用车运行费全年预算数2.38万元，决算数2.38万元，预决算差异率0.00%，主要原因是：主要是公务用车运行维护费严格按照年初部门预算执行；公务接待费全年预算数0.00万元，决算数0.00万元，预决算差异率0.00%，主要原因是：我单位无公务接待费。</w:t>
      </w:r>
    </w:p>
    <w:p>
      <w:pPr>
        <w:ind w:firstLine="640" w:firstLineChars="200"/>
        <w:outlineLvl w:val="1"/>
        <w:rPr>
          <w:rFonts w:ascii="黑体" w:hAnsi="黑体" w:eastAsia="黑体" w:cs="宋体"/>
          <w:bCs/>
          <w:kern w:val="0"/>
          <w:sz w:val="32"/>
          <w:szCs w:val="32"/>
          <w:highlight w:val="none"/>
        </w:rPr>
      </w:pPr>
      <w:bookmarkStart w:id="22" w:name="_Toc5810"/>
      <w:bookmarkStart w:id="23" w:name="_Toc7927"/>
      <w:r>
        <w:rPr>
          <w:rFonts w:hint="eastAsia" w:ascii="黑体" w:hAnsi="黑体" w:eastAsia="黑体" w:cs="宋体"/>
          <w:bCs/>
          <w:kern w:val="0"/>
          <w:sz w:val="32"/>
          <w:szCs w:val="32"/>
          <w:highlight w:val="none"/>
        </w:rPr>
        <w:t>八、政府性基金预算财政拨款收入支出决算情况说明</w:t>
      </w:r>
      <w:bookmarkEnd w:id="22"/>
      <w:bookmarkEnd w:id="23"/>
    </w:p>
    <w:p>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我单位本年度无政府性基金预算财政拨款收入、支出及结转和结余，政府性基金预算财政拨款收入支出决算表为空表。</w:t>
      </w:r>
    </w:p>
    <w:p>
      <w:pPr>
        <w:ind w:firstLine="640" w:firstLineChars="200"/>
        <w:outlineLvl w:val="1"/>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九、国有资本经营预算财政拨款收入支出决算情况说明</w:t>
      </w:r>
    </w:p>
    <w:p>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我单位本年度无国有资本经营预算财政拨款收入、支出及结转和结余，国有资本经营预算财政拨款收入支出决算表为空表。</w:t>
      </w:r>
    </w:p>
    <w:p>
      <w:pPr>
        <w:ind w:firstLine="640" w:firstLineChars="200"/>
        <w:outlineLvl w:val="1"/>
        <w:rPr>
          <w:rFonts w:ascii="黑体" w:hAnsi="黑体" w:eastAsia="黑体" w:cs="宋体"/>
          <w:bCs/>
          <w:kern w:val="0"/>
          <w:sz w:val="32"/>
          <w:szCs w:val="32"/>
          <w:highlight w:val="none"/>
        </w:rPr>
      </w:pPr>
      <w:bookmarkStart w:id="24" w:name="_Toc1235"/>
      <w:bookmarkStart w:id="25" w:name="_Toc7314"/>
      <w:r>
        <w:rPr>
          <w:rFonts w:hint="eastAsia" w:ascii="黑体" w:hAnsi="黑体" w:eastAsia="黑体" w:cs="宋体"/>
          <w:bCs/>
          <w:kern w:val="0"/>
          <w:sz w:val="32"/>
          <w:szCs w:val="32"/>
          <w:highlight w:val="none"/>
        </w:rPr>
        <w:t>十、其他重要事项的情况说明</w:t>
      </w:r>
      <w:bookmarkEnd w:id="24"/>
      <w:bookmarkEnd w:id="25"/>
    </w:p>
    <w:p>
      <w:pPr>
        <w:ind w:firstLine="640" w:firstLineChars="200"/>
        <w:outlineLvl w:val="2"/>
        <w:rPr>
          <w:rFonts w:ascii="黑体" w:hAnsi="黑体" w:eastAsia="黑体"/>
          <w:sz w:val="32"/>
          <w:szCs w:val="32"/>
          <w:highlight w:val="none"/>
        </w:rPr>
      </w:pPr>
      <w:bookmarkStart w:id="26" w:name="_Toc13105"/>
      <w:bookmarkStart w:id="27" w:name="_Toc14519"/>
      <w:r>
        <w:rPr>
          <w:rFonts w:hint="eastAsia" w:ascii="黑体" w:hAnsi="黑体" w:eastAsia="黑体"/>
          <w:sz w:val="32"/>
          <w:szCs w:val="32"/>
          <w:highlight w:val="none"/>
        </w:rPr>
        <w:t>（一）机关运行经费支出情况</w:t>
      </w:r>
      <w:bookmarkEnd w:id="26"/>
      <w:bookmarkEnd w:id="27"/>
    </w:p>
    <w:p>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新疆维吾尔自治区药品监督管理局培训中心单位（事业单位）公用经费5.82万元，比上年减少1.05万元，下降15.28%，主要原因是：进一步压缩办公费及其他交通费等支出。</w:t>
      </w:r>
    </w:p>
    <w:p>
      <w:pPr>
        <w:ind w:firstLine="640" w:firstLineChars="200"/>
        <w:outlineLvl w:val="2"/>
        <w:rPr>
          <w:rFonts w:ascii="黑体" w:hAnsi="黑体" w:eastAsia="黑体"/>
          <w:sz w:val="32"/>
          <w:szCs w:val="32"/>
          <w:highlight w:val="none"/>
        </w:rPr>
      </w:pPr>
      <w:bookmarkStart w:id="28" w:name="_Toc227"/>
      <w:bookmarkStart w:id="29" w:name="_Toc26704"/>
      <w:r>
        <w:rPr>
          <w:rFonts w:hint="eastAsia" w:ascii="黑体" w:hAnsi="黑体" w:eastAsia="黑体"/>
          <w:sz w:val="32"/>
          <w:szCs w:val="32"/>
          <w:highlight w:val="none"/>
        </w:rPr>
        <w:t>（二）政府采购情况</w:t>
      </w:r>
      <w:bookmarkEnd w:id="28"/>
      <w:bookmarkEnd w:id="29"/>
    </w:p>
    <w:p>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2023年度政府采购支出总额84.49万元，其中：政府采购货物支出59.62万元、政府采购工程支出0.00万元、政府采购服务支出24.87万元。</w:t>
      </w:r>
    </w:p>
    <w:p>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授予中小企业合同金额84.49万元，占政府采购支出总额的100.00%，其中：授予小微企业合同金额82.60万元，占政府采购支出总额的97.76%。</w:t>
      </w:r>
    </w:p>
    <w:p>
      <w:pPr>
        <w:ind w:firstLine="640" w:firstLineChars="200"/>
        <w:outlineLvl w:val="2"/>
        <w:rPr>
          <w:rFonts w:ascii="黑体" w:hAnsi="黑体" w:eastAsia="黑体"/>
          <w:sz w:val="32"/>
          <w:szCs w:val="32"/>
          <w:highlight w:val="none"/>
        </w:rPr>
      </w:pPr>
      <w:bookmarkStart w:id="30" w:name="_Toc4591"/>
      <w:bookmarkStart w:id="31" w:name="_Toc8391"/>
      <w:r>
        <w:rPr>
          <w:rFonts w:hint="eastAsia" w:ascii="黑体" w:hAnsi="黑体" w:eastAsia="黑体"/>
          <w:sz w:val="32"/>
          <w:szCs w:val="32"/>
          <w:highlight w:val="none"/>
        </w:rPr>
        <w:t>（三）国有资产占用情况说明</w:t>
      </w:r>
      <w:bookmarkEnd w:id="30"/>
      <w:bookmarkEnd w:id="31"/>
    </w:p>
    <w:p>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截至2023年12月31日，固定资产原值235.66万元，房屋0.0</w:t>
      </w:r>
      <w:r>
        <w:rPr>
          <w:rFonts w:hint="eastAsia" w:ascii="仿宋_GB2312" w:eastAsia="仿宋_GB2312" w:cs="Times New Roman"/>
          <w:kern w:val="2"/>
          <w:sz w:val="32"/>
          <w:szCs w:val="32"/>
          <w:highlight w:val="none"/>
          <w:lang w:val="en-US" w:eastAsia="zh-CN" w:bidi="ar-SA"/>
        </w:rPr>
        <w:t>0</w:t>
      </w:r>
      <w:r>
        <w:rPr>
          <w:rFonts w:hint="eastAsia" w:ascii="仿宋_GB2312" w:hAnsi="Times New Roman" w:eastAsia="仿宋_GB2312" w:cs="Times New Roman"/>
          <w:kern w:val="2"/>
          <w:sz w:val="32"/>
          <w:szCs w:val="32"/>
          <w:highlight w:val="none"/>
          <w:lang w:val="zh-CN" w:eastAsia="zh-CN" w:bidi="ar-SA"/>
        </w:rPr>
        <w:t>平方米，价值0.00万元。车辆1辆，价值32.50万元，其中：副部（省）级及以上领导用车0辆、主要负责人用车0辆、机要通信用车0辆、应急保障用车0辆、执法执勤用车0辆、特种专业技术用车0辆、离退休干部服务用车0辆、其他用车1辆，其他用车主要是：事业单位一般公务用车；单价100万元（含）以上设备（不含车辆）0台（套）。</w:t>
      </w:r>
    </w:p>
    <w:p>
      <w:pPr>
        <w:ind w:firstLine="640" w:firstLineChars="200"/>
        <w:outlineLvl w:val="1"/>
        <w:rPr>
          <w:rFonts w:ascii="黑体" w:hAnsi="黑体" w:eastAsia="黑体" w:cs="宋体"/>
          <w:bCs/>
          <w:kern w:val="0"/>
          <w:sz w:val="32"/>
          <w:szCs w:val="32"/>
          <w:highlight w:val="none"/>
        </w:rPr>
      </w:pPr>
      <w:bookmarkStart w:id="32" w:name="_Toc435"/>
      <w:bookmarkStart w:id="33" w:name="_Toc11283"/>
      <w:r>
        <w:rPr>
          <w:rFonts w:hint="eastAsia" w:ascii="黑体" w:hAnsi="黑体" w:eastAsia="黑体" w:cs="宋体"/>
          <w:bCs/>
          <w:kern w:val="0"/>
          <w:sz w:val="32"/>
          <w:szCs w:val="32"/>
          <w:highlight w:val="none"/>
        </w:rPr>
        <w:t>十一、预算绩效的情况说明</w:t>
      </w:r>
      <w:bookmarkEnd w:id="32"/>
      <w:bookmarkEnd w:id="33"/>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根据预算绩效管理要求，我单位2023年度</w:t>
      </w:r>
      <w:r>
        <w:rPr>
          <w:rFonts w:hint="eastAsia" w:ascii="仿宋_GB2312" w:hAnsi="仿宋_GB2312" w:eastAsia="仿宋_GB2312" w:cs="仿宋_GB2312"/>
          <w:kern w:val="0"/>
          <w:sz w:val="32"/>
          <w:szCs w:val="32"/>
          <w:highlight w:val="none"/>
        </w:rPr>
        <w:t>预算绩效管理</w:t>
      </w:r>
      <w:r>
        <w:rPr>
          <w:rFonts w:hint="eastAsia" w:ascii="仿宋_GB2312" w:eastAsia="仿宋_GB2312"/>
          <w:sz w:val="32"/>
          <w:szCs w:val="32"/>
          <w:highlight w:val="none"/>
        </w:rPr>
        <w:t>预算绩效评价项目4个，全年预算数268.68万元，全年执行数26</w:t>
      </w:r>
      <w:r>
        <w:rPr>
          <w:rFonts w:hint="eastAsia" w:ascii="仿宋_GB2312" w:eastAsia="仿宋_GB2312"/>
          <w:sz w:val="32"/>
          <w:szCs w:val="32"/>
          <w:highlight w:val="none"/>
          <w:lang w:val="en-US" w:eastAsia="zh-CN"/>
        </w:rPr>
        <w:t>6.27</w:t>
      </w:r>
      <w:r>
        <w:rPr>
          <w:rFonts w:hint="eastAsia" w:ascii="仿宋_GB2312" w:eastAsia="仿宋_GB2312"/>
          <w:sz w:val="32"/>
          <w:szCs w:val="32"/>
          <w:highlight w:val="none"/>
        </w:rPr>
        <w:t>万元。预算绩效管理取得的成效：</w:t>
      </w:r>
      <w:r>
        <w:rPr>
          <w:rFonts w:ascii="仿宋_GB2312" w:eastAsia="仿宋_GB2312"/>
          <w:sz w:val="32"/>
          <w:szCs w:val="32"/>
          <w:highlight w:val="none"/>
        </w:rPr>
        <w:t>一是加强全区药品经营环节日常监管工作，保证相关药品抽检及监管执法工作依法开展，最大程度消除药品经营环节的安全隐患，保障公众身体健康与生命安全，维护正常的社会秩序。</w:t>
      </w:r>
      <w:r>
        <w:rPr>
          <w:rFonts w:hint="eastAsia" w:ascii="仿宋_GB2312" w:eastAsia="仿宋_GB2312"/>
          <w:sz w:val="32"/>
          <w:szCs w:val="32"/>
          <w:highlight w:val="none"/>
        </w:rPr>
        <w:t>发现的问题及原因：</w:t>
      </w:r>
      <w:r>
        <w:rPr>
          <w:rFonts w:ascii="仿宋_GB2312" w:eastAsia="仿宋_GB2312"/>
          <w:sz w:val="32"/>
          <w:szCs w:val="32"/>
          <w:highlight w:val="none"/>
        </w:rPr>
        <w:t>培训参加人次（人次）和</w:t>
      </w:r>
      <w:r>
        <w:rPr>
          <w:rFonts w:hint="eastAsia" w:ascii="仿宋_GB2312" w:eastAsia="仿宋_GB2312"/>
          <w:sz w:val="32"/>
          <w:szCs w:val="32"/>
          <w:highlight w:val="none"/>
        </w:rPr>
        <w:t>业绩值</w:t>
      </w:r>
      <w:r>
        <w:rPr>
          <w:rFonts w:ascii="仿宋_GB2312" w:eastAsia="仿宋_GB2312"/>
          <w:sz w:val="32"/>
          <w:szCs w:val="32"/>
          <w:highlight w:val="none"/>
        </w:rPr>
        <w:t>两项指标年初目标设置不够精准造成目标值和实际完成值出现偏差，对近三年的数据进行测算，在下一年更加严谨设置年初目标</w:t>
      </w:r>
      <w:r>
        <w:rPr>
          <w:rFonts w:hint="eastAsia" w:ascii="仿宋_GB2312" w:eastAsia="仿宋_GB2312"/>
          <w:sz w:val="32"/>
          <w:szCs w:val="32"/>
          <w:highlight w:val="none"/>
        </w:rPr>
        <w:t>。下一步改进措施：</w:t>
      </w:r>
      <w:r>
        <w:rPr>
          <w:rFonts w:ascii="仿宋_GB2312" w:eastAsia="仿宋_GB2312"/>
          <w:sz w:val="32"/>
          <w:szCs w:val="32"/>
          <w:highlight w:val="none"/>
        </w:rPr>
        <w:t>药监局培训中心将继续加强资金使用管理的工作，在绩效目标的设定和执行上下功夫，加大绩效执行能力和监管力度，针对财政资金在前期准备、组织过程、分析评价上能够形成一整套的工作机制，不断完善绩效目标设定、预期指标值的准确率，和绩效全过程监督工作，为绩效监控工作奠定坚实的基础。具体项目自评情况附项目支出绩效自评表</w:t>
      </w:r>
      <w:r>
        <w:rPr>
          <w:rFonts w:hint="eastAsia" w:ascii="仿宋_GB2312" w:eastAsia="仿宋_GB2312"/>
          <w:sz w:val="32"/>
          <w:szCs w:val="32"/>
          <w:highlight w:val="none"/>
        </w:rPr>
        <w:t>。具体项目自评情况见附件。</w:t>
      </w:r>
    </w:p>
    <w:p>
      <w:pPr>
        <w:ind w:firstLine="640" w:firstLineChars="200"/>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十二、其他需说明的事项</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本单位无其他需说明事项</w:t>
      </w:r>
    </w:p>
    <w:p>
      <w:pPr>
        <w:jc w:val="center"/>
        <w:outlineLvl w:val="0"/>
        <w:rPr>
          <w:rFonts w:ascii="黑体" w:hAnsi="黑体" w:eastAsia="黑体"/>
          <w:sz w:val="32"/>
          <w:szCs w:val="32"/>
          <w:highlight w:val="none"/>
        </w:rPr>
      </w:pPr>
      <w:bookmarkStart w:id="34" w:name="_Toc3250"/>
      <w:bookmarkStart w:id="35" w:name="_Toc24143"/>
      <w:r>
        <w:rPr>
          <w:rFonts w:hint="eastAsia" w:ascii="黑体" w:hAnsi="黑体" w:eastAsia="黑体"/>
          <w:sz w:val="32"/>
          <w:szCs w:val="32"/>
          <w:highlight w:val="none"/>
        </w:rPr>
        <w:br w:type="page"/>
      </w:r>
      <w:r>
        <w:rPr>
          <w:rFonts w:hint="eastAsia" w:ascii="黑体" w:hAnsi="黑体" w:eastAsia="黑体"/>
          <w:sz w:val="32"/>
          <w:szCs w:val="32"/>
          <w:highlight w:val="none"/>
        </w:rPr>
        <w:t>第三部分 专业名词解释</w:t>
      </w:r>
      <w:bookmarkEnd w:id="34"/>
      <w:bookmarkEnd w:id="35"/>
    </w:p>
    <w:p>
      <w:pPr>
        <w:autoSpaceDE w:val="0"/>
        <w:autoSpaceDN w:val="0"/>
        <w:ind w:firstLine="642" w:firstLineChars="200"/>
        <w:rPr>
          <w:rFonts w:ascii="仿宋_GB2312" w:eastAsia="仿宋_GB2312"/>
          <w:sz w:val="32"/>
          <w:szCs w:val="32"/>
          <w:highlight w:val="none"/>
        </w:rPr>
      </w:pPr>
      <w:r>
        <w:rPr>
          <w:rFonts w:hint="eastAsia" w:ascii="仿宋_GB2312" w:eastAsia="仿宋_GB2312"/>
          <w:b/>
          <w:bCs/>
          <w:sz w:val="32"/>
          <w:szCs w:val="32"/>
          <w:highlight w:val="none"/>
        </w:rPr>
        <w:t>一、财政拨款收入：</w:t>
      </w:r>
      <w:r>
        <w:rPr>
          <w:rFonts w:hint="eastAsia" w:ascii="仿宋_GB2312" w:eastAsia="仿宋_GB2312"/>
          <w:sz w:val="32"/>
          <w:szCs w:val="32"/>
          <w:highlight w:val="none"/>
        </w:rPr>
        <w:t>指同级财政当年拨付的资金。</w:t>
      </w:r>
    </w:p>
    <w:p>
      <w:pPr>
        <w:autoSpaceDE w:val="0"/>
        <w:autoSpaceDN w:val="0"/>
        <w:ind w:firstLine="642" w:firstLineChars="200"/>
        <w:rPr>
          <w:rFonts w:ascii="仿宋_GB2312" w:eastAsia="仿宋_GB2312"/>
          <w:sz w:val="32"/>
          <w:szCs w:val="32"/>
          <w:highlight w:val="none"/>
        </w:rPr>
      </w:pPr>
      <w:r>
        <w:rPr>
          <w:rFonts w:hint="eastAsia" w:ascii="仿宋_GB2312" w:eastAsia="仿宋_GB2312"/>
          <w:b/>
          <w:bCs/>
          <w:sz w:val="32"/>
          <w:szCs w:val="32"/>
          <w:highlight w:val="none"/>
        </w:rPr>
        <w:t>二、上级补助收入：</w:t>
      </w:r>
      <w:r>
        <w:rPr>
          <w:rFonts w:hint="eastAsia" w:ascii="仿宋_GB2312" w:eastAsia="仿宋_GB2312"/>
          <w:sz w:val="32"/>
          <w:szCs w:val="32"/>
          <w:highlight w:val="none"/>
        </w:rPr>
        <w:t>指事业单位从主管部门和上级单位取得的非财政补助收入。</w:t>
      </w:r>
    </w:p>
    <w:p>
      <w:pPr>
        <w:autoSpaceDE w:val="0"/>
        <w:autoSpaceDN w:val="0"/>
        <w:ind w:firstLine="642" w:firstLineChars="200"/>
        <w:rPr>
          <w:rFonts w:ascii="仿宋_GB2312" w:eastAsia="仿宋_GB2312"/>
          <w:sz w:val="32"/>
          <w:szCs w:val="32"/>
          <w:highlight w:val="none"/>
        </w:rPr>
      </w:pPr>
      <w:r>
        <w:rPr>
          <w:rFonts w:hint="eastAsia" w:ascii="仿宋_GB2312" w:eastAsia="仿宋_GB2312"/>
          <w:b/>
          <w:bCs/>
          <w:sz w:val="32"/>
          <w:szCs w:val="32"/>
          <w:highlight w:val="none"/>
        </w:rPr>
        <w:t>三、事业收入：</w:t>
      </w:r>
      <w:r>
        <w:rPr>
          <w:rFonts w:hint="eastAsia" w:ascii="仿宋_GB2312" w:eastAsia="仿宋_GB2312"/>
          <w:sz w:val="32"/>
          <w:szCs w:val="32"/>
          <w:highlight w:val="none"/>
        </w:rPr>
        <w:t>指事业单位开展专业业务活动及其辅助活动所取得的收入。</w:t>
      </w:r>
    </w:p>
    <w:p>
      <w:pPr>
        <w:autoSpaceDE w:val="0"/>
        <w:autoSpaceDN w:val="0"/>
        <w:ind w:firstLine="642" w:firstLineChars="200"/>
        <w:rPr>
          <w:rFonts w:ascii="仿宋_GB2312" w:eastAsia="仿宋_GB2312"/>
          <w:sz w:val="32"/>
          <w:szCs w:val="32"/>
          <w:highlight w:val="none"/>
        </w:rPr>
      </w:pPr>
      <w:r>
        <w:rPr>
          <w:rFonts w:hint="eastAsia" w:ascii="仿宋_GB2312" w:eastAsia="仿宋_GB2312"/>
          <w:b/>
          <w:bCs/>
          <w:sz w:val="32"/>
          <w:szCs w:val="32"/>
          <w:highlight w:val="none"/>
        </w:rPr>
        <w:t>四、经营收入：</w:t>
      </w:r>
      <w:r>
        <w:rPr>
          <w:rFonts w:hint="eastAsia" w:ascii="仿宋_GB2312" w:eastAsia="仿宋_GB2312"/>
          <w:sz w:val="32"/>
          <w:szCs w:val="32"/>
          <w:highlight w:val="none"/>
        </w:rPr>
        <w:t>指事业单位在专业业务活动及其辅助活动之外开展非独立核算经营活动取得的收入。</w:t>
      </w:r>
    </w:p>
    <w:p>
      <w:pPr>
        <w:autoSpaceDE w:val="0"/>
        <w:autoSpaceDN w:val="0"/>
        <w:ind w:firstLine="642" w:firstLineChars="200"/>
        <w:rPr>
          <w:rFonts w:ascii="仿宋_GB2312" w:eastAsia="仿宋_GB2312"/>
          <w:sz w:val="32"/>
          <w:szCs w:val="32"/>
          <w:highlight w:val="none"/>
        </w:rPr>
      </w:pPr>
      <w:r>
        <w:rPr>
          <w:rFonts w:hint="eastAsia" w:ascii="仿宋_GB2312" w:eastAsia="仿宋_GB2312"/>
          <w:b/>
          <w:bCs/>
          <w:sz w:val="32"/>
          <w:szCs w:val="32"/>
          <w:highlight w:val="none"/>
        </w:rPr>
        <w:t>五、附属单位上缴收入：</w:t>
      </w:r>
      <w:r>
        <w:rPr>
          <w:rFonts w:hint="eastAsia" w:ascii="仿宋_GB2312" w:eastAsia="仿宋_GB2312"/>
          <w:sz w:val="32"/>
          <w:szCs w:val="32"/>
          <w:highlight w:val="none"/>
        </w:rPr>
        <w:t>指事业单位附属的独立核算单位按有关规定上缴的收入。</w:t>
      </w:r>
    </w:p>
    <w:p>
      <w:pPr>
        <w:autoSpaceDE w:val="0"/>
        <w:autoSpaceDN w:val="0"/>
        <w:ind w:firstLine="642" w:firstLineChars="200"/>
        <w:rPr>
          <w:rFonts w:ascii="仿宋_GB2312" w:eastAsia="仿宋_GB2312"/>
          <w:sz w:val="32"/>
          <w:szCs w:val="32"/>
          <w:highlight w:val="none"/>
        </w:rPr>
      </w:pPr>
      <w:r>
        <w:rPr>
          <w:rFonts w:hint="eastAsia" w:ascii="仿宋_GB2312" w:eastAsia="仿宋_GB2312"/>
          <w:b/>
          <w:bCs/>
          <w:sz w:val="32"/>
          <w:szCs w:val="32"/>
          <w:highlight w:val="none"/>
        </w:rPr>
        <w:t>六、其他收入：</w:t>
      </w:r>
      <w:r>
        <w:rPr>
          <w:rFonts w:hint="eastAsia" w:ascii="仿宋_GB2312" w:eastAsia="仿宋_GB2312"/>
          <w:sz w:val="32"/>
          <w:szCs w:val="32"/>
          <w:highlight w:val="none"/>
        </w:rPr>
        <w:t>指除上述“财政拨款收入”、“事业收入”、“经营收入”、“附属单位上缴收入”等之外取得的收入。</w:t>
      </w:r>
    </w:p>
    <w:p>
      <w:pPr>
        <w:autoSpaceDE w:val="0"/>
        <w:autoSpaceDN w:val="0"/>
        <w:ind w:firstLine="642" w:firstLineChars="200"/>
        <w:rPr>
          <w:rFonts w:ascii="仿宋_GB2312" w:eastAsia="仿宋_GB2312"/>
          <w:sz w:val="32"/>
          <w:szCs w:val="32"/>
          <w:highlight w:val="none"/>
        </w:rPr>
      </w:pPr>
      <w:r>
        <w:rPr>
          <w:rFonts w:hint="eastAsia" w:ascii="仿宋_GB2312" w:eastAsia="仿宋_GB2312"/>
          <w:b/>
          <w:bCs/>
          <w:sz w:val="32"/>
          <w:szCs w:val="32"/>
          <w:highlight w:val="none"/>
        </w:rPr>
        <w:t>七、年初结转和结余：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2" w:firstLineChars="200"/>
        <w:rPr>
          <w:rFonts w:ascii="仿宋_GB2312" w:eastAsia="仿宋_GB2312"/>
          <w:sz w:val="32"/>
          <w:szCs w:val="32"/>
          <w:highlight w:val="none"/>
        </w:rPr>
      </w:pPr>
      <w:r>
        <w:rPr>
          <w:rFonts w:hint="eastAsia" w:ascii="仿宋_GB2312" w:eastAsia="仿宋_GB2312"/>
          <w:b/>
          <w:bCs/>
          <w:sz w:val="32"/>
          <w:szCs w:val="32"/>
          <w:highlight w:val="none"/>
        </w:rPr>
        <w:t>八、年末结转和结余：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2" w:firstLineChars="200"/>
        <w:rPr>
          <w:rFonts w:ascii="仿宋_GB2312" w:eastAsia="仿宋_GB2312"/>
          <w:sz w:val="32"/>
          <w:szCs w:val="32"/>
          <w:highlight w:val="none"/>
        </w:rPr>
      </w:pPr>
      <w:r>
        <w:rPr>
          <w:rFonts w:hint="eastAsia" w:ascii="仿宋_GB2312" w:eastAsia="仿宋_GB2312"/>
          <w:b/>
          <w:bCs/>
          <w:sz w:val="32"/>
          <w:szCs w:val="32"/>
          <w:highlight w:val="none"/>
        </w:rPr>
        <w:t>九、基本支出：</w:t>
      </w:r>
      <w:r>
        <w:rPr>
          <w:rFonts w:hint="eastAsia" w:ascii="仿宋_GB2312" w:eastAsia="仿宋_GB2312"/>
          <w:sz w:val="32"/>
          <w:szCs w:val="32"/>
          <w:highlight w:val="none"/>
        </w:rPr>
        <w:t>指为保障机构正常运转、完成日常工作任务而发生的人员支出和公用支出。</w:t>
      </w:r>
    </w:p>
    <w:p>
      <w:pPr>
        <w:autoSpaceDE w:val="0"/>
        <w:autoSpaceDN w:val="0"/>
        <w:ind w:firstLine="642" w:firstLineChars="200"/>
        <w:rPr>
          <w:rFonts w:ascii="仿宋_GB2312" w:eastAsia="仿宋_GB2312"/>
          <w:sz w:val="32"/>
          <w:szCs w:val="32"/>
          <w:highlight w:val="none"/>
        </w:rPr>
      </w:pPr>
      <w:r>
        <w:rPr>
          <w:rFonts w:hint="eastAsia" w:ascii="仿宋_GB2312" w:eastAsia="仿宋_GB2312"/>
          <w:b/>
          <w:bCs/>
          <w:sz w:val="32"/>
          <w:szCs w:val="32"/>
          <w:highlight w:val="none"/>
        </w:rPr>
        <w:t>十、项目支出：</w:t>
      </w:r>
      <w:r>
        <w:rPr>
          <w:rFonts w:hint="eastAsia" w:ascii="仿宋_GB2312" w:eastAsia="仿宋_GB2312"/>
          <w:sz w:val="32"/>
          <w:szCs w:val="32"/>
          <w:highlight w:val="none"/>
        </w:rPr>
        <w:t>指在基本支出之外为完成特定行政任务和事业发展目标所发生的支出。</w:t>
      </w:r>
    </w:p>
    <w:p>
      <w:pPr>
        <w:autoSpaceDE w:val="0"/>
        <w:autoSpaceDN w:val="0"/>
        <w:ind w:firstLine="642" w:firstLineChars="200"/>
        <w:rPr>
          <w:rFonts w:ascii="仿宋_GB2312" w:eastAsia="仿宋_GB2312"/>
          <w:sz w:val="32"/>
          <w:szCs w:val="32"/>
          <w:highlight w:val="none"/>
        </w:rPr>
      </w:pPr>
      <w:r>
        <w:rPr>
          <w:rFonts w:hint="eastAsia" w:ascii="仿宋_GB2312" w:eastAsia="仿宋_GB2312"/>
          <w:b/>
          <w:bCs/>
          <w:sz w:val="32"/>
          <w:szCs w:val="32"/>
          <w:highlight w:val="none"/>
        </w:rPr>
        <w:t>十一、经营支出：</w:t>
      </w:r>
      <w:r>
        <w:rPr>
          <w:rFonts w:hint="eastAsia" w:ascii="仿宋_GB2312" w:eastAsia="仿宋_GB2312"/>
          <w:sz w:val="32"/>
          <w:szCs w:val="32"/>
          <w:highlight w:val="none"/>
        </w:rPr>
        <w:t>指事业单位在专业业务活动及其辅助活动之外开展非独立核算经营活动发生的支出。</w:t>
      </w:r>
    </w:p>
    <w:p>
      <w:pPr>
        <w:autoSpaceDE w:val="0"/>
        <w:autoSpaceDN w:val="0"/>
        <w:ind w:firstLine="642" w:firstLineChars="200"/>
        <w:rPr>
          <w:rFonts w:ascii="仿宋_GB2312" w:eastAsia="仿宋_GB2312"/>
          <w:sz w:val="32"/>
          <w:szCs w:val="32"/>
          <w:highlight w:val="none"/>
        </w:rPr>
      </w:pPr>
      <w:r>
        <w:rPr>
          <w:rFonts w:hint="eastAsia" w:ascii="仿宋_GB2312" w:eastAsia="仿宋_GB2312"/>
          <w:b/>
          <w:bCs/>
          <w:sz w:val="32"/>
          <w:szCs w:val="32"/>
          <w:highlight w:val="none"/>
        </w:rPr>
        <w:t>十二、对附属单位补助支出：</w:t>
      </w:r>
      <w:r>
        <w:rPr>
          <w:rFonts w:hint="eastAsia" w:ascii="仿宋_GB2312" w:eastAsia="仿宋_GB2312"/>
          <w:sz w:val="32"/>
          <w:szCs w:val="32"/>
          <w:highlight w:val="none"/>
        </w:rPr>
        <w:t>指事业单位发生的用非财政预算资金对附属单位的补助支出。</w:t>
      </w:r>
    </w:p>
    <w:p>
      <w:pPr>
        <w:autoSpaceDE w:val="0"/>
        <w:autoSpaceDN w:val="0"/>
        <w:ind w:firstLine="642" w:firstLineChars="200"/>
        <w:rPr>
          <w:rFonts w:ascii="仿宋_GB2312" w:eastAsia="仿宋_GB2312"/>
          <w:sz w:val="32"/>
          <w:szCs w:val="32"/>
          <w:highlight w:val="none"/>
        </w:rPr>
      </w:pPr>
      <w:r>
        <w:rPr>
          <w:rFonts w:hint="eastAsia" w:ascii="仿宋_GB2312" w:eastAsia="仿宋_GB2312"/>
          <w:b/>
          <w:bCs/>
          <w:sz w:val="32"/>
          <w:szCs w:val="32"/>
          <w:highlight w:val="none"/>
        </w:rPr>
        <w:t>十三、“三公”经费：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2" w:firstLineChars="200"/>
        <w:rPr>
          <w:rFonts w:ascii="仿宋_GB2312" w:eastAsia="仿宋_GB2312"/>
          <w:sz w:val="32"/>
          <w:szCs w:val="32"/>
          <w:highlight w:val="none"/>
        </w:rPr>
      </w:pPr>
      <w:r>
        <w:rPr>
          <w:rFonts w:hint="eastAsia" w:ascii="仿宋_GB2312" w:eastAsia="仿宋_GB2312"/>
          <w:b/>
          <w:bCs/>
          <w:sz w:val="32"/>
          <w:szCs w:val="32"/>
          <w:highlight w:val="none"/>
        </w:rPr>
        <w:t>十四、机关运行经费：</w:t>
      </w:r>
      <w:r>
        <w:rPr>
          <w:rFonts w:hint="eastAsia" w:ascii="仿宋_GB2312" w:eastAsia="仿宋_GB2312"/>
          <w:sz w:val="32"/>
          <w:szCs w:val="32"/>
          <w:highlight w:val="none"/>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highlight w:val="none"/>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黑体" w:cs="宋体"/>
          <w:bCs/>
          <w:kern w:val="0"/>
          <w:sz w:val="32"/>
          <w:szCs w:val="32"/>
        </w:rPr>
      </w:pPr>
      <w:bookmarkStart w:id="36" w:name="_Toc6062"/>
      <w:bookmarkStart w:id="37" w:name="_Toc2183"/>
      <w:r>
        <w:rPr>
          <w:rFonts w:hint="eastAsia" w:ascii="黑体" w:hAnsi="黑体" w:eastAsia="黑体" w:cs="宋体"/>
          <w:bCs/>
          <w:kern w:val="0"/>
          <w:sz w:val="32"/>
          <w:szCs w:val="32"/>
        </w:rPr>
        <w:t>一、《收入支出决算总表》</w:t>
      </w:r>
      <w:bookmarkEnd w:id="36"/>
      <w:bookmarkEnd w:id="37"/>
    </w:p>
    <w:p>
      <w:pPr>
        <w:ind w:firstLine="640" w:firstLineChars="200"/>
        <w:outlineLvl w:val="1"/>
        <w:rPr>
          <w:rFonts w:ascii="黑体" w:hAnsi="黑体" w:eastAsia="黑体" w:cs="宋体"/>
          <w:bCs/>
          <w:kern w:val="0"/>
          <w:sz w:val="32"/>
          <w:szCs w:val="32"/>
        </w:rPr>
      </w:pPr>
      <w:bookmarkStart w:id="38" w:name="_Toc30364"/>
      <w:bookmarkStart w:id="39" w:name="_Toc24532"/>
      <w:r>
        <w:rPr>
          <w:rFonts w:hint="eastAsia" w:ascii="黑体" w:hAnsi="黑体" w:eastAsia="黑体" w:cs="宋体"/>
          <w:bCs/>
          <w:kern w:val="0"/>
          <w:sz w:val="32"/>
          <w:szCs w:val="32"/>
        </w:rPr>
        <w:t>二、《收入决算表》</w:t>
      </w:r>
      <w:bookmarkEnd w:id="38"/>
      <w:bookmarkEnd w:id="39"/>
    </w:p>
    <w:p>
      <w:pPr>
        <w:ind w:firstLine="640" w:firstLineChars="200"/>
        <w:outlineLvl w:val="1"/>
        <w:rPr>
          <w:rFonts w:ascii="黑体" w:hAnsi="黑体" w:eastAsia="黑体" w:cs="宋体"/>
          <w:bCs/>
          <w:kern w:val="0"/>
          <w:sz w:val="32"/>
          <w:szCs w:val="32"/>
        </w:rPr>
      </w:pPr>
      <w:bookmarkStart w:id="40" w:name="_Toc32434"/>
      <w:bookmarkStart w:id="41" w:name="_Toc21304"/>
      <w:r>
        <w:rPr>
          <w:rFonts w:hint="eastAsia" w:ascii="黑体" w:hAnsi="黑体" w:eastAsia="黑体" w:cs="宋体"/>
          <w:bCs/>
          <w:kern w:val="0"/>
          <w:sz w:val="32"/>
          <w:szCs w:val="32"/>
        </w:rPr>
        <w:t>三、《支出决算表》</w:t>
      </w:r>
      <w:bookmarkEnd w:id="40"/>
      <w:bookmarkEnd w:id="41"/>
    </w:p>
    <w:p>
      <w:pPr>
        <w:ind w:firstLine="640" w:firstLineChars="200"/>
        <w:outlineLvl w:val="1"/>
        <w:rPr>
          <w:rFonts w:ascii="黑体" w:hAnsi="黑体" w:eastAsia="黑体" w:cs="宋体"/>
          <w:bCs/>
          <w:kern w:val="0"/>
          <w:sz w:val="32"/>
          <w:szCs w:val="32"/>
        </w:rPr>
      </w:pPr>
      <w:bookmarkStart w:id="42" w:name="_Toc28786"/>
      <w:bookmarkStart w:id="43" w:name="_Toc14238"/>
      <w:r>
        <w:rPr>
          <w:rFonts w:hint="eastAsia" w:ascii="黑体" w:hAnsi="黑体" w:eastAsia="黑体" w:cs="宋体"/>
          <w:bCs/>
          <w:kern w:val="0"/>
          <w:sz w:val="32"/>
          <w:szCs w:val="32"/>
        </w:rPr>
        <w:t>四、《财政拨款收入支出决算总表》</w:t>
      </w:r>
      <w:bookmarkEnd w:id="42"/>
      <w:bookmarkEnd w:id="43"/>
    </w:p>
    <w:p>
      <w:pPr>
        <w:ind w:firstLine="640" w:firstLineChars="200"/>
        <w:outlineLvl w:val="1"/>
        <w:rPr>
          <w:rFonts w:ascii="黑体" w:hAnsi="黑体" w:eastAsia="黑体" w:cs="宋体"/>
          <w:bCs/>
          <w:kern w:val="0"/>
          <w:sz w:val="32"/>
          <w:szCs w:val="32"/>
        </w:rPr>
      </w:pPr>
      <w:bookmarkStart w:id="44" w:name="_Toc14869"/>
      <w:bookmarkStart w:id="45" w:name="_Toc10347"/>
      <w:r>
        <w:rPr>
          <w:rFonts w:hint="eastAsia" w:ascii="黑体" w:hAnsi="黑体" w:eastAsia="黑体" w:cs="宋体"/>
          <w:bCs/>
          <w:kern w:val="0"/>
          <w:sz w:val="32"/>
          <w:szCs w:val="32"/>
        </w:rPr>
        <w:t>五、《一般公共预算财政拨款支出决算表》</w:t>
      </w:r>
      <w:bookmarkEnd w:id="44"/>
      <w:bookmarkEnd w:id="45"/>
    </w:p>
    <w:p>
      <w:pPr>
        <w:ind w:firstLine="640" w:firstLineChars="200"/>
        <w:outlineLvl w:val="1"/>
        <w:rPr>
          <w:rFonts w:ascii="黑体" w:hAnsi="黑体" w:eastAsia="黑体" w:cs="宋体"/>
          <w:bCs/>
          <w:kern w:val="0"/>
          <w:sz w:val="32"/>
          <w:szCs w:val="32"/>
        </w:rPr>
      </w:pPr>
      <w:bookmarkStart w:id="46" w:name="_Toc5626"/>
      <w:bookmarkStart w:id="47" w:name="_Toc8884"/>
      <w:r>
        <w:rPr>
          <w:rFonts w:hint="eastAsia" w:ascii="黑体" w:hAnsi="黑体" w:eastAsia="黑体" w:cs="宋体"/>
          <w:bCs/>
          <w:kern w:val="0"/>
          <w:sz w:val="32"/>
          <w:szCs w:val="32"/>
        </w:rPr>
        <w:t>六、《一般公共预算财政拨款基本支出决算表》</w:t>
      </w:r>
      <w:bookmarkEnd w:id="46"/>
      <w:bookmarkEnd w:id="47"/>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8" w:name="_Toc32663"/>
      <w:bookmarkStart w:id="49" w:name="_Toc29106"/>
      <w:r>
        <w:rPr>
          <w:rFonts w:hint="eastAsia" w:ascii="黑体" w:hAnsi="黑体" w:eastAsia="黑体" w:cs="宋体"/>
          <w:bCs/>
          <w:kern w:val="0"/>
          <w:sz w:val="32"/>
          <w:szCs w:val="32"/>
        </w:rPr>
        <w:t>《财政拨款“三公”经费支出决算表》</w:t>
      </w:r>
      <w:bookmarkEnd w:id="48"/>
      <w:bookmarkEnd w:id="49"/>
    </w:p>
    <w:p>
      <w:pPr>
        <w:ind w:firstLine="640" w:firstLineChars="200"/>
        <w:outlineLvl w:val="1"/>
        <w:rPr>
          <w:rFonts w:ascii="黑体" w:hAnsi="黑体" w:eastAsia="黑体" w:cs="宋体"/>
          <w:bCs/>
          <w:kern w:val="0"/>
          <w:sz w:val="32"/>
          <w:szCs w:val="32"/>
        </w:rPr>
      </w:pPr>
      <w:bookmarkStart w:id="50" w:name="_Toc5453"/>
      <w:bookmarkStart w:id="51" w:name="_Toc7643"/>
      <w:r>
        <w:rPr>
          <w:rFonts w:hint="eastAsia" w:ascii="黑体" w:hAnsi="黑体" w:eastAsia="黑体" w:cs="宋体"/>
          <w:bCs/>
          <w:kern w:val="0"/>
          <w:sz w:val="32"/>
          <w:szCs w:val="32"/>
        </w:rPr>
        <w:t>八、《政府性基金预算财政拨款收入支出决算表》</w:t>
      </w:r>
      <w:bookmarkEnd w:id="50"/>
      <w:bookmarkEnd w:id="51"/>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仿宋简体">
    <w:altName w:val="方正仿宋_GBK"/>
    <w:panose1 w:val="00000000000000000000"/>
    <w:charset w:val="86"/>
    <w:family w:val="auto"/>
    <w:pitch w:val="default"/>
    <w:sig w:usb0="00000000" w:usb1="00000000" w:usb2="0000001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WAAAAZHJzL1BLAQIUABQAAAAIAIdO4kDOqXm5zwAAAAUBAAAPAAAAAAAAAAEAIAAAADgAAABk&#10;cnMvZG93bnJldi54bWxQSwECFAAUAAAACACHTuJAIPnr38ABAABrAwAADgAAAAAAAAABACAAAAA0&#10;AQAAZHJzL2Uyb0RvYy54bWxQSwUGAAAAAAYABgBZAQAAZg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6DF94E"/>
    <w:multiLevelType w:val="singleLevel"/>
    <w:tmpl w:val="636DF94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6"/>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wMzEzMWI1YWI3YTQzNTQwNjZlMzAzMzNiZmZlZWEifQ=="/>
  </w:docVars>
  <w:rsids>
    <w:rsidRoot w:val="007323E6"/>
    <w:rsid w:val="000C3D38"/>
    <w:rsid w:val="00173D17"/>
    <w:rsid w:val="00181E1A"/>
    <w:rsid w:val="001A6773"/>
    <w:rsid w:val="001B276D"/>
    <w:rsid w:val="001F1E3A"/>
    <w:rsid w:val="00201747"/>
    <w:rsid w:val="00202097"/>
    <w:rsid w:val="00213C59"/>
    <w:rsid w:val="002228F0"/>
    <w:rsid w:val="002253D1"/>
    <w:rsid w:val="0031716F"/>
    <w:rsid w:val="003210CE"/>
    <w:rsid w:val="00324A7B"/>
    <w:rsid w:val="00383B40"/>
    <w:rsid w:val="003A1E57"/>
    <w:rsid w:val="00546665"/>
    <w:rsid w:val="0059679B"/>
    <w:rsid w:val="005A2979"/>
    <w:rsid w:val="00616739"/>
    <w:rsid w:val="007323E6"/>
    <w:rsid w:val="007370A6"/>
    <w:rsid w:val="007C6C52"/>
    <w:rsid w:val="007D6DD1"/>
    <w:rsid w:val="008773A7"/>
    <w:rsid w:val="00896210"/>
    <w:rsid w:val="00896790"/>
    <w:rsid w:val="008D6223"/>
    <w:rsid w:val="009721F4"/>
    <w:rsid w:val="00A556B5"/>
    <w:rsid w:val="00A7479B"/>
    <w:rsid w:val="00AB69C1"/>
    <w:rsid w:val="00BF42C6"/>
    <w:rsid w:val="00C51EB6"/>
    <w:rsid w:val="00CB69C1"/>
    <w:rsid w:val="00E6351E"/>
    <w:rsid w:val="00E71832"/>
    <w:rsid w:val="00E82E39"/>
    <w:rsid w:val="00EF0985"/>
    <w:rsid w:val="00F0310A"/>
    <w:rsid w:val="00FA17F1"/>
    <w:rsid w:val="00FA7C9B"/>
    <w:rsid w:val="02F73D26"/>
    <w:rsid w:val="034D4FEF"/>
    <w:rsid w:val="039F47CE"/>
    <w:rsid w:val="03E05CE8"/>
    <w:rsid w:val="03F973EE"/>
    <w:rsid w:val="043E5B56"/>
    <w:rsid w:val="053F5AE6"/>
    <w:rsid w:val="057C0B0F"/>
    <w:rsid w:val="05EF4B48"/>
    <w:rsid w:val="05F76ECA"/>
    <w:rsid w:val="06792773"/>
    <w:rsid w:val="069A553D"/>
    <w:rsid w:val="08422688"/>
    <w:rsid w:val="0879188F"/>
    <w:rsid w:val="08A0354D"/>
    <w:rsid w:val="096466E3"/>
    <w:rsid w:val="0968304D"/>
    <w:rsid w:val="0A7B4867"/>
    <w:rsid w:val="0B8C3ECC"/>
    <w:rsid w:val="0B9C639D"/>
    <w:rsid w:val="0BD33FFC"/>
    <w:rsid w:val="0C1C4780"/>
    <w:rsid w:val="0C3613A3"/>
    <w:rsid w:val="0C7227A7"/>
    <w:rsid w:val="0CA52EE8"/>
    <w:rsid w:val="0CBD6988"/>
    <w:rsid w:val="0E640559"/>
    <w:rsid w:val="0F89358A"/>
    <w:rsid w:val="0F8C6D51"/>
    <w:rsid w:val="112E58D0"/>
    <w:rsid w:val="11731CAC"/>
    <w:rsid w:val="11C0733B"/>
    <w:rsid w:val="120E0809"/>
    <w:rsid w:val="12F7068C"/>
    <w:rsid w:val="14B932DA"/>
    <w:rsid w:val="163563C0"/>
    <w:rsid w:val="16D50C50"/>
    <w:rsid w:val="16E120E1"/>
    <w:rsid w:val="17385A05"/>
    <w:rsid w:val="176747F9"/>
    <w:rsid w:val="17954A6E"/>
    <w:rsid w:val="184510FD"/>
    <w:rsid w:val="18C1177B"/>
    <w:rsid w:val="190648B0"/>
    <w:rsid w:val="19071D6C"/>
    <w:rsid w:val="19D26CD4"/>
    <w:rsid w:val="1AD807E5"/>
    <w:rsid w:val="1B39345B"/>
    <w:rsid w:val="1C317E4F"/>
    <w:rsid w:val="1C472464"/>
    <w:rsid w:val="1DAF458D"/>
    <w:rsid w:val="1E086ACE"/>
    <w:rsid w:val="1E97358B"/>
    <w:rsid w:val="1EAA4A5F"/>
    <w:rsid w:val="2064678E"/>
    <w:rsid w:val="20DC1AB9"/>
    <w:rsid w:val="20DD6197"/>
    <w:rsid w:val="21063403"/>
    <w:rsid w:val="21A53757"/>
    <w:rsid w:val="2380045B"/>
    <w:rsid w:val="23BC04D2"/>
    <w:rsid w:val="24A32D55"/>
    <w:rsid w:val="25BA2154"/>
    <w:rsid w:val="25C8773F"/>
    <w:rsid w:val="27286E73"/>
    <w:rsid w:val="27CF2642"/>
    <w:rsid w:val="27E777F5"/>
    <w:rsid w:val="27EA1D4C"/>
    <w:rsid w:val="282459E2"/>
    <w:rsid w:val="28DF2665"/>
    <w:rsid w:val="29072599"/>
    <w:rsid w:val="291029F3"/>
    <w:rsid w:val="2A053397"/>
    <w:rsid w:val="2A145E96"/>
    <w:rsid w:val="2AF5378F"/>
    <w:rsid w:val="2C6F314E"/>
    <w:rsid w:val="2CC206BE"/>
    <w:rsid w:val="2D1136DF"/>
    <w:rsid w:val="2D20606D"/>
    <w:rsid w:val="2DB93C54"/>
    <w:rsid w:val="2E891204"/>
    <w:rsid w:val="2F3F0A28"/>
    <w:rsid w:val="2FD0187F"/>
    <w:rsid w:val="2FD27414"/>
    <w:rsid w:val="2FFE4BB0"/>
    <w:rsid w:val="314029C9"/>
    <w:rsid w:val="31C63837"/>
    <w:rsid w:val="343642F2"/>
    <w:rsid w:val="343F3010"/>
    <w:rsid w:val="34C13589"/>
    <w:rsid w:val="35E00D72"/>
    <w:rsid w:val="36C549FD"/>
    <w:rsid w:val="379F5F53"/>
    <w:rsid w:val="37A755DD"/>
    <w:rsid w:val="37F94FA0"/>
    <w:rsid w:val="38115B1F"/>
    <w:rsid w:val="387D6B9E"/>
    <w:rsid w:val="38D45016"/>
    <w:rsid w:val="38D90432"/>
    <w:rsid w:val="3914510A"/>
    <w:rsid w:val="398D3668"/>
    <w:rsid w:val="3A893816"/>
    <w:rsid w:val="3A893B6D"/>
    <w:rsid w:val="3AD1763A"/>
    <w:rsid w:val="3B6716E3"/>
    <w:rsid w:val="3B6C6B2D"/>
    <w:rsid w:val="3C242659"/>
    <w:rsid w:val="3CA72BE8"/>
    <w:rsid w:val="3CF37F8C"/>
    <w:rsid w:val="3D137554"/>
    <w:rsid w:val="3D5275AC"/>
    <w:rsid w:val="3DCC2473"/>
    <w:rsid w:val="3EA7725F"/>
    <w:rsid w:val="3EBF1A11"/>
    <w:rsid w:val="3F183429"/>
    <w:rsid w:val="3FB77A1D"/>
    <w:rsid w:val="3FED7F8A"/>
    <w:rsid w:val="40834692"/>
    <w:rsid w:val="414B3C0F"/>
    <w:rsid w:val="41900018"/>
    <w:rsid w:val="41CE128F"/>
    <w:rsid w:val="41DA6F12"/>
    <w:rsid w:val="42171FB1"/>
    <w:rsid w:val="434E6957"/>
    <w:rsid w:val="43C15147"/>
    <w:rsid w:val="43E14DD2"/>
    <w:rsid w:val="43F800E9"/>
    <w:rsid w:val="443A7E4B"/>
    <w:rsid w:val="454E7FD2"/>
    <w:rsid w:val="461404F8"/>
    <w:rsid w:val="464B7E04"/>
    <w:rsid w:val="468041AA"/>
    <w:rsid w:val="46901EEE"/>
    <w:rsid w:val="469C74D2"/>
    <w:rsid w:val="47445515"/>
    <w:rsid w:val="48387FB0"/>
    <w:rsid w:val="488727DB"/>
    <w:rsid w:val="493D58B5"/>
    <w:rsid w:val="494A7A04"/>
    <w:rsid w:val="4A2019A5"/>
    <w:rsid w:val="4A241A0B"/>
    <w:rsid w:val="4A7B2875"/>
    <w:rsid w:val="4AAA220A"/>
    <w:rsid w:val="4B4C0111"/>
    <w:rsid w:val="4C200F7A"/>
    <w:rsid w:val="4CEE3180"/>
    <w:rsid w:val="4E0A1DD5"/>
    <w:rsid w:val="4E8C6496"/>
    <w:rsid w:val="4EFD18DE"/>
    <w:rsid w:val="4F144236"/>
    <w:rsid w:val="4F663C87"/>
    <w:rsid w:val="4F9E1FFC"/>
    <w:rsid w:val="50447CC2"/>
    <w:rsid w:val="50895EE7"/>
    <w:rsid w:val="50921B9D"/>
    <w:rsid w:val="50DB5F45"/>
    <w:rsid w:val="51141503"/>
    <w:rsid w:val="52F92565"/>
    <w:rsid w:val="542F73CA"/>
    <w:rsid w:val="5430786D"/>
    <w:rsid w:val="55DA564E"/>
    <w:rsid w:val="5604127D"/>
    <w:rsid w:val="56510474"/>
    <w:rsid w:val="56861525"/>
    <w:rsid w:val="56BD550C"/>
    <w:rsid w:val="56E07045"/>
    <w:rsid w:val="56FF28AF"/>
    <w:rsid w:val="57540E7D"/>
    <w:rsid w:val="577B4878"/>
    <w:rsid w:val="57926973"/>
    <w:rsid w:val="58175352"/>
    <w:rsid w:val="581F2200"/>
    <w:rsid w:val="583059FA"/>
    <w:rsid w:val="584A0929"/>
    <w:rsid w:val="59254A26"/>
    <w:rsid w:val="59326325"/>
    <w:rsid w:val="595C505B"/>
    <w:rsid w:val="595E55C3"/>
    <w:rsid w:val="5A60780B"/>
    <w:rsid w:val="5AB34579"/>
    <w:rsid w:val="5AFC6609"/>
    <w:rsid w:val="5C0D1F49"/>
    <w:rsid w:val="5CBB0CE2"/>
    <w:rsid w:val="5CF306BC"/>
    <w:rsid w:val="5D833043"/>
    <w:rsid w:val="5DDB1CFD"/>
    <w:rsid w:val="5EAE4564"/>
    <w:rsid w:val="5ED44800"/>
    <w:rsid w:val="5F350BDE"/>
    <w:rsid w:val="5FA17648"/>
    <w:rsid w:val="5FE705CB"/>
    <w:rsid w:val="603D5080"/>
    <w:rsid w:val="60D0261B"/>
    <w:rsid w:val="61947DCA"/>
    <w:rsid w:val="61A46A97"/>
    <w:rsid w:val="61D1382F"/>
    <w:rsid w:val="61F114A2"/>
    <w:rsid w:val="625D7D1A"/>
    <w:rsid w:val="62DD7D21"/>
    <w:rsid w:val="63A5560B"/>
    <w:rsid w:val="63E9091F"/>
    <w:rsid w:val="64D82665"/>
    <w:rsid w:val="651E5741"/>
    <w:rsid w:val="657E02CF"/>
    <w:rsid w:val="658A4877"/>
    <w:rsid w:val="65A00902"/>
    <w:rsid w:val="65D97752"/>
    <w:rsid w:val="66085536"/>
    <w:rsid w:val="66105BF7"/>
    <w:rsid w:val="6628010D"/>
    <w:rsid w:val="669B4528"/>
    <w:rsid w:val="67134CEF"/>
    <w:rsid w:val="67521A59"/>
    <w:rsid w:val="67C304AB"/>
    <w:rsid w:val="68DB0208"/>
    <w:rsid w:val="691B3D98"/>
    <w:rsid w:val="69846A0E"/>
    <w:rsid w:val="69AD798C"/>
    <w:rsid w:val="69D005C0"/>
    <w:rsid w:val="6B68175F"/>
    <w:rsid w:val="6BFD799F"/>
    <w:rsid w:val="6C4A2E5A"/>
    <w:rsid w:val="6CEF0725"/>
    <w:rsid w:val="6D4B2604"/>
    <w:rsid w:val="6D8030E4"/>
    <w:rsid w:val="6E0F7A08"/>
    <w:rsid w:val="6F7C1D2E"/>
    <w:rsid w:val="6F8E0407"/>
    <w:rsid w:val="6FDD069F"/>
    <w:rsid w:val="7111480F"/>
    <w:rsid w:val="71473612"/>
    <w:rsid w:val="71504F32"/>
    <w:rsid w:val="718F7F65"/>
    <w:rsid w:val="727B234E"/>
    <w:rsid w:val="72D068C7"/>
    <w:rsid w:val="72E42ED8"/>
    <w:rsid w:val="735F4CB9"/>
    <w:rsid w:val="73674C62"/>
    <w:rsid w:val="73845865"/>
    <w:rsid w:val="73FB6630"/>
    <w:rsid w:val="748D790E"/>
    <w:rsid w:val="749820CC"/>
    <w:rsid w:val="74CE04EC"/>
    <w:rsid w:val="74E76DCD"/>
    <w:rsid w:val="7539DFB2"/>
    <w:rsid w:val="7616619B"/>
    <w:rsid w:val="76660D7C"/>
    <w:rsid w:val="766C5968"/>
    <w:rsid w:val="76BE0C8F"/>
    <w:rsid w:val="77A262E1"/>
    <w:rsid w:val="77B13C33"/>
    <w:rsid w:val="77ED6F44"/>
    <w:rsid w:val="77F45548"/>
    <w:rsid w:val="784E7CA6"/>
    <w:rsid w:val="795A0A34"/>
    <w:rsid w:val="79F00650"/>
    <w:rsid w:val="7AE952D2"/>
    <w:rsid w:val="7C976D69"/>
    <w:rsid w:val="7CD752DA"/>
    <w:rsid w:val="7CDE40AB"/>
    <w:rsid w:val="7D1548B5"/>
    <w:rsid w:val="7E207949"/>
    <w:rsid w:val="7E670C75"/>
    <w:rsid w:val="7EE24272"/>
    <w:rsid w:val="7EF76333"/>
    <w:rsid w:val="7F487C04"/>
    <w:rsid w:val="7FB45F21"/>
    <w:rsid w:val="7FDF08DD"/>
    <w:rsid w:val="B3FEBCAA"/>
    <w:rsid w:val="C917EEBF"/>
    <w:rsid w:val="DA9F3FE9"/>
    <w:rsid w:val="DF6F1002"/>
    <w:rsid w:val="DFB9B072"/>
    <w:rsid w:val="EBB7647F"/>
    <w:rsid w:val="EF7F9725"/>
    <w:rsid w:val="F7FD73FB"/>
    <w:rsid w:val="FEF676DF"/>
    <w:rsid w:val="FFF75EF2"/>
    <w:rsid w:val="FFFFE7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paragraph" w:customStyle="1" w:styleId="15">
    <w:name w:val="Char Char"/>
    <w:basedOn w:val="1"/>
    <w:qFormat/>
    <w:uiPriority w:val="0"/>
    <w:pPr>
      <w:tabs>
        <w:tab w:val="left" w:pos="840"/>
      </w:tabs>
      <w:ind w:left="840" w:hanging="420"/>
    </w:pPr>
    <w:rPr>
      <w:rFonts w:eastAsia="方正仿宋简体"/>
      <w:sz w:val="3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6081</Words>
  <Characters>6844</Characters>
  <Lines>55</Lines>
  <Paragraphs>15</Paragraphs>
  <TotalTime>15</TotalTime>
  <ScaleCrop>false</ScaleCrop>
  <LinksUpToDate>false</LinksUpToDate>
  <CharactersWithSpaces>6861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2014-11-01T04:08:00Z</dcterms:created>
  <dc:creator>GXR</dc:creator>
  <cp:lastModifiedBy>yjj179</cp:lastModifiedBy>
  <dcterms:modified xsi:type="dcterms:W3CDTF">2024-08-28T10:10:22Z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7F1BA76700A04C6DA077E64EC2EDFE18_13</vt:lpwstr>
  </property>
</Properties>
</file>