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hint="eastAsia" w:ascii="仿宋" w:hAnsi="仿宋" w:eastAsia="仿宋" w:cs="仿宋"/>
          <w:sz w:val="32"/>
          <w:szCs w:val="32"/>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仿宋" w:hAnsi="仿宋" w:eastAsia="仿宋" w:cs="仿宋"/>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新疆维吾尔自治区药品审评查验中心（新疆维吾尔自治区疫苗检查中心）</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 xml:space="preserve"> 2023年度部门决算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公开说明</w:t>
      </w:r>
    </w:p>
    <w:p>
      <w:pPr>
        <w:rPr>
          <w:rFonts w:hint="eastAsia" w:ascii="仿宋" w:hAnsi="仿宋" w:eastAsia="仿宋" w:cs="仿宋"/>
          <w:sz w:val="44"/>
          <w:szCs w:val="44"/>
          <w:highlight w:val="none"/>
        </w:rPr>
      </w:pPr>
      <w:r>
        <w:rPr>
          <w:rFonts w:hint="eastAsia" w:ascii="仿宋" w:hAnsi="仿宋" w:eastAsia="仿宋" w:cs="仿宋"/>
          <w:sz w:val="44"/>
          <w:szCs w:val="44"/>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6"/>
          <w:szCs w:val="36"/>
          <w:highlight w:val="none"/>
        </w:rPr>
      </w:pPr>
      <w:r>
        <w:rPr>
          <w:rFonts w:hint="eastAsia" w:ascii="仿宋_GB2312" w:hAnsi="仿宋_GB2312" w:eastAsia="仿宋_GB2312" w:cs="仿宋_GB2312"/>
          <w:b/>
          <w:bCs w:val="0"/>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十二、其他需说明的事项</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rPr>
        <w:t>《政府性基金预算财政拨款收入支出决算表》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end"/>
      </w:r>
    </w:p>
    <w:p>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s="黑体"/>
          <w:sz w:val="32"/>
          <w:szCs w:val="32"/>
          <w:highlight w:val="none"/>
        </w:rPr>
      </w:pPr>
      <w:bookmarkStart w:id="0" w:name="_Toc24028"/>
      <w:bookmarkStart w:id="1" w:name="_Toc32314"/>
      <w:r>
        <w:rPr>
          <w:rFonts w:hint="eastAsia" w:ascii="黑体" w:hAnsi="黑体" w:eastAsia="黑体" w:cs="黑体"/>
          <w:sz w:val="32"/>
          <w:szCs w:val="32"/>
          <w:highlight w:val="none"/>
        </w:rPr>
        <w:t xml:space="preserve">第一部分 </w:t>
      </w:r>
      <w:r>
        <w:rPr>
          <w:rFonts w:hint="eastAsia" w:ascii="黑体" w:hAnsi="黑体" w:eastAsia="黑体" w:cs="黑体"/>
          <w:sz w:val="32"/>
          <w:szCs w:val="32"/>
          <w:highlight w:val="none"/>
          <w:lang w:eastAsia="zh-CN"/>
        </w:rPr>
        <w:t>单位</w:t>
      </w:r>
      <w:r>
        <w:rPr>
          <w:rFonts w:hint="eastAsia" w:ascii="黑体" w:hAnsi="黑体" w:eastAsia="黑体" w:cs="黑体"/>
          <w:sz w:val="32"/>
          <w:szCs w:val="32"/>
          <w:highlight w:val="none"/>
        </w:rPr>
        <w:t>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黑体"/>
          <w:bCs/>
          <w:kern w:val="0"/>
          <w:sz w:val="32"/>
          <w:szCs w:val="32"/>
          <w:highlight w:val="none"/>
        </w:rPr>
      </w:pPr>
      <w:bookmarkStart w:id="2" w:name="_Toc30738"/>
      <w:bookmarkStart w:id="3" w:name="_Toc30567"/>
      <w:r>
        <w:rPr>
          <w:rFonts w:hint="eastAsia" w:ascii="黑体" w:hAnsi="黑体" w:eastAsia="黑体" w:cs="黑体"/>
          <w:bCs/>
          <w:kern w:val="0"/>
          <w:sz w:val="32"/>
          <w:szCs w:val="32"/>
          <w:highlight w:val="none"/>
        </w:rPr>
        <w:t>一、主要职能</w:t>
      </w:r>
      <w:bookmarkEnd w:id="2"/>
      <w:bookmarkEnd w:id="3"/>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en-US" w:eastAsia="zh-CN" w:bidi="ar-SA"/>
        </w:rPr>
      </w:pPr>
      <w:bookmarkStart w:id="4" w:name="_Toc31238"/>
      <w:bookmarkStart w:id="5" w:name="_Toc2151"/>
      <w:r>
        <w:rPr>
          <w:rFonts w:hint="eastAsia" w:ascii="仿宋_GB2312" w:hAnsi="仿宋_GB2312" w:eastAsia="仿宋_GB2312" w:cs="仿宋_GB2312"/>
          <w:sz w:val="32"/>
          <w:szCs w:val="32"/>
        </w:rPr>
        <w:t>（</w:t>
      </w:r>
      <w:r>
        <w:rPr>
          <w:rFonts w:hint="eastAsia" w:ascii="Times New Roman" w:hAnsi="Times New Roman" w:eastAsia="仿宋_GB2312" w:cs="Times New Roman"/>
          <w:color w:val="auto"/>
          <w:kern w:val="2"/>
          <w:sz w:val="32"/>
          <w:szCs w:val="32"/>
          <w:highlight w:val="none"/>
          <w:lang w:val="en-US" w:eastAsia="zh-CN" w:bidi="ar-SA"/>
        </w:rPr>
        <w:t>一）负责药品（含直接接触药品的包装材料和容器、中药保护品种、医疗机构制剂）、二类医疗器械注册的技术审查和现场核查工作。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（二）负责对自治区药品监督管理局审批的药品（含医疗机构制剂）和二类医疗器械注册事项的技术审评工作。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（三）负责药品生产（含医疗机构制剂配制）、经营（批发企业、零售连锁企业总部）许可及质量管理体系的技术审查和现场检查工作。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（四）负责自治区药品监督管理局受理审批的医疗器械生产许可的技术审查和现场检查工作。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（五）负责自治区药品监督管理局受理审批的化妆品生产许可的技术审查和现场检查工作。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（六）负责自治区药品监督管理局受理审批的放射性药品使用许可的技术审查和现场检查工作。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（七）负责自治区药品监督管理局受理审批的互联网药品信息服务许可的技术审查和现场检查工作。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（八）负责自治区药品监督管理局受理审批的委托生产药品、委托配制医疗机构制剂的技术审查和现场检查工作。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（九）负责生产企业关键生产设备变更备案的技术审查和现场检查工作。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（十）负责国产非特殊用途化妆品备案的初步审查工作。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 xml:space="preserve"> （十一）负责全区药品生产经营质量管理体系检查员、医疗器械检查员、化妆品检查员、注册核查员和审评专家申报资格的初审、使用及其被抽调检查、核查、评审期间的管理和考评工作；配合做好培训、考核以及检查员库、专家库和相关档案的管理工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（十二）配合自治区药品监督管理局党组做好党建、党风廉政和精神文明建设等工作。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（十三）配合自治区药品监督管理局做好社会稳定、综合治理、平安建设、安全生产和保密、信访等工作。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（十四）承办自治区药品监督管理局交办的其他事项。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黑体"/>
          <w:bCs/>
          <w:kern w:val="0"/>
          <w:sz w:val="32"/>
          <w:szCs w:val="32"/>
          <w:highlight w:val="none"/>
          <w:lang w:val="en-US" w:eastAsia="zh-CN"/>
        </w:rPr>
      </w:pPr>
      <w:r>
        <w:rPr>
          <w:rFonts w:hint="eastAsia" w:ascii="黑体" w:hAnsi="黑体" w:eastAsia="黑体" w:cs="黑体"/>
          <w:bCs/>
          <w:kern w:val="0"/>
          <w:sz w:val="32"/>
          <w:szCs w:val="32"/>
          <w:highlight w:val="none"/>
          <w:lang w:val="en-US" w:eastAsia="zh-CN"/>
        </w:rPr>
        <w:t>二、机构设置及</w:t>
      </w:r>
      <w:bookmarkEnd w:id="4"/>
      <w:r>
        <w:rPr>
          <w:rFonts w:hint="eastAsia" w:ascii="黑体" w:hAnsi="黑体" w:eastAsia="黑体" w:cs="黑体"/>
          <w:bCs/>
          <w:kern w:val="0"/>
          <w:sz w:val="32"/>
          <w:szCs w:val="32"/>
          <w:highlight w:val="none"/>
          <w:lang w:val="en-US" w:eastAsia="zh-CN"/>
        </w:rPr>
        <w:t>人员情况</w:t>
      </w:r>
      <w:bookmarkEnd w:id="5"/>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新疆维吾尔自治区药品审评查验中心（新疆维吾尔自治区疫苗检查中心）</w:t>
      </w:r>
      <w:r>
        <w:rPr>
          <w:rFonts w:hint="eastAsia" w:ascii="仿宋_GB2312" w:hAnsi="仿宋_GB2312" w:eastAsia="仿宋_GB2312" w:cs="仿宋_GB2312"/>
          <w:color w:val="auto"/>
          <w:kern w:val="2"/>
          <w:sz w:val="32"/>
          <w:szCs w:val="32"/>
          <w:highlight w:val="none"/>
          <w:lang w:val="zh-CN" w:eastAsia="zh-CN" w:bidi="ar-SA"/>
        </w:rPr>
        <w:t>2023年度，实有人数28人，其中：在职人员25人，离休人员0人，退休人员3人。</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仿宋_GB2312" w:eastAsia="仿宋_GB2312" w:cs="仿宋_GB2312"/>
          <w:color w:val="auto"/>
          <w:kern w:val="2"/>
          <w:sz w:val="32"/>
          <w:szCs w:val="32"/>
          <w:highlight w:val="none"/>
          <w:lang w:val="en-US" w:eastAsia="zh-CN" w:bidi="ar-SA"/>
        </w:rPr>
        <w:t>新疆维吾尔自治区药品审评查验中心（新疆维吾尔自治区疫苗检查中心）</w:t>
      </w:r>
      <w:r>
        <w:rPr>
          <w:rFonts w:hint="eastAsia" w:ascii="仿宋_GB2312" w:hAnsi="仿宋_GB2312" w:eastAsia="仿宋_GB2312" w:cs="仿宋_GB2312"/>
          <w:color w:val="auto"/>
          <w:kern w:val="2"/>
          <w:sz w:val="32"/>
          <w:szCs w:val="32"/>
          <w:highlight w:val="none"/>
          <w:lang w:val="zh-CN" w:eastAsia="zh-CN" w:bidi="ar-SA"/>
        </w:rPr>
        <w:t>单位无下属预算单位，下设</w:t>
      </w:r>
      <w:r>
        <w:rPr>
          <w:rFonts w:hint="eastAsia" w:ascii="仿宋_GB2312" w:hAnsi="仿宋_GB2312" w:eastAsia="仿宋_GB2312" w:cs="仿宋_GB2312"/>
          <w:color w:val="auto"/>
          <w:kern w:val="2"/>
          <w:sz w:val="32"/>
          <w:szCs w:val="32"/>
          <w:highlight w:val="none"/>
          <w:lang w:val="en-US" w:eastAsia="zh-CN" w:bidi="ar-SA"/>
        </w:rPr>
        <w:t>9</w:t>
      </w:r>
      <w:r>
        <w:rPr>
          <w:rFonts w:hint="eastAsia" w:ascii="仿宋_GB2312" w:hAnsi="仿宋_GB2312" w:eastAsia="仿宋_GB2312" w:cs="仿宋_GB2312"/>
          <w:color w:val="auto"/>
          <w:kern w:val="2"/>
          <w:sz w:val="32"/>
          <w:szCs w:val="32"/>
          <w:highlight w:val="none"/>
          <w:lang w:val="zh-CN" w:eastAsia="zh-CN" w:bidi="ar-SA"/>
        </w:rPr>
        <w:t>个处室，分别是</w:t>
      </w:r>
      <w:r>
        <w:rPr>
          <w:rFonts w:hint="eastAsia" w:ascii="仿宋_GB2312" w:hAnsi="仿宋_GB2312" w:eastAsia="仿宋_GB2312" w:cs="仿宋_GB2312"/>
          <w:color w:val="auto"/>
          <w:kern w:val="2"/>
          <w:sz w:val="32"/>
          <w:szCs w:val="32"/>
          <w:highlight w:val="none"/>
          <w:lang w:val="en-US" w:eastAsia="zh-CN" w:bidi="ar-SA"/>
        </w:rPr>
        <w:t>：1、综合办公室 2、业务管理部 3、药品审评部 4、医疗器械审查部 5、化妆品审查部 6、药品生产检查部 7、药品经营检查部；8、奎屯分中心9、喀什分中心。</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s="黑体"/>
          <w:sz w:val="32"/>
          <w:szCs w:val="32"/>
          <w:highlight w:val="none"/>
        </w:rPr>
      </w:pPr>
      <w:bookmarkStart w:id="6" w:name="_Toc3092"/>
      <w:bookmarkStart w:id="7" w:name="_Toc29374"/>
      <w:r>
        <w:rPr>
          <w:rFonts w:hint="eastAsia" w:ascii="黑体" w:hAnsi="黑体" w:eastAsia="黑体" w:cs="黑体"/>
          <w:sz w:val="32"/>
          <w:szCs w:val="32"/>
          <w:highlight w:val="none"/>
        </w:rPr>
        <w:t>第</w:t>
      </w:r>
      <w:r>
        <w:rPr>
          <w:rFonts w:hint="eastAsia" w:ascii="黑体" w:hAnsi="黑体" w:eastAsia="黑体" w:cs="黑体"/>
          <w:sz w:val="32"/>
          <w:szCs w:val="32"/>
          <w:highlight w:val="none"/>
          <w:lang w:val="en-US" w:eastAsia="zh-CN"/>
        </w:rPr>
        <w:t>二</w:t>
      </w:r>
      <w:r>
        <w:rPr>
          <w:rFonts w:hint="eastAsia" w:ascii="黑体" w:hAnsi="黑体" w:eastAsia="黑体" w:cs="黑体"/>
          <w:sz w:val="32"/>
          <w:szCs w:val="32"/>
          <w:highlight w:val="none"/>
        </w:rPr>
        <w:t>部分 部门决算情况说明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黑体"/>
          <w:bCs/>
          <w:kern w:val="0"/>
          <w:sz w:val="32"/>
          <w:szCs w:val="32"/>
          <w:highlight w:val="none"/>
        </w:rPr>
      </w:pPr>
      <w:bookmarkStart w:id="8" w:name="_Toc12566"/>
      <w:bookmarkStart w:id="9" w:name="_Toc25314"/>
      <w:r>
        <w:rPr>
          <w:rFonts w:hint="eastAsia" w:ascii="黑体" w:hAnsi="黑体" w:eastAsia="黑体" w:cs="黑体"/>
          <w:bCs/>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zh-CN" w:eastAsia="zh-CN" w:bidi="ar-SA"/>
        </w:rPr>
        <w:t>2023年度</w:t>
      </w:r>
      <w:r>
        <w:rPr>
          <w:rFonts w:hint="eastAsia" w:ascii="仿宋_GB2312" w:hAnsi="仿宋_GB2312" w:eastAsia="仿宋_GB2312" w:cs="仿宋_GB2312"/>
          <w:color w:val="auto"/>
          <w:kern w:val="2"/>
          <w:sz w:val="32"/>
          <w:szCs w:val="32"/>
          <w:highlight w:val="none"/>
          <w:lang w:val="en-US" w:eastAsia="zh-CN" w:bidi="ar-SA"/>
        </w:rPr>
        <w:t>收入总计</w:t>
      </w:r>
      <w:r>
        <w:rPr>
          <w:rFonts w:hint="eastAsia" w:ascii="仿宋_GB2312" w:hAnsi="仿宋_GB2312" w:eastAsia="仿宋_GB2312" w:cs="仿宋_GB2312"/>
          <w:color w:val="auto"/>
          <w:kern w:val="2"/>
          <w:sz w:val="32"/>
          <w:szCs w:val="32"/>
          <w:highlight w:val="none"/>
          <w:lang w:val="zh-CN" w:eastAsia="zh-CN" w:bidi="ar-SA"/>
        </w:rPr>
        <w:t>763.49万元，</w:t>
      </w:r>
      <w:r>
        <w:rPr>
          <w:rFonts w:hint="eastAsia" w:ascii="仿宋_GB2312" w:hAnsi="仿宋_GB2312" w:eastAsia="仿宋_GB2312" w:cs="仿宋_GB2312"/>
          <w:color w:val="auto"/>
          <w:kern w:val="2"/>
          <w:sz w:val="32"/>
          <w:szCs w:val="32"/>
          <w:highlight w:val="none"/>
          <w:lang w:val="en-US" w:eastAsia="zh-CN" w:bidi="ar-SA"/>
        </w:rPr>
        <w:t>其中：本年收入合计</w:t>
      </w:r>
      <w:r>
        <w:rPr>
          <w:rFonts w:hint="eastAsia" w:ascii="仿宋_GB2312" w:hAnsi="仿宋_GB2312" w:eastAsia="仿宋_GB2312" w:cs="仿宋_GB2312"/>
          <w:color w:val="auto"/>
          <w:kern w:val="2"/>
          <w:sz w:val="32"/>
          <w:szCs w:val="32"/>
          <w:highlight w:val="none"/>
          <w:lang w:val="zh-CN" w:eastAsia="zh-CN" w:bidi="ar-SA"/>
        </w:rPr>
        <w:t>763.49万元，使用非财政拨款结余0.00万元，年初结转和结余0.00万元；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2023</w:t>
      </w:r>
      <w:r>
        <w:rPr>
          <w:rFonts w:hint="eastAsia" w:ascii="仿宋_GB2312" w:hAnsi="仿宋_GB2312" w:eastAsia="仿宋_GB2312" w:cs="仿宋_GB2312"/>
          <w:color w:val="auto"/>
          <w:kern w:val="2"/>
          <w:sz w:val="32"/>
          <w:szCs w:val="32"/>
          <w:highlight w:val="none"/>
          <w:lang w:val="zh-CN" w:eastAsia="zh-CN" w:bidi="ar-SA"/>
        </w:rPr>
        <w:t>年</w:t>
      </w:r>
      <w:r>
        <w:rPr>
          <w:rFonts w:hint="eastAsia" w:ascii="仿宋_GB2312" w:hAnsi="仿宋_GB2312" w:eastAsia="仿宋_GB2312" w:cs="仿宋_GB2312"/>
          <w:color w:val="auto"/>
          <w:kern w:val="2"/>
          <w:sz w:val="32"/>
          <w:szCs w:val="32"/>
          <w:highlight w:val="none"/>
          <w:lang w:val="en-US" w:eastAsia="zh-CN" w:bidi="ar-SA"/>
        </w:rPr>
        <w:t>度</w:t>
      </w:r>
      <w:r>
        <w:rPr>
          <w:rFonts w:hint="eastAsia" w:ascii="仿宋_GB2312" w:hAnsi="仿宋_GB2312" w:eastAsia="仿宋_GB2312" w:cs="仿宋_GB2312"/>
          <w:color w:val="auto"/>
          <w:kern w:val="2"/>
          <w:sz w:val="32"/>
          <w:szCs w:val="32"/>
          <w:highlight w:val="none"/>
          <w:lang w:val="zh-CN" w:eastAsia="zh-CN" w:bidi="ar-SA"/>
        </w:rPr>
        <w:t>支出</w:t>
      </w:r>
      <w:r>
        <w:rPr>
          <w:rFonts w:hint="eastAsia" w:ascii="仿宋_GB2312" w:hAnsi="仿宋_GB2312" w:eastAsia="仿宋_GB2312" w:cs="仿宋_GB2312"/>
          <w:color w:val="auto"/>
          <w:kern w:val="2"/>
          <w:sz w:val="32"/>
          <w:szCs w:val="32"/>
          <w:highlight w:val="none"/>
          <w:lang w:val="en-US" w:eastAsia="zh-CN" w:bidi="ar-SA"/>
        </w:rPr>
        <w:t>总计</w:t>
      </w:r>
      <w:r>
        <w:rPr>
          <w:rFonts w:hint="eastAsia" w:ascii="仿宋_GB2312" w:hAnsi="仿宋_GB2312" w:eastAsia="仿宋_GB2312" w:cs="仿宋_GB2312"/>
          <w:color w:val="auto"/>
          <w:kern w:val="2"/>
          <w:sz w:val="32"/>
          <w:szCs w:val="32"/>
          <w:highlight w:val="none"/>
          <w:lang w:val="zh-CN" w:eastAsia="zh-CN" w:bidi="ar-SA"/>
        </w:rPr>
        <w:t>763.49万元，</w:t>
      </w:r>
      <w:r>
        <w:rPr>
          <w:rFonts w:hint="eastAsia" w:ascii="仿宋_GB2312" w:hAnsi="仿宋_GB2312" w:eastAsia="仿宋_GB2312" w:cs="仿宋_GB2312"/>
          <w:color w:val="auto"/>
          <w:kern w:val="2"/>
          <w:sz w:val="32"/>
          <w:szCs w:val="32"/>
          <w:highlight w:val="none"/>
          <w:lang w:val="en-US" w:eastAsia="zh-CN" w:bidi="ar-SA"/>
        </w:rPr>
        <w:t>其中：本年支出合计</w:t>
      </w:r>
      <w:r>
        <w:rPr>
          <w:rFonts w:hint="eastAsia" w:ascii="仿宋_GB2312" w:hAnsi="仿宋_GB2312" w:eastAsia="仿宋_GB2312" w:cs="仿宋_GB2312"/>
          <w:color w:val="auto"/>
          <w:kern w:val="2"/>
          <w:sz w:val="32"/>
          <w:szCs w:val="32"/>
          <w:highlight w:val="none"/>
          <w:lang w:val="zh-CN" w:eastAsia="zh-CN" w:bidi="ar-SA"/>
        </w:rPr>
        <w:t>760.33万元，</w:t>
      </w:r>
      <w:r>
        <w:rPr>
          <w:rFonts w:hint="eastAsia" w:ascii="仿宋_GB2312" w:hAnsi="仿宋_GB2312" w:eastAsia="仿宋_GB2312" w:cs="仿宋_GB2312"/>
          <w:color w:val="auto"/>
          <w:kern w:val="2"/>
          <w:sz w:val="32"/>
          <w:szCs w:val="32"/>
          <w:highlight w:val="none"/>
          <w:lang w:val="en-US" w:eastAsia="zh-CN" w:bidi="ar-SA"/>
        </w:rPr>
        <w:t>结余分配</w:t>
      </w:r>
      <w:r>
        <w:rPr>
          <w:rFonts w:hint="eastAsia" w:ascii="仿宋_GB2312" w:hAnsi="仿宋_GB2312" w:eastAsia="仿宋_GB2312" w:cs="仿宋_GB2312"/>
          <w:color w:val="auto"/>
          <w:kern w:val="2"/>
          <w:sz w:val="32"/>
          <w:szCs w:val="32"/>
          <w:highlight w:val="none"/>
          <w:lang w:val="zh-CN" w:eastAsia="zh-CN" w:bidi="ar-SA"/>
        </w:rPr>
        <w:t>3.16万元，年末结转和结余0.00万元。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收入支出总体与上年相比</w:t>
      </w:r>
      <w:r>
        <w:rPr>
          <w:rFonts w:hint="eastAsia" w:ascii="仿宋_GB2312" w:hAnsi="仿宋_GB2312" w:eastAsia="仿宋_GB2312" w:cs="仿宋_GB2312"/>
          <w:color w:val="auto"/>
          <w:kern w:val="2"/>
          <w:sz w:val="32"/>
          <w:szCs w:val="32"/>
          <w:highlight w:val="none"/>
          <w:lang w:val="zh-CN" w:eastAsia="zh-CN" w:bidi="ar-SA"/>
        </w:rPr>
        <w:t>，增加165.82万元，增长27.75%，主要原因是：202</w:t>
      </w:r>
      <w:r>
        <w:rPr>
          <w:rFonts w:hint="eastAsia" w:ascii="仿宋_GB2312" w:hAnsi="仿宋_GB2312" w:eastAsia="仿宋_GB2312" w:cs="仿宋_GB2312"/>
          <w:color w:val="auto"/>
          <w:kern w:val="2"/>
          <w:sz w:val="32"/>
          <w:szCs w:val="32"/>
          <w:highlight w:val="none"/>
          <w:lang w:val="en-US" w:eastAsia="zh-CN" w:bidi="ar-SA"/>
        </w:rPr>
        <w:t>3</w:t>
      </w:r>
      <w:r>
        <w:rPr>
          <w:rFonts w:hint="eastAsia" w:ascii="仿宋_GB2312" w:hAnsi="仿宋_GB2312" w:eastAsia="仿宋_GB2312" w:cs="仿宋_GB2312"/>
          <w:color w:val="auto"/>
          <w:kern w:val="2"/>
          <w:sz w:val="32"/>
          <w:szCs w:val="32"/>
          <w:highlight w:val="none"/>
          <w:lang w:val="zh-CN" w:eastAsia="zh-CN" w:bidi="ar-SA"/>
        </w:rPr>
        <w:t>年人员经费增长导致，审评查验中心作为年轻单位，积极筹备单位成员的办公设备，保障新入职人员以及老员工高效开展工作；基本支出收入</w:t>
      </w:r>
      <w:r>
        <w:rPr>
          <w:rFonts w:hint="eastAsia" w:ascii="仿宋_GB2312" w:hAnsi="仿宋_GB2312" w:eastAsia="仿宋_GB2312" w:cs="仿宋_GB2312"/>
          <w:color w:val="auto"/>
          <w:kern w:val="2"/>
          <w:sz w:val="32"/>
          <w:szCs w:val="32"/>
          <w:highlight w:val="none"/>
          <w:lang w:val="en-US" w:eastAsia="zh-CN" w:bidi="ar-SA"/>
        </w:rPr>
        <w:t>433.33</w:t>
      </w:r>
      <w:r>
        <w:rPr>
          <w:rFonts w:hint="eastAsia" w:ascii="仿宋_GB2312" w:hAnsi="仿宋_GB2312" w:eastAsia="仿宋_GB2312" w:cs="仿宋_GB2312"/>
          <w:color w:val="auto"/>
          <w:kern w:val="2"/>
          <w:sz w:val="32"/>
          <w:szCs w:val="32"/>
          <w:highlight w:val="none"/>
          <w:lang w:val="zh-CN" w:eastAsia="zh-CN" w:bidi="ar-SA"/>
        </w:rPr>
        <w:t>万元,比202</w:t>
      </w:r>
      <w:r>
        <w:rPr>
          <w:rFonts w:hint="eastAsia" w:ascii="仿宋_GB2312" w:hAnsi="仿宋_GB2312" w:eastAsia="仿宋_GB2312" w:cs="仿宋_GB2312"/>
          <w:color w:val="auto"/>
          <w:kern w:val="2"/>
          <w:sz w:val="32"/>
          <w:szCs w:val="32"/>
          <w:highlight w:val="none"/>
          <w:lang w:val="en-US" w:eastAsia="zh-CN" w:bidi="ar-SA"/>
        </w:rPr>
        <w:t>2</w:t>
      </w:r>
      <w:r>
        <w:rPr>
          <w:rFonts w:hint="eastAsia" w:ascii="仿宋_GB2312" w:hAnsi="仿宋_GB2312" w:eastAsia="仿宋_GB2312" w:cs="仿宋_GB2312"/>
          <w:color w:val="auto"/>
          <w:kern w:val="2"/>
          <w:sz w:val="32"/>
          <w:szCs w:val="32"/>
          <w:highlight w:val="none"/>
          <w:lang w:val="zh-CN" w:eastAsia="zh-CN" w:bidi="ar-SA"/>
        </w:rPr>
        <w:t>年增加</w:t>
      </w:r>
      <w:r>
        <w:rPr>
          <w:rFonts w:hint="eastAsia" w:ascii="仿宋_GB2312" w:hAnsi="仿宋_GB2312" w:eastAsia="仿宋_GB2312" w:cs="仿宋_GB2312"/>
          <w:color w:val="auto"/>
          <w:kern w:val="2"/>
          <w:sz w:val="32"/>
          <w:szCs w:val="32"/>
          <w:highlight w:val="none"/>
          <w:lang w:val="en-US" w:eastAsia="zh-CN" w:bidi="ar-SA"/>
        </w:rPr>
        <w:t>65.99</w:t>
      </w:r>
      <w:r>
        <w:rPr>
          <w:rFonts w:hint="eastAsia" w:ascii="仿宋_GB2312" w:hAnsi="仿宋_GB2312" w:eastAsia="仿宋_GB2312" w:cs="仿宋_GB2312"/>
          <w:color w:val="auto"/>
          <w:kern w:val="2"/>
          <w:sz w:val="32"/>
          <w:szCs w:val="32"/>
          <w:highlight w:val="none"/>
          <w:lang w:val="zh-CN" w:eastAsia="zh-CN" w:bidi="ar-SA"/>
        </w:rPr>
        <w:t>万元，增长</w:t>
      </w:r>
      <w:r>
        <w:rPr>
          <w:rFonts w:hint="eastAsia" w:ascii="仿宋_GB2312" w:hAnsi="仿宋_GB2312" w:eastAsia="仿宋_GB2312" w:cs="仿宋_GB2312"/>
          <w:color w:val="auto"/>
          <w:kern w:val="2"/>
          <w:sz w:val="32"/>
          <w:szCs w:val="32"/>
          <w:highlight w:val="none"/>
          <w:lang w:val="en-US" w:eastAsia="zh-CN" w:bidi="ar-SA"/>
        </w:rPr>
        <w:t>17.96</w:t>
      </w:r>
      <w:r>
        <w:rPr>
          <w:rFonts w:hint="eastAsia" w:ascii="仿宋_GB2312" w:hAnsi="仿宋_GB2312" w:eastAsia="仿宋_GB2312" w:cs="仿宋_GB2312"/>
          <w:color w:val="auto"/>
          <w:kern w:val="2"/>
          <w:sz w:val="32"/>
          <w:szCs w:val="32"/>
          <w:highlight w:val="none"/>
          <w:lang w:val="zh-CN" w:eastAsia="zh-CN" w:bidi="ar-SA"/>
        </w:rPr>
        <w:t>%，主要是人员工资基数的调整以及人员调配导致的增长，202</w:t>
      </w:r>
      <w:r>
        <w:rPr>
          <w:rFonts w:hint="eastAsia" w:ascii="仿宋_GB2312" w:hAnsi="仿宋_GB2312" w:eastAsia="仿宋_GB2312" w:cs="仿宋_GB2312"/>
          <w:color w:val="auto"/>
          <w:kern w:val="2"/>
          <w:sz w:val="32"/>
          <w:szCs w:val="32"/>
          <w:highlight w:val="none"/>
          <w:lang w:val="en-US" w:eastAsia="zh-CN" w:bidi="ar-SA"/>
        </w:rPr>
        <w:t>3</w:t>
      </w:r>
      <w:r>
        <w:rPr>
          <w:rFonts w:hint="eastAsia" w:ascii="仿宋_GB2312" w:hAnsi="仿宋_GB2312" w:eastAsia="仿宋_GB2312" w:cs="仿宋_GB2312"/>
          <w:color w:val="auto"/>
          <w:kern w:val="2"/>
          <w:sz w:val="32"/>
          <w:szCs w:val="32"/>
          <w:highlight w:val="none"/>
          <w:lang w:val="zh-CN" w:eastAsia="zh-CN" w:bidi="ar-SA"/>
        </w:rPr>
        <w:t>年收到专项药品事务收入（功能科目2013812）</w:t>
      </w:r>
      <w:r>
        <w:rPr>
          <w:rFonts w:hint="eastAsia" w:ascii="仿宋_GB2312" w:hAnsi="仿宋_GB2312" w:eastAsia="仿宋_GB2312" w:cs="仿宋_GB2312"/>
          <w:color w:val="auto"/>
          <w:kern w:val="2"/>
          <w:sz w:val="32"/>
          <w:szCs w:val="32"/>
          <w:highlight w:val="none"/>
          <w:lang w:val="en-US" w:eastAsia="zh-CN" w:bidi="ar-SA"/>
        </w:rPr>
        <w:t>325.81</w:t>
      </w:r>
      <w:r>
        <w:rPr>
          <w:rFonts w:hint="eastAsia" w:ascii="仿宋_GB2312" w:hAnsi="仿宋_GB2312" w:eastAsia="仿宋_GB2312" w:cs="仿宋_GB2312"/>
          <w:color w:val="auto"/>
          <w:kern w:val="2"/>
          <w:sz w:val="32"/>
          <w:szCs w:val="32"/>
          <w:highlight w:val="none"/>
          <w:lang w:val="zh-CN" w:eastAsia="zh-CN" w:bidi="ar-SA"/>
        </w:rPr>
        <w:t>万元，与202</w:t>
      </w:r>
      <w:r>
        <w:rPr>
          <w:rFonts w:hint="eastAsia" w:ascii="仿宋_GB2312" w:hAnsi="仿宋_GB2312" w:eastAsia="仿宋_GB2312" w:cs="仿宋_GB2312"/>
          <w:color w:val="auto"/>
          <w:kern w:val="2"/>
          <w:sz w:val="32"/>
          <w:szCs w:val="32"/>
          <w:highlight w:val="none"/>
          <w:lang w:val="en-US" w:eastAsia="zh-CN" w:bidi="ar-SA"/>
        </w:rPr>
        <w:t>2</w:t>
      </w:r>
      <w:r>
        <w:rPr>
          <w:rFonts w:hint="eastAsia" w:ascii="仿宋_GB2312" w:hAnsi="仿宋_GB2312" w:eastAsia="仿宋_GB2312" w:cs="仿宋_GB2312"/>
          <w:color w:val="auto"/>
          <w:kern w:val="2"/>
          <w:sz w:val="32"/>
          <w:szCs w:val="32"/>
          <w:highlight w:val="none"/>
          <w:lang w:val="zh-CN" w:eastAsia="zh-CN" w:bidi="ar-SA"/>
        </w:rPr>
        <w:t>年相比增加了</w:t>
      </w:r>
      <w:r>
        <w:rPr>
          <w:rFonts w:hint="eastAsia" w:ascii="仿宋_GB2312" w:hAnsi="仿宋_GB2312" w:eastAsia="仿宋_GB2312" w:cs="仿宋_GB2312"/>
          <w:color w:val="auto"/>
          <w:kern w:val="2"/>
          <w:sz w:val="32"/>
          <w:szCs w:val="32"/>
          <w:highlight w:val="none"/>
          <w:lang w:val="en-US" w:eastAsia="zh-CN" w:bidi="ar-SA"/>
        </w:rPr>
        <w:t>96.09</w:t>
      </w:r>
      <w:r>
        <w:rPr>
          <w:rFonts w:hint="eastAsia" w:ascii="仿宋_GB2312" w:hAnsi="仿宋_GB2312" w:eastAsia="仿宋_GB2312" w:cs="仿宋_GB2312"/>
          <w:color w:val="auto"/>
          <w:kern w:val="2"/>
          <w:sz w:val="32"/>
          <w:szCs w:val="32"/>
          <w:highlight w:val="none"/>
          <w:lang w:val="zh-CN" w:eastAsia="zh-CN" w:bidi="ar-SA"/>
        </w:rPr>
        <w:t>万元，增加</w:t>
      </w:r>
      <w:r>
        <w:rPr>
          <w:rFonts w:hint="eastAsia" w:ascii="仿宋_GB2312" w:hAnsi="仿宋_GB2312" w:eastAsia="仿宋_GB2312" w:cs="仿宋_GB2312"/>
          <w:color w:val="auto"/>
          <w:kern w:val="2"/>
          <w:sz w:val="32"/>
          <w:szCs w:val="32"/>
          <w:highlight w:val="none"/>
          <w:lang w:val="en-US" w:eastAsia="zh-CN" w:bidi="ar-SA"/>
        </w:rPr>
        <w:t>41.83</w:t>
      </w:r>
      <w:r>
        <w:rPr>
          <w:rFonts w:hint="eastAsia" w:ascii="仿宋_GB2312" w:hAnsi="仿宋_GB2312" w:eastAsia="仿宋_GB2312" w:cs="仿宋_GB2312"/>
          <w:color w:val="auto"/>
          <w:kern w:val="2"/>
          <w:sz w:val="32"/>
          <w:szCs w:val="32"/>
          <w:highlight w:val="none"/>
          <w:lang w:val="zh-CN" w:eastAsia="zh-CN" w:bidi="ar-SA"/>
        </w:rPr>
        <w:t>%，主要</w:t>
      </w:r>
      <w:r>
        <w:rPr>
          <w:rFonts w:hint="eastAsia" w:ascii="仿宋_GB2312" w:hAnsi="仿宋_GB2312" w:eastAsia="仿宋_GB2312" w:cs="仿宋_GB2312"/>
          <w:color w:val="auto"/>
          <w:kern w:val="2"/>
          <w:sz w:val="32"/>
          <w:szCs w:val="32"/>
          <w:highlight w:val="none"/>
          <w:lang w:val="en-US" w:eastAsia="zh-CN" w:bidi="ar-SA"/>
        </w:rPr>
        <w:t>2023年疫情放开后，许多的检查工作可以正常开展，进而增长迅猛。</w:t>
      </w:r>
      <w:r>
        <w:rPr>
          <w:rFonts w:hint="eastAsia" w:ascii="仿宋_GB2312" w:hAnsi="仿宋_GB2312" w:eastAsia="仿宋_GB2312" w:cs="仿宋_GB2312"/>
          <w:color w:val="auto"/>
          <w:kern w:val="2"/>
          <w:sz w:val="32"/>
          <w:szCs w:val="32"/>
          <w:highlight w:val="none"/>
          <w:lang w:val="zh-CN" w:eastAsia="zh-CN" w:bidi="ar-SA"/>
        </w:rPr>
        <w:t>除此之外再无其他异常情况，非财政拨款结余和年初结转结余无变化。</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黑体"/>
          <w:bCs/>
          <w:kern w:val="0"/>
          <w:sz w:val="32"/>
          <w:szCs w:val="32"/>
          <w:highlight w:val="none"/>
        </w:rPr>
      </w:pPr>
      <w:bookmarkStart w:id="10" w:name="_Toc12142"/>
      <w:bookmarkStart w:id="11" w:name="_Toc1979"/>
      <w:r>
        <w:rPr>
          <w:rFonts w:hint="eastAsia" w:ascii="黑体" w:hAnsi="黑体" w:eastAsia="黑体" w:cs="黑体"/>
          <w:bCs/>
          <w:kern w:val="0"/>
          <w:sz w:val="32"/>
          <w:szCs w:val="32"/>
          <w:highlight w:val="none"/>
          <w:lang w:eastAsia="zh-CN"/>
        </w:rPr>
        <w:t>二、</w:t>
      </w:r>
      <w:r>
        <w:rPr>
          <w:rFonts w:hint="eastAsia" w:ascii="黑体" w:hAnsi="黑体" w:eastAsia="黑体" w:cs="黑体"/>
          <w:bCs/>
          <w:kern w:val="0"/>
          <w:sz w:val="32"/>
          <w:szCs w:val="32"/>
          <w:highlight w:val="none"/>
        </w:rPr>
        <w:t>收入</w:t>
      </w:r>
      <w:r>
        <w:rPr>
          <w:rFonts w:hint="eastAsia" w:ascii="黑体" w:hAnsi="黑体" w:eastAsia="黑体" w:cs="黑体"/>
          <w:bCs/>
          <w:kern w:val="0"/>
          <w:sz w:val="32"/>
          <w:szCs w:val="32"/>
          <w:highlight w:val="none"/>
          <w:lang w:eastAsia="zh-CN"/>
        </w:rPr>
        <w:t>决算</w:t>
      </w:r>
      <w:r>
        <w:rPr>
          <w:rFonts w:hint="eastAsia" w:ascii="黑体" w:hAnsi="黑体" w:eastAsia="黑体" w:cs="黑体"/>
          <w:bCs/>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zh-CN" w:eastAsia="zh-CN" w:bidi="ar-SA"/>
        </w:rPr>
        <w:t>本年收入763.49万元，其中：财政拨款收入759.14万元，占99.43%；上级补助收入0.00万元，占0.00%；事业收入0.00万元，占0.00%；经营收入0.00万元，占0.00%；附属单位上缴收入0.00万元，占0.00%；其他收入4.35万元，占0.57%。</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黑体"/>
          <w:bCs/>
          <w:kern w:val="0"/>
          <w:sz w:val="32"/>
          <w:szCs w:val="32"/>
          <w:highlight w:val="none"/>
          <w:lang w:eastAsia="zh-CN"/>
        </w:rPr>
      </w:pPr>
      <w:bookmarkStart w:id="12" w:name="_Toc27961"/>
      <w:bookmarkStart w:id="13" w:name="_Toc13201"/>
      <w:r>
        <w:rPr>
          <w:rFonts w:hint="eastAsia" w:ascii="黑体" w:hAnsi="黑体" w:eastAsia="黑体" w:cs="黑体"/>
          <w:bCs/>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zh-CN" w:eastAsia="zh-CN" w:bidi="ar-SA"/>
        </w:rPr>
        <w:t>本年支出760.33万元，其中：基本支出434.53万元，占57.15%；项目支出325.81万元，占42.85%；上缴上级支出0.00万元，占0.00%；经营支出0.00万元，占0.00%；对附属单位补助支出0.00万元，占0.00%。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黑体"/>
          <w:bCs/>
          <w:kern w:val="0"/>
          <w:sz w:val="32"/>
          <w:szCs w:val="32"/>
          <w:highlight w:val="none"/>
          <w:lang w:eastAsia="zh-CN"/>
        </w:rPr>
      </w:pPr>
      <w:bookmarkStart w:id="14" w:name="_Toc26564"/>
      <w:bookmarkStart w:id="15" w:name="_Toc4393"/>
      <w:r>
        <w:rPr>
          <w:rFonts w:hint="eastAsia" w:ascii="黑体" w:hAnsi="黑体" w:eastAsia="黑体" w:cs="黑体"/>
          <w:bCs/>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zh-CN" w:eastAsia="zh-CN" w:bidi="ar-SA"/>
        </w:rPr>
        <w:t>2023年度财政拨款收入</w:t>
      </w:r>
      <w:r>
        <w:rPr>
          <w:rFonts w:hint="eastAsia" w:ascii="仿宋_GB2312" w:hAnsi="仿宋_GB2312" w:eastAsia="仿宋_GB2312" w:cs="仿宋_GB2312"/>
          <w:color w:val="auto"/>
          <w:kern w:val="2"/>
          <w:sz w:val="32"/>
          <w:szCs w:val="32"/>
          <w:highlight w:val="none"/>
          <w:lang w:val="en-US" w:eastAsia="zh-CN" w:bidi="ar-SA"/>
        </w:rPr>
        <w:t>总计</w:t>
      </w:r>
      <w:r>
        <w:rPr>
          <w:rFonts w:hint="eastAsia" w:ascii="仿宋_GB2312" w:hAnsi="仿宋_GB2312" w:eastAsia="仿宋_GB2312" w:cs="仿宋_GB2312"/>
          <w:color w:val="auto"/>
          <w:kern w:val="2"/>
          <w:sz w:val="32"/>
          <w:szCs w:val="32"/>
          <w:highlight w:val="none"/>
          <w:lang w:val="zh-CN" w:eastAsia="zh-CN" w:bidi="ar-SA"/>
        </w:rPr>
        <w:t>759.14万元，</w:t>
      </w:r>
      <w:r>
        <w:rPr>
          <w:rFonts w:hint="eastAsia" w:ascii="仿宋_GB2312" w:hAnsi="仿宋_GB2312" w:eastAsia="仿宋_GB2312" w:cs="仿宋_GB2312"/>
          <w:color w:val="auto"/>
          <w:kern w:val="2"/>
          <w:sz w:val="32"/>
          <w:szCs w:val="32"/>
          <w:highlight w:val="none"/>
          <w:lang w:val="en-US" w:eastAsia="zh-CN" w:bidi="ar-SA"/>
        </w:rPr>
        <w:t>其中：年初财政拨款结转和结余</w:t>
      </w:r>
      <w:r>
        <w:rPr>
          <w:rFonts w:hint="eastAsia" w:ascii="仿宋_GB2312" w:hAnsi="仿宋_GB2312" w:eastAsia="仿宋_GB2312" w:cs="仿宋_GB2312"/>
          <w:color w:val="auto"/>
          <w:kern w:val="2"/>
          <w:sz w:val="32"/>
          <w:szCs w:val="32"/>
          <w:highlight w:val="none"/>
          <w:lang w:val="zh-CN" w:eastAsia="zh-CN" w:bidi="ar-SA"/>
        </w:rPr>
        <w:t>0.00万元，</w:t>
      </w:r>
      <w:r>
        <w:rPr>
          <w:rFonts w:hint="eastAsia" w:ascii="仿宋_GB2312" w:hAnsi="仿宋_GB2312" w:eastAsia="仿宋_GB2312" w:cs="仿宋_GB2312"/>
          <w:color w:val="auto"/>
          <w:kern w:val="2"/>
          <w:sz w:val="32"/>
          <w:szCs w:val="32"/>
          <w:highlight w:val="none"/>
          <w:lang w:val="en-US" w:eastAsia="zh-CN" w:bidi="ar-SA"/>
        </w:rPr>
        <w:t>本年财政拨款收入</w:t>
      </w:r>
      <w:r>
        <w:rPr>
          <w:rFonts w:hint="eastAsia" w:ascii="仿宋_GB2312" w:hAnsi="仿宋_GB2312" w:eastAsia="仿宋_GB2312" w:cs="仿宋_GB2312"/>
          <w:color w:val="auto"/>
          <w:kern w:val="2"/>
          <w:sz w:val="32"/>
          <w:szCs w:val="32"/>
          <w:highlight w:val="none"/>
          <w:lang w:val="zh-CN" w:eastAsia="zh-CN" w:bidi="ar-SA"/>
        </w:rPr>
        <w:t>759.14万元；财政拨款支出</w:t>
      </w:r>
      <w:r>
        <w:rPr>
          <w:rFonts w:hint="eastAsia" w:ascii="仿宋_GB2312" w:hAnsi="仿宋_GB2312" w:eastAsia="仿宋_GB2312" w:cs="仿宋_GB2312"/>
          <w:color w:val="auto"/>
          <w:kern w:val="2"/>
          <w:sz w:val="32"/>
          <w:szCs w:val="32"/>
          <w:highlight w:val="none"/>
          <w:lang w:val="en-US" w:eastAsia="zh-CN" w:bidi="ar-SA"/>
        </w:rPr>
        <w:t>总计</w:t>
      </w:r>
      <w:r>
        <w:rPr>
          <w:rFonts w:hint="eastAsia" w:ascii="仿宋_GB2312" w:hAnsi="仿宋_GB2312" w:eastAsia="仿宋_GB2312" w:cs="仿宋_GB2312"/>
          <w:color w:val="auto"/>
          <w:kern w:val="2"/>
          <w:sz w:val="32"/>
          <w:szCs w:val="32"/>
          <w:highlight w:val="none"/>
          <w:lang w:val="zh-CN" w:eastAsia="zh-CN" w:bidi="ar-SA"/>
        </w:rPr>
        <w:t>759.14万元，</w:t>
      </w:r>
      <w:r>
        <w:rPr>
          <w:rFonts w:hint="eastAsia" w:ascii="仿宋_GB2312" w:hAnsi="仿宋_GB2312" w:eastAsia="仿宋_GB2312" w:cs="仿宋_GB2312"/>
          <w:color w:val="auto"/>
          <w:kern w:val="2"/>
          <w:sz w:val="32"/>
          <w:szCs w:val="32"/>
          <w:highlight w:val="none"/>
          <w:lang w:val="en-US" w:eastAsia="zh-CN" w:bidi="ar-SA"/>
        </w:rPr>
        <w:t>其中：年末财政拨款结转和结余</w:t>
      </w:r>
      <w:r>
        <w:rPr>
          <w:rFonts w:hint="eastAsia" w:ascii="仿宋_GB2312" w:hAnsi="仿宋_GB2312" w:eastAsia="仿宋_GB2312" w:cs="仿宋_GB2312"/>
          <w:color w:val="auto"/>
          <w:kern w:val="2"/>
          <w:sz w:val="32"/>
          <w:szCs w:val="32"/>
          <w:highlight w:val="none"/>
          <w:lang w:val="zh-CN" w:eastAsia="zh-CN" w:bidi="ar-SA"/>
        </w:rPr>
        <w:t>0.00万元，</w:t>
      </w:r>
      <w:r>
        <w:rPr>
          <w:rFonts w:hint="eastAsia" w:ascii="仿宋_GB2312" w:hAnsi="仿宋_GB2312" w:eastAsia="仿宋_GB2312" w:cs="仿宋_GB2312"/>
          <w:color w:val="auto"/>
          <w:kern w:val="2"/>
          <w:sz w:val="32"/>
          <w:szCs w:val="32"/>
          <w:highlight w:val="none"/>
          <w:lang w:val="en-US" w:eastAsia="zh-CN" w:bidi="ar-SA"/>
        </w:rPr>
        <w:t>本年财政拨款支出</w:t>
      </w:r>
      <w:r>
        <w:rPr>
          <w:rFonts w:hint="eastAsia" w:ascii="仿宋_GB2312" w:hAnsi="仿宋_GB2312" w:eastAsia="仿宋_GB2312" w:cs="仿宋_GB2312"/>
          <w:color w:val="auto"/>
          <w:kern w:val="2"/>
          <w:sz w:val="32"/>
          <w:szCs w:val="32"/>
          <w:highlight w:val="none"/>
          <w:lang w:val="zh-CN" w:eastAsia="zh-CN" w:bidi="ar-SA"/>
        </w:rPr>
        <w:t>759.14万元。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财政拨款收入支出总体与上年相比，</w:t>
      </w:r>
      <w:r>
        <w:rPr>
          <w:rFonts w:hint="eastAsia" w:ascii="仿宋_GB2312" w:hAnsi="仿宋_GB2312" w:eastAsia="仿宋_GB2312" w:cs="仿宋_GB2312"/>
          <w:color w:val="auto"/>
          <w:kern w:val="2"/>
          <w:sz w:val="32"/>
          <w:szCs w:val="32"/>
          <w:highlight w:val="none"/>
          <w:lang w:val="zh-CN" w:eastAsia="zh-CN" w:bidi="ar-SA"/>
        </w:rPr>
        <w:t>增加162.00万元，增长27.13%，主要原因是：202</w:t>
      </w:r>
      <w:r>
        <w:rPr>
          <w:rFonts w:hint="eastAsia" w:ascii="仿宋_GB2312" w:hAnsi="仿宋_GB2312" w:eastAsia="仿宋_GB2312" w:cs="仿宋_GB2312"/>
          <w:color w:val="auto"/>
          <w:kern w:val="2"/>
          <w:sz w:val="32"/>
          <w:szCs w:val="32"/>
          <w:highlight w:val="none"/>
          <w:lang w:val="en-US" w:eastAsia="zh-CN" w:bidi="ar-SA"/>
        </w:rPr>
        <w:t>3</w:t>
      </w:r>
      <w:r>
        <w:rPr>
          <w:rFonts w:hint="eastAsia" w:ascii="仿宋_GB2312" w:hAnsi="仿宋_GB2312" w:eastAsia="仿宋_GB2312" w:cs="仿宋_GB2312"/>
          <w:color w:val="auto"/>
          <w:kern w:val="2"/>
          <w:sz w:val="32"/>
          <w:szCs w:val="32"/>
          <w:highlight w:val="none"/>
          <w:lang w:val="zh-CN" w:eastAsia="zh-CN" w:bidi="ar-SA"/>
        </w:rPr>
        <w:t>年人员经费增长导致，审评查验中心作为年轻单位，积极筹备单位成员的办公设备，保障新入职人员以及老员工高效开展工作；基本支出收入</w:t>
      </w:r>
      <w:r>
        <w:rPr>
          <w:rFonts w:hint="eastAsia" w:ascii="仿宋_GB2312" w:hAnsi="仿宋_GB2312" w:eastAsia="仿宋_GB2312" w:cs="仿宋_GB2312"/>
          <w:color w:val="auto"/>
          <w:kern w:val="2"/>
          <w:sz w:val="32"/>
          <w:szCs w:val="32"/>
          <w:highlight w:val="none"/>
          <w:lang w:val="en-US" w:eastAsia="zh-CN" w:bidi="ar-SA"/>
        </w:rPr>
        <w:t>433.33</w:t>
      </w:r>
      <w:r>
        <w:rPr>
          <w:rFonts w:hint="eastAsia" w:ascii="仿宋_GB2312" w:hAnsi="仿宋_GB2312" w:eastAsia="仿宋_GB2312" w:cs="仿宋_GB2312"/>
          <w:color w:val="auto"/>
          <w:kern w:val="2"/>
          <w:sz w:val="32"/>
          <w:szCs w:val="32"/>
          <w:highlight w:val="none"/>
          <w:lang w:val="zh-CN" w:eastAsia="zh-CN" w:bidi="ar-SA"/>
        </w:rPr>
        <w:t>万元,比202</w:t>
      </w:r>
      <w:r>
        <w:rPr>
          <w:rFonts w:hint="eastAsia" w:ascii="仿宋_GB2312" w:hAnsi="仿宋_GB2312" w:eastAsia="仿宋_GB2312" w:cs="仿宋_GB2312"/>
          <w:color w:val="auto"/>
          <w:kern w:val="2"/>
          <w:sz w:val="32"/>
          <w:szCs w:val="32"/>
          <w:highlight w:val="none"/>
          <w:lang w:val="en-US" w:eastAsia="zh-CN" w:bidi="ar-SA"/>
        </w:rPr>
        <w:t>2</w:t>
      </w:r>
      <w:r>
        <w:rPr>
          <w:rFonts w:hint="eastAsia" w:ascii="仿宋_GB2312" w:hAnsi="仿宋_GB2312" w:eastAsia="仿宋_GB2312" w:cs="仿宋_GB2312"/>
          <w:color w:val="auto"/>
          <w:kern w:val="2"/>
          <w:sz w:val="32"/>
          <w:szCs w:val="32"/>
          <w:highlight w:val="none"/>
          <w:lang w:val="zh-CN" w:eastAsia="zh-CN" w:bidi="ar-SA"/>
        </w:rPr>
        <w:t>年增加</w:t>
      </w:r>
      <w:r>
        <w:rPr>
          <w:rFonts w:hint="eastAsia" w:ascii="仿宋_GB2312" w:hAnsi="仿宋_GB2312" w:eastAsia="仿宋_GB2312" w:cs="仿宋_GB2312"/>
          <w:color w:val="auto"/>
          <w:kern w:val="2"/>
          <w:sz w:val="32"/>
          <w:szCs w:val="32"/>
          <w:highlight w:val="none"/>
          <w:lang w:val="en-US" w:eastAsia="zh-CN" w:bidi="ar-SA"/>
        </w:rPr>
        <w:t>65.99</w:t>
      </w:r>
      <w:r>
        <w:rPr>
          <w:rFonts w:hint="eastAsia" w:ascii="仿宋_GB2312" w:hAnsi="仿宋_GB2312" w:eastAsia="仿宋_GB2312" w:cs="仿宋_GB2312"/>
          <w:color w:val="auto"/>
          <w:kern w:val="2"/>
          <w:sz w:val="32"/>
          <w:szCs w:val="32"/>
          <w:highlight w:val="none"/>
          <w:lang w:val="zh-CN" w:eastAsia="zh-CN" w:bidi="ar-SA"/>
        </w:rPr>
        <w:t>万元，增长</w:t>
      </w:r>
      <w:r>
        <w:rPr>
          <w:rFonts w:hint="eastAsia" w:ascii="仿宋_GB2312" w:hAnsi="仿宋_GB2312" w:eastAsia="仿宋_GB2312" w:cs="仿宋_GB2312"/>
          <w:color w:val="auto"/>
          <w:kern w:val="2"/>
          <w:sz w:val="32"/>
          <w:szCs w:val="32"/>
          <w:highlight w:val="none"/>
          <w:lang w:val="en-US" w:eastAsia="zh-CN" w:bidi="ar-SA"/>
        </w:rPr>
        <w:t>17.96</w:t>
      </w:r>
      <w:r>
        <w:rPr>
          <w:rFonts w:hint="eastAsia" w:ascii="仿宋_GB2312" w:hAnsi="仿宋_GB2312" w:eastAsia="仿宋_GB2312" w:cs="仿宋_GB2312"/>
          <w:color w:val="auto"/>
          <w:kern w:val="2"/>
          <w:sz w:val="32"/>
          <w:szCs w:val="32"/>
          <w:highlight w:val="none"/>
          <w:lang w:val="zh-CN" w:eastAsia="zh-CN" w:bidi="ar-SA"/>
        </w:rPr>
        <w:t>%，主要是人员工资基数的调整以及人员调配导致的增长，202</w:t>
      </w:r>
      <w:r>
        <w:rPr>
          <w:rFonts w:hint="eastAsia" w:ascii="仿宋_GB2312" w:hAnsi="仿宋_GB2312" w:eastAsia="仿宋_GB2312" w:cs="仿宋_GB2312"/>
          <w:color w:val="auto"/>
          <w:kern w:val="2"/>
          <w:sz w:val="32"/>
          <w:szCs w:val="32"/>
          <w:highlight w:val="none"/>
          <w:lang w:val="en-US" w:eastAsia="zh-CN" w:bidi="ar-SA"/>
        </w:rPr>
        <w:t>3</w:t>
      </w:r>
      <w:r>
        <w:rPr>
          <w:rFonts w:hint="eastAsia" w:ascii="仿宋_GB2312" w:hAnsi="仿宋_GB2312" w:eastAsia="仿宋_GB2312" w:cs="仿宋_GB2312"/>
          <w:color w:val="auto"/>
          <w:kern w:val="2"/>
          <w:sz w:val="32"/>
          <w:szCs w:val="32"/>
          <w:highlight w:val="none"/>
          <w:lang w:val="zh-CN" w:eastAsia="zh-CN" w:bidi="ar-SA"/>
        </w:rPr>
        <w:t>年收到专项药品事务收入（功能科目2013812）</w:t>
      </w:r>
      <w:r>
        <w:rPr>
          <w:rFonts w:hint="eastAsia" w:ascii="仿宋_GB2312" w:hAnsi="仿宋_GB2312" w:eastAsia="仿宋_GB2312" w:cs="仿宋_GB2312"/>
          <w:color w:val="auto"/>
          <w:kern w:val="2"/>
          <w:sz w:val="32"/>
          <w:szCs w:val="32"/>
          <w:highlight w:val="none"/>
          <w:lang w:val="en-US" w:eastAsia="zh-CN" w:bidi="ar-SA"/>
        </w:rPr>
        <w:t>325.81</w:t>
      </w:r>
      <w:r>
        <w:rPr>
          <w:rFonts w:hint="eastAsia" w:ascii="仿宋_GB2312" w:hAnsi="仿宋_GB2312" w:eastAsia="仿宋_GB2312" w:cs="仿宋_GB2312"/>
          <w:color w:val="auto"/>
          <w:kern w:val="2"/>
          <w:sz w:val="32"/>
          <w:szCs w:val="32"/>
          <w:highlight w:val="none"/>
          <w:lang w:val="zh-CN" w:eastAsia="zh-CN" w:bidi="ar-SA"/>
        </w:rPr>
        <w:t>万元，与202</w:t>
      </w:r>
      <w:r>
        <w:rPr>
          <w:rFonts w:hint="eastAsia" w:ascii="仿宋_GB2312" w:hAnsi="仿宋_GB2312" w:eastAsia="仿宋_GB2312" w:cs="仿宋_GB2312"/>
          <w:color w:val="auto"/>
          <w:kern w:val="2"/>
          <w:sz w:val="32"/>
          <w:szCs w:val="32"/>
          <w:highlight w:val="none"/>
          <w:lang w:val="en-US" w:eastAsia="zh-CN" w:bidi="ar-SA"/>
        </w:rPr>
        <w:t>2</w:t>
      </w:r>
      <w:r>
        <w:rPr>
          <w:rFonts w:hint="eastAsia" w:ascii="仿宋_GB2312" w:hAnsi="仿宋_GB2312" w:eastAsia="仿宋_GB2312" w:cs="仿宋_GB2312"/>
          <w:color w:val="auto"/>
          <w:kern w:val="2"/>
          <w:sz w:val="32"/>
          <w:szCs w:val="32"/>
          <w:highlight w:val="none"/>
          <w:lang w:val="zh-CN" w:eastAsia="zh-CN" w:bidi="ar-SA"/>
        </w:rPr>
        <w:t>年相比增加了</w:t>
      </w:r>
      <w:r>
        <w:rPr>
          <w:rFonts w:hint="eastAsia" w:ascii="仿宋_GB2312" w:hAnsi="仿宋_GB2312" w:eastAsia="仿宋_GB2312" w:cs="仿宋_GB2312"/>
          <w:color w:val="auto"/>
          <w:kern w:val="2"/>
          <w:sz w:val="32"/>
          <w:szCs w:val="32"/>
          <w:highlight w:val="none"/>
          <w:lang w:val="en-US" w:eastAsia="zh-CN" w:bidi="ar-SA"/>
        </w:rPr>
        <w:t>96.09</w:t>
      </w:r>
      <w:r>
        <w:rPr>
          <w:rFonts w:hint="eastAsia" w:ascii="仿宋_GB2312" w:hAnsi="仿宋_GB2312" w:eastAsia="仿宋_GB2312" w:cs="仿宋_GB2312"/>
          <w:color w:val="auto"/>
          <w:kern w:val="2"/>
          <w:sz w:val="32"/>
          <w:szCs w:val="32"/>
          <w:highlight w:val="none"/>
          <w:lang w:val="zh-CN" w:eastAsia="zh-CN" w:bidi="ar-SA"/>
        </w:rPr>
        <w:t>万元，增加</w:t>
      </w:r>
      <w:r>
        <w:rPr>
          <w:rFonts w:hint="eastAsia" w:ascii="仿宋_GB2312" w:hAnsi="仿宋_GB2312" w:eastAsia="仿宋_GB2312" w:cs="仿宋_GB2312"/>
          <w:color w:val="auto"/>
          <w:kern w:val="2"/>
          <w:sz w:val="32"/>
          <w:szCs w:val="32"/>
          <w:highlight w:val="none"/>
          <w:lang w:val="en-US" w:eastAsia="zh-CN" w:bidi="ar-SA"/>
        </w:rPr>
        <w:t>41.83</w:t>
      </w:r>
      <w:r>
        <w:rPr>
          <w:rFonts w:hint="eastAsia" w:ascii="仿宋_GB2312" w:hAnsi="仿宋_GB2312" w:eastAsia="仿宋_GB2312" w:cs="仿宋_GB2312"/>
          <w:color w:val="auto"/>
          <w:kern w:val="2"/>
          <w:sz w:val="32"/>
          <w:szCs w:val="32"/>
          <w:highlight w:val="none"/>
          <w:lang w:val="zh-CN" w:eastAsia="zh-CN" w:bidi="ar-SA"/>
        </w:rPr>
        <w:t>%，主要</w:t>
      </w:r>
      <w:r>
        <w:rPr>
          <w:rFonts w:hint="eastAsia" w:ascii="仿宋_GB2312" w:hAnsi="仿宋_GB2312" w:eastAsia="仿宋_GB2312" w:cs="仿宋_GB2312"/>
          <w:color w:val="auto"/>
          <w:kern w:val="2"/>
          <w:sz w:val="32"/>
          <w:szCs w:val="32"/>
          <w:highlight w:val="none"/>
          <w:lang w:val="en-US" w:eastAsia="zh-CN" w:bidi="ar-SA"/>
        </w:rPr>
        <w:t>2023年疫情放开后，许多的检查工作可以正常开展。两项收入双双增加，造成增长迅猛。</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与年初预算相比，年初预算数</w:t>
      </w:r>
      <w:r>
        <w:rPr>
          <w:rFonts w:hint="eastAsia" w:ascii="仿宋_GB2312" w:hAnsi="仿宋_GB2312" w:eastAsia="仿宋_GB2312" w:cs="仿宋_GB2312"/>
          <w:color w:val="auto"/>
          <w:kern w:val="2"/>
          <w:sz w:val="32"/>
          <w:szCs w:val="32"/>
          <w:highlight w:val="none"/>
          <w:lang w:val="zh-CN" w:eastAsia="zh-CN" w:bidi="ar-SA"/>
        </w:rPr>
        <w:t>659.86</w:t>
      </w:r>
      <w:r>
        <w:rPr>
          <w:rFonts w:hint="eastAsia" w:ascii="仿宋_GB2312" w:hAnsi="仿宋_GB2312" w:eastAsia="仿宋_GB2312" w:cs="仿宋_GB2312"/>
          <w:color w:val="auto"/>
          <w:kern w:val="2"/>
          <w:sz w:val="32"/>
          <w:szCs w:val="32"/>
          <w:highlight w:val="none"/>
          <w:lang w:val="en-US" w:eastAsia="zh-CN" w:bidi="ar-SA"/>
        </w:rPr>
        <w:t>万元，决算数</w:t>
      </w:r>
      <w:r>
        <w:rPr>
          <w:rFonts w:hint="eastAsia" w:ascii="仿宋_GB2312" w:hAnsi="仿宋_GB2312" w:eastAsia="仿宋_GB2312" w:cs="仿宋_GB2312"/>
          <w:color w:val="auto"/>
          <w:kern w:val="2"/>
          <w:sz w:val="32"/>
          <w:szCs w:val="32"/>
          <w:highlight w:val="none"/>
          <w:lang w:val="zh-CN" w:eastAsia="zh-CN" w:bidi="ar-SA"/>
        </w:rPr>
        <w:t>759.14</w:t>
      </w:r>
      <w:r>
        <w:rPr>
          <w:rFonts w:hint="eastAsia" w:ascii="仿宋_GB2312" w:hAnsi="仿宋_GB2312" w:eastAsia="仿宋_GB2312" w:cs="仿宋_GB2312"/>
          <w:color w:val="auto"/>
          <w:kern w:val="2"/>
          <w:sz w:val="32"/>
          <w:szCs w:val="32"/>
          <w:highlight w:val="none"/>
          <w:lang w:val="en-US" w:eastAsia="zh-CN" w:bidi="ar-SA"/>
        </w:rPr>
        <w:t>万元，预决算差异率15.05%，主要原因是：当年追加补助资金，在2023年中陆续到位，均用于药品事务专项开支， 因此与年初预算数据差异较大。</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黑体"/>
          <w:bCs/>
          <w:kern w:val="0"/>
          <w:sz w:val="32"/>
          <w:szCs w:val="32"/>
          <w:highlight w:val="none"/>
          <w:lang w:eastAsia="zh-CN"/>
        </w:rPr>
      </w:pPr>
      <w:bookmarkStart w:id="16" w:name="_Toc13833"/>
      <w:bookmarkStart w:id="17" w:name="_Toc20360"/>
      <w:r>
        <w:rPr>
          <w:rFonts w:hint="eastAsia" w:ascii="黑体" w:hAnsi="黑体" w:eastAsia="黑体" w:cs="黑体"/>
          <w:bCs/>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s="黑体"/>
          <w:b w:val="0"/>
          <w:bCs w:val="0"/>
          <w:sz w:val="32"/>
          <w:szCs w:val="32"/>
          <w:highlight w:val="none"/>
          <w:lang w:eastAsia="zh-CN"/>
        </w:rPr>
      </w:pPr>
      <w:r>
        <w:rPr>
          <w:rFonts w:hint="eastAsia" w:ascii="黑体" w:hAnsi="黑体" w:eastAsia="黑体" w:cs="黑体"/>
          <w:b w:val="0"/>
          <w:bCs w:val="0"/>
          <w:sz w:val="32"/>
          <w:szCs w:val="32"/>
          <w:highlight w:val="none"/>
          <w:lang w:eastAsia="zh-CN"/>
        </w:rPr>
        <w:t>（一）一般公共预算财政拨款支出决算总体情况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2023年度一般公共预算财政拨款支出759.14万元，占本年支出合计的</w:t>
      </w:r>
      <w:r>
        <w:rPr>
          <w:rFonts w:hint="eastAsia" w:ascii="仿宋_GB2312" w:hAnsi="仿宋_GB2312" w:eastAsia="仿宋_GB2312" w:cs="仿宋_GB2312"/>
          <w:color w:val="auto"/>
          <w:kern w:val="2"/>
          <w:sz w:val="32"/>
          <w:szCs w:val="32"/>
          <w:highlight w:val="none"/>
          <w:lang w:val="zh-CN" w:eastAsia="zh-CN" w:bidi="ar-SA"/>
        </w:rPr>
        <w:t>99.84%</w:t>
      </w:r>
      <w:r>
        <w:rPr>
          <w:rFonts w:hint="eastAsia" w:ascii="仿宋_GB2312" w:hAnsi="仿宋_GB2312" w:eastAsia="仿宋_GB2312" w:cs="仿宋_GB2312"/>
          <w:color w:val="auto"/>
          <w:kern w:val="2"/>
          <w:sz w:val="32"/>
          <w:szCs w:val="32"/>
          <w:highlight w:val="none"/>
          <w:lang w:val="en-US" w:eastAsia="zh-CN" w:bidi="ar-SA"/>
        </w:rPr>
        <w:t>，与上年相比，</w:t>
      </w:r>
      <w:r>
        <w:rPr>
          <w:rFonts w:hint="eastAsia" w:ascii="仿宋_GB2312" w:hAnsi="仿宋_GB2312" w:eastAsia="仿宋_GB2312" w:cs="仿宋_GB2312"/>
          <w:color w:val="auto"/>
          <w:kern w:val="2"/>
          <w:sz w:val="32"/>
          <w:szCs w:val="32"/>
          <w:highlight w:val="none"/>
          <w:lang w:val="zh-CN" w:eastAsia="zh-CN" w:bidi="ar-SA"/>
        </w:rPr>
        <w:t>增加162.08万元</w:t>
      </w:r>
      <w:r>
        <w:rPr>
          <w:rFonts w:hint="eastAsia" w:ascii="仿宋_GB2312" w:hAnsi="仿宋_GB2312" w:eastAsia="仿宋_GB2312" w:cs="仿宋_GB2312"/>
          <w:color w:val="auto"/>
          <w:kern w:val="2"/>
          <w:sz w:val="32"/>
          <w:szCs w:val="32"/>
          <w:highlight w:val="none"/>
          <w:lang w:val="en-US" w:eastAsia="zh-CN" w:bidi="ar-SA"/>
        </w:rPr>
        <w:t>，</w:t>
      </w:r>
      <w:r>
        <w:rPr>
          <w:rFonts w:hint="eastAsia" w:ascii="仿宋_GB2312" w:hAnsi="仿宋_GB2312" w:eastAsia="仿宋_GB2312" w:cs="仿宋_GB2312"/>
          <w:color w:val="auto"/>
          <w:kern w:val="2"/>
          <w:sz w:val="32"/>
          <w:szCs w:val="32"/>
          <w:highlight w:val="none"/>
          <w:lang w:val="zh-CN" w:eastAsia="zh-CN" w:bidi="ar-SA"/>
        </w:rPr>
        <w:t>增长27.15%，</w:t>
      </w:r>
      <w:r>
        <w:rPr>
          <w:rFonts w:hint="eastAsia" w:ascii="仿宋_GB2312" w:hAnsi="仿宋_GB2312" w:eastAsia="仿宋_GB2312" w:cs="仿宋_GB2312"/>
          <w:color w:val="auto"/>
          <w:kern w:val="2"/>
          <w:sz w:val="32"/>
          <w:szCs w:val="32"/>
          <w:highlight w:val="none"/>
          <w:lang w:val="en-US" w:eastAsia="zh-CN" w:bidi="ar-SA"/>
        </w:rPr>
        <w:t>主要原因是：2023年人员经费增长导致，审评查验中心作为年轻单位，积极筹备单位成员的办公设备，保障新入职人员以及老员工高效开展工作；基本支出收入433.33万元,比2022年增加65.99万元，增长17.96%，主要是人员工资基数的调整以及人员调配导致的增长，2023年收到专项药品事务收入（功能科目2013812）325.81万元，与2022年相比增加了96.09万元，增加41.83%，主要2023年疫情放开后，许多的检查工作可以正常开展，进而增长迅猛。除此之外再无其他异常情况，非财政拨款结余和年初结转结余无变化。</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与年初预算相比，年初预算数</w:t>
      </w:r>
      <w:r>
        <w:rPr>
          <w:rFonts w:hint="eastAsia" w:ascii="仿宋_GB2312" w:hAnsi="仿宋_GB2312" w:eastAsia="仿宋_GB2312" w:cs="仿宋_GB2312"/>
          <w:color w:val="auto"/>
          <w:kern w:val="2"/>
          <w:sz w:val="32"/>
          <w:szCs w:val="32"/>
          <w:highlight w:val="none"/>
          <w:lang w:val="zh-CN" w:eastAsia="zh-CN" w:bidi="ar-SA"/>
        </w:rPr>
        <w:t>659.86</w:t>
      </w:r>
      <w:r>
        <w:rPr>
          <w:rFonts w:hint="eastAsia" w:ascii="仿宋_GB2312" w:hAnsi="仿宋_GB2312" w:eastAsia="仿宋_GB2312" w:cs="仿宋_GB2312"/>
          <w:color w:val="auto"/>
          <w:kern w:val="2"/>
          <w:sz w:val="32"/>
          <w:szCs w:val="32"/>
          <w:highlight w:val="none"/>
          <w:lang w:val="en-US" w:eastAsia="zh-CN" w:bidi="ar-SA"/>
        </w:rPr>
        <w:t>万元，决算数</w:t>
      </w:r>
      <w:r>
        <w:rPr>
          <w:rFonts w:hint="eastAsia" w:ascii="仿宋_GB2312" w:hAnsi="仿宋_GB2312" w:eastAsia="仿宋_GB2312" w:cs="仿宋_GB2312"/>
          <w:color w:val="auto"/>
          <w:kern w:val="2"/>
          <w:sz w:val="32"/>
          <w:szCs w:val="32"/>
          <w:highlight w:val="none"/>
          <w:lang w:val="zh-CN" w:eastAsia="zh-CN" w:bidi="ar-SA"/>
        </w:rPr>
        <w:t>759.14</w:t>
      </w:r>
      <w:r>
        <w:rPr>
          <w:rFonts w:hint="eastAsia" w:ascii="仿宋_GB2312" w:hAnsi="仿宋_GB2312" w:eastAsia="仿宋_GB2312" w:cs="仿宋_GB2312"/>
          <w:color w:val="auto"/>
          <w:kern w:val="2"/>
          <w:sz w:val="32"/>
          <w:szCs w:val="32"/>
          <w:highlight w:val="none"/>
          <w:lang w:val="en-US" w:eastAsia="zh-CN" w:bidi="ar-SA"/>
        </w:rPr>
        <w:t>万元，预决算差异率</w:t>
      </w:r>
      <w:r>
        <w:rPr>
          <w:rFonts w:hint="eastAsia" w:ascii="仿宋_GB2312" w:hAnsi="仿宋_GB2312" w:eastAsia="仿宋_GB2312" w:cs="仿宋_GB2312"/>
          <w:color w:val="auto"/>
          <w:kern w:val="2"/>
          <w:sz w:val="32"/>
          <w:szCs w:val="32"/>
          <w:highlight w:val="none"/>
          <w:lang w:val="zh-CN" w:eastAsia="zh-CN" w:bidi="ar-SA"/>
        </w:rPr>
        <w:t>15.05%</w:t>
      </w:r>
      <w:r>
        <w:rPr>
          <w:rFonts w:hint="eastAsia" w:ascii="仿宋_GB2312" w:hAnsi="仿宋_GB2312" w:eastAsia="仿宋_GB2312" w:cs="仿宋_GB2312"/>
          <w:color w:val="auto"/>
          <w:kern w:val="2"/>
          <w:sz w:val="32"/>
          <w:szCs w:val="32"/>
          <w:highlight w:val="none"/>
          <w:lang w:val="en-US" w:eastAsia="zh-CN" w:bidi="ar-SA"/>
        </w:rPr>
        <w:t>，主要原因是：当年追加补助资金，在2023年中陆续到位，均用于药品事务专项开支，因此与年初预算数据差异较大。</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s="黑体"/>
          <w:b w:val="0"/>
          <w:bCs w:val="0"/>
          <w:sz w:val="32"/>
          <w:szCs w:val="32"/>
          <w:highlight w:val="none"/>
          <w:lang w:eastAsia="zh-CN"/>
        </w:rPr>
      </w:pPr>
      <w:r>
        <w:rPr>
          <w:rFonts w:hint="eastAsia" w:ascii="黑体" w:hAnsi="黑体" w:eastAsia="黑体"/>
          <w:color w:val="auto"/>
          <w:sz w:val="32"/>
          <w:szCs w:val="32"/>
          <w:highlight w:val="none"/>
          <w:lang w:val="en-US" w:eastAsia="zh-CN"/>
        </w:rPr>
        <w:t>(二）</w:t>
      </w:r>
      <w:r>
        <w:rPr>
          <w:rFonts w:hint="eastAsia" w:ascii="黑体" w:hAnsi="黑体" w:eastAsia="黑体" w:cs="黑体"/>
          <w:b w:val="0"/>
          <w:bCs w:val="0"/>
          <w:sz w:val="32"/>
          <w:szCs w:val="32"/>
          <w:highlight w:val="none"/>
          <w:lang w:eastAsia="zh-CN"/>
        </w:rPr>
        <w:t>一般公共预算</w:t>
      </w:r>
      <w:r>
        <w:rPr>
          <w:rFonts w:hint="eastAsia" w:ascii="黑体" w:hAnsi="黑体" w:eastAsia="黑体" w:cs="黑体"/>
          <w:b w:val="0"/>
          <w:bCs w:val="0"/>
          <w:sz w:val="32"/>
          <w:szCs w:val="32"/>
          <w:highlight w:val="none"/>
          <w:lang w:val="en-US" w:eastAsia="zh-CN"/>
        </w:rPr>
        <w:t>财政拨款支出决算</w:t>
      </w:r>
      <w:r>
        <w:rPr>
          <w:rFonts w:hint="eastAsia" w:ascii="黑体" w:hAnsi="黑体" w:eastAsia="黑体" w:cs="黑体"/>
          <w:b w:val="0"/>
          <w:bCs w:val="0"/>
          <w:sz w:val="32"/>
          <w:szCs w:val="32"/>
          <w:highlight w:val="none"/>
          <w:lang w:eastAsia="zh-CN"/>
        </w:rPr>
        <w:t>结构情况</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1.</w:t>
      </w:r>
      <w:r>
        <w:rPr>
          <w:rFonts w:hint="eastAsia" w:ascii="仿宋_GB2312" w:hAnsi="仿宋_GB2312" w:eastAsia="仿宋_GB2312" w:cs="仿宋_GB2312"/>
          <w:color w:val="auto"/>
          <w:kern w:val="2"/>
          <w:sz w:val="32"/>
          <w:szCs w:val="32"/>
          <w:highlight w:val="none"/>
          <w:lang w:val="zh-CN" w:eastAsia="zh-CN" w:bidi="ar-SA"/>
        </w:rPr>
        <w:t>一 般公共服务支出（类）645.12万元，占84.98%。</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2.</w:t>
      </w:r>
      <w:r>
        <w:rPr>
          <w:rFonts w:hint="eastAsia" w:ascii="仿宋_GB2312" w:hAnsi="仿宋_GB2312" w:eastAsia="仿宋_GB2312" w:cs="仿宋_GB2312"/>
          <w:color w:val="auto"/>
          <w:kern w:val="2"/>
          <w:sz w:val="32"/>
          <w:szCs w:val="32"/>
          <w:highlight w:val="none"/>
          <w:lang w:val="zh-CN" w:eastAsia="zh-CN" w:bidi="ar-SA"/>
        </w:rPr>
        <w:t>社会保障和就业支出（类）49.68万元，占6.54%。</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3.</w:t>
      </w:r>
      <w:r>
        <w:rPr>
          <w:rFonts w:hint="eastAsia" w:ascii="仿宋_GB2312" w:hAnsi="仿宋_GB2312" w:eastAsia="仿宋_GB2312" w:cs="仿宋_GB2312"/>
          <w:color w:val="auto"/>
          <w:kern w:val="2"/>
          <w:sz w:val="32"/>
          <w:szCs w:val="32"/>
          <w:highlight w:val="none"/>
          <w:lang w:val="zh-CN" w:eastAsia="zh-CN" w:bidi="ar-SA"/>
        </w:rPr>
        <w:t>卫生健康支出（类）35.20万元，占 4.64%。</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4.</w:t>
      </w:r>
      <w:r>
        <w:rPr>
          <w:rFonts w:hint="eastAsia" w:ascii="仿宋_GB2312" w:hAnsi="仿宋_GB2312" w:eastAsia="仿宋_GB2312" w:cs="仿宋_GB2312"/>
          <w:color w:val="auto"/>
          <w:kern w:val="2"/>
          <w:sz w:val="32"/>
          <w:szCs w:val="32"/>
          <w:highlight w:val="none"/>
          <w:lang w:val="zh-CN" w:eastAsia="zh-CN" w:bidi="ar-SA"/>
        </w:rPr>
        <w:t>住房保障支出（类）29.13万元，占3.84%。</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jc w:val="left"/>
        <w:textAlignment w:val="auto"/>
        <w:outlineLvl w:val="2"/>
        <w:rPr>
          <w:rFonts w:hint="eastAsia" w:ascii="仿宋" w:hAnsi="仿宋" w:eastAsia="仿宋" w:cs="仿宋"/>
          <w:sz w:val="32"/>
          <w:szCs w:val="32"/>
          <w:highlight w:val="none"/>
          <w:lang w:eastAsia="zh-CN"/>
        </w:rPr>
      </w:pP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lang w:eastAsia="zh-CN"/>
        </w:rPr>
        <w:t>一般公共预算财政拨款支出决算具体情况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bookmarkStart w:id="18" w:name="_Toc30870"/>
      <w:bookmarkStart w:id="19" w:name="_Toc11146"/>
      <w:r>
        <w:rPr>
          <w:rFonts w:hint="eastAsia" w:ascii="仿宋_GB2312" w:hAnsi="仿宋_GB2312" w:eastAsia="仿宋_GB2312" w:cs="仿宋_GB2312"/>
          <w:color w:val="auto"/>
          <w:kern w:val="2"/>
          <w:sz w:val="32"/>
          <w:szCs w:val="32"/>
          <w:highlight w:val="none"/>
          <w:lang w:val="en-US" w:eastAsia="zh-CN" w:bidi="ar-SA"/>
        </w:rPr>
        <w:t>1.一般公共服务支出(类)市场监督管理事务(款)药品事务(项):支出决算数为325.81万元，比上年决算增加96.09万元，增长41.83%,主要原因是:2022年药品事务（2013812）实际发生229.72万元，2023年药品事务（2013812）项支出325.81万元，因疫情放开各项检查工作正常开展；另有调配人员，充实检查员队伍导致支出增加，此外无其他异常。</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2.一般公共服务支出(类)市场监督管理事务(款)事业运行(项):支出决算数为319.32万元，比上年决算增加40.81万元，增长14.65%,主要原因是:主要是人员工资基数的调整导致的增长。年中有人员增减、工资薪级、职级变动等情况发生，人员经费是按实际发生数列支，从而比上年增长14.65%。</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3.社会保障和就业支出(类)行政事业单位养老支出(款)事业单位离退休(项):支出决算数为6.52万元，比上年决算减少3.01万元，减少31.58%,主要原因是:该项下列支的主要是离退休人员的部分费用不从单位支出，导致该项费用比上年度减少异常，除此无其他特殊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4.社会保障和就业支出(类)行政事业单位养老支(款)机关事业单位基本养老保险缴费支出(项):支出决算38.85万元，比上年决算增加11.36万元，增加41.32%,主要原因是:我单位人员增减变动,导致2023年工资基数比2022年高，从而养老保险激纳基数增加，导致2023年度负担的养老保险费支出增加。</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5.社会保障和就业支出(类)行政事业单位养老支(款)机关事业单位职业年金缴费支出(项):支出决算数为4.31万元，比上年决算减少0.43万元，下降9.07%,主要原因是:审评查验中心人员调配导致，均为实际发生数，无其他异常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6.卫生健康支出(类)行政事业单位医疗(款)事业单位医疗(项):支出决算数为18.21万元，比上年决算增加3.34万元，增长22.46%,主要原因是:我单位人员增减变动,导致2023年工资基数比2022年高，从而医疗保险激纳基数增加，导致2023年度负担的医疗保险费支出增加。</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7.卫生健康支出(类)行政事业单位医疗(款)公务员医疗补助(项):支出决算数为16.99万元，比上年决算增加5.42万元，增加46.85%,主要原因是:我单位人员增减变动,导致2023年工资基数比2022年高，从而医疗保险激纳基数增加，因而2023年度负担的医疗保险费支出增加。</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8.住房保障支出(类)住房改革支出(款)住房公积金(项):支出决算数为29.13万元，比上年决算增加8.51万元，增加41.27%,主要原因是:我单位人员增减变动,导致2023年工资基数比2022年高，从而公积金缴纳基数增加，导致2023年度的公积金增加。</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630" w:leftChars="0"/>
        <w:jc w:val="left"/>
        <w:textAlignment w:val="auto"/>
        <w:outlineLvl w:val="1"/>
        <w:rPr>
          <w:rFonts w:hint="eastAsia" w:ascii="黑体" w:hAnsi="黑体" w:eastAsia="黑体" w:cs="黑体"/>
          <w:bCs/>
          <w:kern w:val="0"/>
          <w:sz w:val="32"/>
          <w:szCs w:val="32"/>
          <w:highlight w:val="none"/>
          <w:lang w:eastAsia="zh-CN"/>
        </w:rPr>
      </w:pPr>
      <w:r>
        <w:rPr>
          <w:rFonts w:hint="eastAsia" w:ascii="黑体" w:hAnsi="黑体" w:eastAsia="黑体" w:cs="黑体"/>
          <w:bCs/>
          <w:kern w:val="0"/>
          <w:sz w:val="32"/>
          <w:szCs w:val="32"/>
          <w:highlight w:val="none"/>
          <w:lang w:eastAsia="zh-CN"/>
        </w:rPr>
        <w:t>六、一般公共预算财政拨款基本支出决算情况说明</w:t>
      </w:r>
      <w:bookmarkEnd w:id="18"/>
      <w:bookmarkEnd w:id="19"/>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2023年度一般公共预算财政拨款基本支出433.33万元，其中：人员经费406.30万元，包括：基本工资、津贴补贴、奖金、绩效工资、机关事业单位基本养老保险缴费、职业年金缴费、职工基本医疗保险缴费、公务员医疗补助缴费、其他社会保障缴费、住房公积金、退休费、其他对个人和家庭的补助。</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公用经费27.03万元，包括：办公费、邮电费、差旅费、</w:t>
      </w:r>
      <w:r>
        <w:rPr>
          <w:rFonts w:hint="eastAsia" w:ascii="Times New Roman" w:hAnsi="Times New Roman" w:eastAsia="仿宋_GB2312" w:cs="Times New Roman"/>
          <w:color w:val="auto"/>
          <w:kern w:val="2"/>
          <w:sz w:val="32"/>
          <w:szCs w:val="32"/>
          <w:highlight w:val="none"/>
          <w:lang w:val="en-US" w:eastAsia="zh-CN" w:bidi="ar-SA"/>
        </w:rPr>
        <w:t>维修（护）费、工会经费、福利费、税金及附加费用。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黑体"/>
          <w:bCs/>
          <w:kern w:val="0"/>
          <w:sz w:val="32"/>
          <w:szCs w:val="32"/>
          <w:highlight w:val="none"/>
          <w:lang w:eastAsia="zh-CN"/>
        </w:rPr>
      </w:pPr>
      <w:bookmarkStart w:id="20" w:name="_Toc21518"/>
      <w:bookmarkStart w:id="21" w:name="_Toc7190"/>
      <w:r>
        <w:rPr>
          <w:rFonts w:hint="eastAsia" w:ascii="黑体" w:hAnsi="黑体" w:eastAsia="黑体" w:cs="黑体"/>
          <w:bCs/>
          <w:kern w:val="0"/>
          <w:sz w:val="32"/>
          <w:szCs w:val="32"/>
          <w:highlight w:val="none"/>
          <w:lang w:val="en-US" w:eastAsia="zh-CN"/>
        </w:rPr>
        <w:t>七、</w:t>
      </w:r>
      <w:r>
        <w:rPr>
          <w:rFonts w:hint="eastAsia" w:ascii="黑体" w:hAnsi="黑体" w:eastAsia="黑体" w:cs="黑体"/>
          <w:bCs/>
          <w:kern w:val="0"/>
          <w:sz w:val="32"/>
          <w:szCs w:val="32"/>
          <w:highlight w:val="none"/>
          <w:lang w:eastAsia="zh-CN"/>
        </w:rPr>
        <w:t>财政拨款</w:t>
      </w:r>
      <w:r>
        <w:rPr>
          <w:rFonts w:hint="eastAsia" w:ascii="黑体" w:hAnsi="黑体" w:eastAsia="黑体" w:cs="黑体"/>
          <w:bCs/>
          <w:kern w:val="0"/>
          <w:sz w:val="32"/>
          <w:szCs w:val="32"/>
          <w:highlight w:val="none"/>
        </w:rPr>
        <w:t>“三公”经费支出</w:t>
      </w:r>
      <w:r>
        <w:rPr>
          <w:rFonts w:hint="eastAsia" w:ascii="黑体" w:hAnsi="黑体" w:eastAsia="黑体" w:cs="黑体"/>
          <w:bCs/>
          <w:kern w:val="0"/>
          <w:sz w:val="32"/>
          <w:szCs w:val="32"/>
          <w:highlight w:val="none"/>
          <w:lang w:eastAsia="zh-CN"/>
        </w:rPr>
        <w:t>决算</w:t>
      </w:r>
      <w:r>
        <w:rPr>
          <w:rFonts w:hint="eastAsia" w:ascii="黑体" w:hAnsi="黑体" w:eastAsia="黑体" w:cs="黑体"/>
          <w:bCs/>
          <w:kern w:val="0"/>
          <w:sz w:val="32"/>
          <w:szCs w:val="32"/>
          <w:highlight w:val="none"/>
        </w:rPr>
        <w:t>情况</w:t>
      </w:r>
      <w:r>
        <w:rPr>
          <w:rFonts w:hint="eastAsia" w:ascii="黑体" w:hAnsi="黑体" w:eastAsia="黑体" w:cs="黑体"/>
          <w:bCs/>
          <w:kern w:val="0"/>
          <w:sz w:val="32"/>
          <w:szCs w:val="32"/>
          <w:highlight w:val="none"/>
          <w:lang w:eastAsia="zh-CN"/>
        </w:rPr>
        <w:t>说明</w:t>
      </w:r>
      <w:bookmarkEnd w:id="20"/>
      <w:bookmarkEnd w:id="21"/>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zh-CN" w:eastAsia="zh-CN" w:bidi="ar-SA"/>
        </w:rPr>
        <w:t>2023年度</w:t>
      </w:r>
      <w:r>
        <w:rPr>
          <w:rFonts w:hint="eastAsia" w:ascii="仿宋_GB2312" w:hAnsi="仿宋_GB2312" w:eastAsia="仿宋_GB2312" w:cs="仿宋_GB2312"/>
          <w:color w:val="auto"/>
          <w:kern w:val="2"/>
          <w:sz w:val="32"/>
          <w:szCs w:val="32"/>
          <w:highlight w:val="none"/>
          <w:lang w:val="en-US" w:eastAsia="zh-CN" w:bidi="ar-SA"/>
        </w:rPr>
        <w:t>财政拨款</w:t>
      </w:r>
      <w:r>
        <w:rPr>
          <w:rFonts w:hint="eastAsia" w:ascii="仿宋_GB2312" w:hAnsi="仿宋_GB2312" w:eastAsia="仿宋_GB2312" w:cs="仿宋_GB2312"/>
          <w:color w:val="auto"/>
          <w:kern w:val="2"/>
          <w:sz w:val="32"/>
          <w:szCs w:val="32"/>
          <w:highlight w:val="none"/>
          <w:lang w:val="zh-CN" w:eastAsia="zh-CN" w:bidi="ar-SA"/>
        </w:rPr>
        <w:t>“三公”经费支出9.00万元，</w:t>
      </w:r>
      <w:r>
        <w:rPr>
          <w:rFonts w:hint="eastAsia" w:ascii="仿宋_GB2312" w:hAnsi="仿宋_GB2312" w:eastAsia="仿宋_GB2312" w:cs="仿宋_GB2312"/>
          <w:color w:val="auto"/>
          <w:kern w:val="2"/>
          <w:sz w:val="32"/>
          <w:szCs w:val="32"/>
          <w:highlight w:val="none"/>
          <w:lang w:val="en-US" w:eastAsia="zh-CN" w:bidi="ar-SA"/>
        </w:rPr>
        <w:t>比上年</w:t>
      </w:r>
      <w:r>
        <w:rPr>
          <w:rFonts w:hint="eastAsia" w:ascii="仿宋_GB2312" w:hAnsi="仿宋_GB2312" w:eastAsia="仿宋_GB2312" w:cs="仿宋_GB2312"/>
          <w:color w:val="auto"/>
          <w:kern w:val="2"/>
          <w:sz w:val="32"/>
          <w:szCs w:val="32"/>
          <w:highlight w:val="none"/>
          <w:lang w:val="zh-CN" w:eastAsia="zh-CN" w:bidi="ar-SA"/>
        </w:rPr>
        <w:t>增加2.00万元，增长28.57%，主要原因是：车辆运行维护费较上年上涨。其中：因公出国（境）费支出0.00万元，占0.00%，</w:t>
      </w:r>
      <w:r>
        <w:rPr>
          <w:rFonts w:hint="eastAsia" w:ascii="仿宋_GB2312" w:hAnsi="仿宋_GB2312" w:eastAsia="仿宋_GB2312" w:cs="仿宋_GB2312"/>
          <w:b w:val="0"/>
          <w:bCs w:val="0"/>
          <w:sz w:val="32"/>
          <w:szCs w:val="32"/>
          <w:lang w:val="zh-CN" w:eastAsia="zh-CN"/>
        </w:rPr>
        <w:t>比上年增加0.00万元，</w:t>
      </w:r>
      <w:r>
        <w:rPr>
          <w:rFonts w:hint="eastAsia" w:ascii="仿宋_GB2312" w:hAnsi="仿宋_GB2312" w:eastAsia="仿宋_GB2312" w:cs="仿宋_GB2312"/>
          <w:b w:val="0"/>
          <w:bCs w:val="0"/>
          <w:sz w:val="32"/>
          <w:szCs w:val="32"/>
          <w:lang w:val="en-US" w:eastAsia="zh-CN"/>
        </w:rPr>
        <w:t>增长0.00%</w:t>
      </w:r>
      <w:r>
        <w:rPr>
          <w:rFonts w:hint="eastAsia" w:ascii="仿宋_GB2312" w:hAnsi="仿宋_GB2312" w:eastAsia="仿宋_GB2312" w:cs="仿宋_GB2312"/>
          <w:color w:val="auto"/>
          <w:kern w:val="2"/>
          <w:sz w:val="32"/>
          <w:szCs w:val="32"/>
          <w:highlight w:val="none"/>
          <w:lang w:val="zh-CN" w:eastAsia="zh-CN" w:bidi="ar-SA"/>
        </w:rPr>
        <w:t>，主要原因是：</w:t>
      </w:r>
      <w:r>
        <w:rPr>
          <w:rFonts w:hint="eastAsia" w:ascii="仿宋_GB2312" w:hAnsi="仿宋_GB2312" w:eastAsia="仿宋_GB2312" w:cs="仿宋_GB2312"/>
          <w:color w:val="auto"/>
          <w:kern w:val="2"/>
          <w:sz w:val="32"/>
          <w:szCs w:val="32"/>
          <w:highlight w:val="none"/>
          <w:lang w:val="en-US" w:eastAsia="zh-CN" w:bidi="ar-SA"/>
        </w:rPr>
        <w:t>单位无因公出国（境）费</w:t>
      </w:r>
      <w:r>
        <w:rPr>
          <w:rFonts w:hint="eastAsia" w:ascii="仿宋_GB2312" w:hAnsi="仿宋_GB2312" w:eastAsia="仿宋_GB2312" w:cs="仿宋_GB2312"/>
          <w:color w:val="auto"/>
          <w:kern w:val="2"/>
          <w:sz w:val="32"/>
          <w:szCs w:val="32"/>
          <w:highlight w:val="none"/>
          <w:lang w:val="zh-CN" w:eastAsia="zh-CN" w:bidi="ar-SA"/>
        </w:rPr>
        <w:t>；公务用车购置及运行维护费支出9.00万元，占100.00%，比上年增加2.00万元，增长28.57%，主要原因是：车辆老旧，</w:t>
      </w:r>
      <w:r>
        <w:rPr>
          <w:rFonts w:hint="eastAsia" w:ascii="仿宋_GB2312" w:hAnsi="仿宋_GB2312" w:eastAsia="仿宋_GB2312" w:cs="仿宋_GB2312"/>
          <w:color w:val="auto"/>
          <w:kern w:val="2"/>
          <w:sz w:val="32"/>
          <w:szCs w:val="32"/>
          <w:highlight w:val="none"/>
          <w:lang w:val="en-US" w:eastAsia="zh-CN" w:bidi="ar-SA"/>
        </w:rPr>
        <w:t>2023年车辆问题频发，</w:t>
      </w:r>
      <w:r>
        <w:rPr>
          <w:rFonts w:hint="eastAsia" w:ascii="仿宋_GB2312" w:hAnsi="仿宋_GB2312" w:eastAsia="仿宋_GB2312" w:cs="仿宋_GB2312"/>
          <w:color w:val="auto"/>
          <w:kern w:val="2"/>
          <w:sz w:val="32"/>
          <w:szCs w:val="32"/>
          <w:highlight w:val="none"/>
          <w:lang w:val="zh-CN" w:eastAsia="zh-CN" w:bidi="ar-SA"/>
        </w:rPr>
        <w:t>对车辆的维修维护支出增加；公务接待费支出0.00万元，占0.00%，比上年增加</w:t>
      </w:r>
      <w:r>
        <w:rPr>
          <w:rFonts w:hint="eastAsia" w:ascii="仿宋_GB2312" w:hAnsi="仿宋_GB2312" w:eastAsia="仿宋_GB2312" w:cs="仿宋_GB2312"/>
          <w:color w:val="auto"/>
          <w:kern w:val="2"/>
          <w:sz w:val="32"/>
          <w:szCs w:val="32"/>
          <w:highlight w:val="none"/>
          <w:lang w:val="en-US" w:eastAsia="zh-CN" w:bidi="ar-SA"/>
        </w:rPr>
        <w:t>0.00万元，增长0.00%</w:t>
      </w:r>
      <w:r>
        <w:rPr>
          <w:rFonts w:hint="eastAsia" w:ascii="仿宋_GB2312" w:hAnsi="仿宋_GB2312" w:eastAsia="仿宋_GB2312" w:cs="仿宋_GB2312"/>
          <w:color w:val="auto"/>
          <w:kern w:val="2"/>
          <w:sz w:val="32"/>
          <w:szCs w:val="32"/>
          <w:highlight w:val="none"/>
          <w:lang w:val="zh-CN" w:eastAsia="zh-CN" w:bidi="ar-SA"/>
        </w:rPr>
        <w:t>，主要原因是：单位无公务接待。</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zh-CN" w:eastAsia="zh-CN" w:bidi="ar-SA"/>
        </w:rPr>
        <w:t>具体情况如下：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zh-CN" w:eastAsia="zh-CN" w:bidi="ar-SA"/>
        </w:rPr>
        <w:t>因公出国（境）费支出0.00万元，开支内容包括单位无因公出国（境）。单位全年安排的因公出国（境）团组0个，因公出国（境）0人次。</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zh-CN" w:eastAsia="zh-CN" w:bidi="ar-SA"/>
        </w:rPr>
        <w:t>公务用车购置及运行维护费9.00万元，其中：公务用车购置费0.00万元，公务用车运行维护费9.00万元。公务用车运行维护费开支内容包括车辆保险费用、车辆燃油费用车辆维修费用、车辆过路过桥费用。公务用车购置数0辆，公务用车保有量1辆。国有资产占用情况</w:t>
      </w:r>
      <w:r>
        <w:rPr>
          <w:rFonts w:hint="eastAsia" w:ascii="仿宋_GB2312" w:hAnsi="仿宋_GB2312" w:eastAsia="仿宋_GB2312" w:cs="仿宋_GB2312"/>
          <w:color w:val="auto"/>
          <w:kern w:val="2"/>
          <w:sz w:val="32"/>
          <w:szCs w:val="32"/>
          <w:highlight w:val="none"/>
          <w:lang w:val="en-US" w:eastAsia="zh-CN" w:bidi="ar-SA"/>
        </w:rPr>
        <w:t>中固定资产车辆</w:t>
      </w:r>
      <w:r>
        <w:rPr>
          <w:rFonts w:hint="eastAsia" w:ascii="仿宋_GB2312" w:hAnsi="仿宋_GB2312" w:eastAsia="仿宋_GB2312" w:cs="仿宋_GB2312"/>
          <w:color w:val="auto"/>
          <w:kern w:val="2"/>
          <w:sz w:val="32"/>
          <w:szCs w:val="32"/>
          <w:highlight w:val="none"/>
          <w:lang w:val="zh-CN" w:eastAsia="zh-CN" w:bidi="ar-SA"/>
        </w:rPr>
        <w:t>1辆，</w:t>
      </w:r>
      <w:r>
        <w:rPr>
          <w:rFonts w:hint="eastAsia" w:ascii="仿宋_GB2312" w:hAnsi="仿宋_GB2312" w:eastAsia="仿宋_GB2312" w:cs="仿宋_GB2312"/>
          <w:color w:val="auto"/>
          <w:kern w:val="2"/>
          <w:sz w:val="32"/>
          <w:szCs w:val="32"/>
          <w:highlight w:val="none"/>
          <w:lang w:val="en-US" w:eastAsia="zh-CN" w:bidi="ar-SA"/>
        </w:rPr>
        <w:t>与</w:t>
      </w:r>
      <w:r>
        <w:rPr>
          <w:rFonts w:hint="eastAsia" w:ascii="仿宋_GB2312" w:hAnsi="仿宋_GB2312" w:eastAsia="仿宋_GB2312" w:cs="仿宋_GB2312"/>
          <w:color w:val="auto"/>
          <w:kern w:val="2"/>
          <w:sz w:val="32"/>
          <w:szCs w:val="32"/>
          <w:highlight w:val="none"/>
          <w:lang w:val="zh-CN" w:eastAsia="zh-CN" w:bidi="ar-SA"/>
        </w:rPr>
        <w:t>公务用车</w:t>
      </w:r>
      <w:r>
        <w:rPr>
          <w:rFonts w:hint="eastAsia" w:ascii="仿宋_GB2312" w:hAnsi="仿宋_GB2312" w:eastAsia="仿宋_GB2312" w:cs="仿宋_GB2312"/>
          <w:color w:val="auto"/>
          <w:kern w:val="2"/>
          <w:sz w:val="32"/>
          <w:szCs w:val="32"/>
          <w:highlight w:val="none"/>
          <w:lang w:val="en-US" w:eastAsia="zh-CN" w:bidi="ar-SA"/>
        </w:rPr>
        <w:t>保有量差异</w:t>
      </w:r>
      <w:r>
        <w:rPr>
          <w:rFonts w:hint="eastAsia" w:ascii="仿宋_GB2312" w:hAnsi="仿宋_GB2312" w:eastAsia="仿宋_GB2312" w:cs="仿宋_GB2312"/>
          <w:color w:val="auto"/>
          <w:kern w:val="2"/>
          <w:sz w:val="32"/>
          <w:szCs w:val="32"/>
          <w:highlight w:val="none"/>
          <w:lang w:val="zh-CN" w:eastAsia="zh-CN" w:bidi="ar-SA"/>
        </w:rPr>
        <w:t>原因是：无差异。</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zh-CN" w:eastAsia="zh-CN" w:bidi="ar-SA"/>
        </w:rPr>
        <w:t>公务接待费0.00万元，开支内容包括无公务接待。单位全年安排的国内公务接待0批次，0人次。</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zh-CN" w:eastAsia="zh-CN" w:bidi="ar-SA"/>
        </w:rPr>
        <w:t>与</w:t>
      </w:r>
      <w:r>
        <w:rPr>
          <w:rFonts w:hint="eastAsia" w:ascii="仿宋_GB2312" w:hAnsi="仿宋_GB2312" w:eastAsia="仿宋_GB2312" w:cs="仿宋_GB2312"/>
          <w:color w:val="auto"/>
          <w:kern w:val="2"/>
          <w:sz w:val="32"/>
          <w:szCs w:val="32"/>
          <w:highlight w:val="none"/>
          <w:lang w:val="en-US" w:eastAsia="zh-CN" w:bidi="ar-SA"/>
        </w:rPr>
        <w:t>全年</w:t>
      </w:r>
      <w:r>
        <w:rPr>
          <w:rFonts w:hint="eastAsia" w:ascii="仿宋_GB2312" w:hAnsi="仿宋_GB2312" w:eastAsia="仿宋_GB2312" w:cs="仿宋_GB2312"/>
          <w:color w:val="auto"/>
          <w:kern w:val="2"/>
          <w:sz w:val="32"/>
          <w:szCs w:val="32"/>
          <w:highlight w:val="none"/>
          <w:lang w:val="zh-CN" w:eastAsia="zh-CN" w:bidi="ar-SA"/>
        </w:rPr>
        <w:t>预算相比，财政拨款“三公”经费支出</w:t>
      </w:r>
      <w:r>
        <w:rPr>
          <w:rFonts w:hint="eastAsia" w:ascii="仿宋_GB2312" w:hAnsi="仿宋_GB2312" w:eastAsia="仿宋_GB2312" w:cs="仿宋_GB2312"/>
          <w:color w:val="auto"/>
          <w:kern w:val="2"/>
          <w:sz w:val="32"/>
          <w:szCs w:val="32"/>
          <w:highlight w:val="none"/>
          <w:lang w:val="en-US" w:eastAsia="zh-CN" w:bidi="ar-SA"/>
        </w:rPr>
        <w:t>全年</w:t>
      </w:r>
      <w:r>
        <w:rPr>
          <w:rFonts w:hint="eastAsia" w:ascii="仿宋_GB2312" w:hAnsi="仿宋_GB2312" w:eastAsia="仿宋_GB2312" w:cs="仿宋_GB2312"/>
          <w:color w:val="auto"/>
          <w:kern w:val="2"/>
          <w:sz w:val="32"/>
          <w:szCs w:val="32"/>
          <w:highlight w:val="none"/>
          <w:lang w:val="zh-CN" w:eastAsia="zh-CN" w:bidi="ar-SA"/>
        </w:rPr>
        <w:t>预算数9.00万元，决算数9.00万元，预决算差异率0.00%，主要原因是：我单位严格控制“三公”经费支出，无预算不安排支出所致。其中：因公出国（境）费</w:t>
      </w:r>
      <w:r>
        <w:rPr>
          <w:rFonts w:hint="eastAsia" w:ascii="仿宋_GB2312" w:hAnsi="仿宋_GB2312" w:eastAsia="仿宋_GB2312" w:cs="仿宋_GB2312"/>
          <w:color w:val="auto"/>
          <w:kern w:val="2"/>
          <w:sz w:val="32"/>
          <w:szCs w:val="32"/>
          <w:highlight w:val="none"/>
          <w:lang w:val="en-US" w:eastAsia="zh-CN" w:bidi="ar-SA"/>
        </w:rPr>
        <w:t>全年预算数</w:t>
      </w:r>
      <w:r>
        <w:rPr>
          <w:rFonts w:hint="eastAsia" w:ascii="仿宋_GB2312" w:hAnsi="仿宋_GB2312" w:eastAsia="仿宋_GB2312" w:cs="仿宋_GB2312"/>
          <w:color w:val="auto"/>
          <w:kern w:val="2"/>
          <w:sz w:val="32"/>
          <w:szCs w:val="32"/>
          <w:highlight w:val="none"/>
          <w:lang w:val="zh-CN" w:eastAsia="zh-CN" w:bidi="ar-SA"/>
        </w:rPr>
        <w:t>0.00万元，决算数0.00万元，预决算差异率0.00%，主要原因是：我单位无因公出国事项；公务用车购置费</w:t>
      </w:r>
      <w:r>
        <w:rPr>
          <w:rFonts w:hint="eastAsia" w:ascii="仿宋_GB2312" w:hAnsi="仿宋_GB2312" w:eastAsia="仿宋_GB2312" w:cs="仿宋_GB2312"/>
          <w:color w:val="auto"/>
          <w:kern w:val="2"/>
          <w:sz w:val="32"/>
          <w:szCs w:val="32"/>
          <w:highlight w:val="none"/>
          <w:lang w:val="en-US" w:eastAsia="zh-CN" w:bidi="ar-SA"/>
        </w:rPr>
        <w:t>全年</w:t>
      </w:r>
      <w:r>
        <w:rPr>
          <w:rFonts w:hint="eastAsia" w:ascii="仿宋_GB2312" w:hAnsi="仿宋_GB2312" w:eastAsia="仿宋_GB2312" w:cs="仿宋_GB2312"/>
          <w:color w:val="auto"/>
          <w:kern w:val="2"/>
          <w:sz w:val="32"/>
          <w:szCs w:val="32"/>
          <w:highlight w:val="none"/>
          <w:lang w:val="zh-CN" w:eastAsia="zh-CN" w:bidi="ar-SA"/>
        </w:rPr>
        <w:t>预算数</w:t>
      </w:r>
      <w:r>
        <w:rPr>
          <w:rFonts w:hint="eastAsia" w:ascii="仿宋_GB2312" w:hAnsi="仿宋_GB2312" w:eastAsia="仿宋_GB2312" w:cs="仿宋_GB2312"/>
          <w:color w:val="auto"/>
          <w:kern w:val="2"/>
          <w:sz w:val="32"/>
          <w:szCs w:val="32"/>
          <w:highlight w:val="none"/>
          <w:lang w:val="en-US" w:eastAsia="zh-CN" w:bidi="ar-SA"/>
        </w:rPr>
        <w:t>0</w:t>
      </w:r>
      <w:r>
        <w:rPr>
          <w:rFonts w:hint="eastAsia" w:ascii="仿宋_GB2312" w:hAnsi="仿宋_GB2312" w:eastAsia="仿宋_GB2312" w:cs="仿宋_GB2312"/>
          <w:color w:val="auto"/>
          <w:kern w:val="2"/>
          <w:sz w:val="32"/>
          <w:szCs w:val="32"/>
          <w:highlight w:val="none"/>
          <w:lang w:val="zh-CN" w:eastAsia="zh-CN" w:bidi="ar-SA"/>
        </w:rPr>
        <w:t>.00万元，决算数</w:t>
      </w:r>
      <w:r>
        <w:rPr>
          <w:rFonts w:hint="eastAsia" w:ascii="仿宋_GB2312" w:hAnsi="仿宋_GB2312" w:eastAsia="仿宋_GB2312" w:cs="仿宋_GB2312"/>
          <w:color w:val="auto"/>
          <w:kern w:val="2"/>
          <w:sz w:val="32"/>
          <w:szCs w:val="32"/>
          <w:highlight w:val="none"/>
          <w:lang w:val="en-US" w:eastAsia="zh-CN" w:bidi="ar-SA"/>
        </w:rPr>
        <w:t>0</w:t>
      </w:r>
      <w:r>
        <w:rPr>
          <w:rFonts w:hint="eastAsia" w:ascii="仿宋_GB2312" w:hAnsi="仿宋_GB2312" w:eastAsia="仿宋_GB2312" w:cs="仿宋_GB2312"/>
          <w:color w:val="auto"/>
          <w:kern w:val="2"/>
          <w:sz w:val="32"/>
          <w:szCs w:val="32"/>
          <w:highlight w:val="none"/>
          <w:lang w:val="zh-CN" w:eastAsia="zh-CN" w:bidi="ar-SA"/>
        </w:rPr>
        <w:t>.00万元，预决算差异率0.00%，主要原因是：我单位无公务用车购置行为；公务用车运行费</w:t>
      </w:r>
      <w:r>
        <w:rPr>
          <w:rFonts w:hint="eastAsia" w:ascii="仿宋_GB2312" w:hAnsi="仿宋_GB2312" w:eastAsia="仿宋_GB2312" w:cs="仿宋_GB2312"/>
          <w:color w:val="auto"/>
          <w:kern w:val="2"/>
          <w:sz w:val="32"/>
          <w:szCs w:val="32"/>
          <w:highlight w:val="none"/>
          <w:lang w:val="en-US" w:eastAsia="zh-CN" w:bidi="ar-SA"/>
        </w:rPr>
        <w:t>全年</w:t>
      </w:r>
      <w:r>
        <w:rPr>
          <w:rFonts w:hint="eastAsia" w:ascii="仿宋_GB2312" w:hAnsi="仿宋_GB2312" w:eastAsia="仿宋_GB2312" w:cs="仿宋_GB2312"/>
          <w:color w:val="auto"/>
          <w:kern w:val="2"/>
          <w:sz w:val="32"/>
          <w:szCs w:val="32"/>
          <w:highlight w:val="none"/>
          <w:lang w:val="zh-CN" w:eastAsia="zh-CN" w:bidi="ar-SA"/>
        </w:rPr>
        <w:t>预算数9.00万元，决算数9.00万元，预决算差异率0.00%，主要原因是：我单位严格控制“三公”经费支出，无预算不安排支出所致；公务接待费</w:t>
      </w:r>
      <w:r>
        <w:rPr>
          <w:rFonts w:hint="eastAsia" w:ascii="仿宋_GB2312" w:hAnsi="仿宋_GB2312" w:eastAsia="仿宋_GB2312" w:cs="仿宋_GB2312"/>
          <w:color w:val="auto"/>
          <w:kern w:val="2"/>
          <w:sz w:val="32"/>
          <w:szCs w:val="32"/>
          <w:highlight w:val="none"/>
          <w:lang w:val="en-US" w:eastAsia="zh-CN" w:bidi="ar-SA"/>
        </w:rPr>
        <w:t>全年</w:t>
      </w:r>
      <w:r>
        <w:rPr>
          <w:rFonts w:hint="eastAsia" w:ascii="仿宋_GB2312" w:hAnsi="仿宋_GB2312" w:eastAsia="仿宋_GB2312" w:cs="仿宋_GB2312"/>
          <w:color w:val="auto"/>
          <w:kern w:val="2"/>
          <w:sz w:val="32"/>
          <w:szCs w:val="32"/>
          <w:highlight w:val="none"/>
          <w:lang w:val="zh-CN" w:eastAsia="zh-CN" w:bidi="ar-SA"/>
        </w:rPr>
        <w:t>预算数0.00万元，决算数0.00万元，预决算差异率0.00%，主要原因是：我单位无公务接待活动。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黑体"/>
          <w:bCs/>
          <w:kern w:val="0"/>
          <w:sz w:val="32"/>
          <w:szCs w:val="32"/>
          <w:highlight w:val="none"/>
          <w:lang w:eastAsia="zh-CN"/>
        </w:rPr>
      </w:pPr>
      <w:bookmarkStart w:id="22" w:name="_Toc5810"/>
      <w:bookmarkStart w:id="23" w:name="_Toc7927"/>
      <w:r>
        <w:rPr>
          <w:rFonts w:hint="eastAsia" w:ascii="黑体" w:hAnsi="黑体" w:eastAsia="黑体" w:cs="黑体"/>
          <w:bCs/>
          <w:kern w:val="0"/>
          <w:sz w:val="32"/>
          <w:szCs w:val="32"/>
          <w:highlight w:val="none"/>
          <w:lang w:val="en-US" w:eastAsia="zh-CN"/>
        </w:rPr>
        <w:t>八</w:t>
      </w:r>
      <w:r>
        <w:rPr>
          <w:rFonts w:hint="eastAsia" w:ascii="黑体" w:hAnsi="黑体" w:eastAsia="黑体" w:cs="黑体"/>
          <w:bCs/>
          <w:kern w:val="0"/>
          <w:sz w:val="32"/>
          <w:szCs w:val="32"/>
          <w:highlight w:val="none"/>
          <w:lang w:eastAsia="zh-CN"/>
        </w:rPr>
        <w:t>、政府性基金预算财政拨款收入支出决算情况说明</w:t>
      </w:r>
      <w:bookmarkEnd w:id="22"/>
      <w:bookmarkEnd w:id="23"/>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我</w:t>
      </w:r>
      <w:r>
        <w:rPr>
          <w:rFonts w:hint="eastAsia" w:ascii="仿宋_GB2312" w:hAnsi="仿宋_GB2312" w:eastAsia="仿宋_GB2312" w:cs="仿宋_GB2312"/>
          <w:sz w:val="32"/>
          <w:szCs w:val="32"/>
          <w:highlight w:val="none"/>
          <w:lang w:val="en-US" w:eastAsia="zh-CN"/>
        </w:rPr>
        <w:t>单位</w:t>
      </w:r>
      <w:r>
        <w:rPr>
          <w:rFonts w:hint="eastAsia" w:ascii="仿宋_GB2312" w:hAnsi="仿宋_GB2312" w:eastAsia="仿宋_GB2312" w:cs="仿宋_GB2312"/>
          <w:sz w:val="32"/>
          <w:szCs w:val="32"/>
          <w:highlight w:val="none"/>
          <w:lang w:eastAsia="zh-CN"/>
        </w:rPr>
        <w:t>本年度无政府性基金预算财政拨款收入、支出</w:t>
      </w:r>
      <w:r>
        <w:rPr>
          <w:rFonts w:hint="eastAsia" w:ascii="仿宋_GB2312" w:hAnsi="仿宋_GB2312" w:eastAsia="仿宋_GB2312" w:cs="仿宋_GB2312"/>
          <w:sz w:val="32"/>
          <w:szCs w:val="32"/>
          <w:highlight w:val="none"/>
          <w:lang w:val="en-US" w:eastAsia="zh-CN"/>
        </w:rPr>
        <w:t>及结转和结余</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黑体"/>
          <w:bCs/>
          <w:kern w:val="0"/>
          <w:sz w:val="32"/>
          <w:szCs w:val="32"/>
          <w:highlight w:val="none"/>
          <w:lang w:eastAsia="zh-CN"/>
        </w:rPr>
      </w:pPr>
      <w:r>
        <w:rPr>
          <w:rFonts w:hint="eastAsia" w:ascii="黑体" w:hAnsi="黑体" w:eastAsia="黑体" w:cs="黑体"/>
          <w:bCs/>
          <w:kern w:val="0"/>
          <w:sz w:val="32"/>
          <w:szCs w:val="32"/>
          <w:highlight w:val="none"/>
          <w:lang w:val="en-US" w:eastAsia="zh-CN"/>
        </w:rPr>
        <w:t>九</w:t>
      </w:r>
      <w:r>
        <w:rPr>
          <w:rFonts w:hint="eastAsia" w:ascii="黑体" w:hAnsi="黑体" w:eastAsia="黑体" w:cs="黑体"/>
          <w:bCs/>
          <w:kern w:val="0"/>
          <w:sz w:val="32"/>
          <w:szCs w:val="32"/>
          <w:highlight w:val="none"/>
          <w:lang w:eastAsia="zh-CN"/>
        </w:rPr>
        <w:t>、国有资本经营预算财政拨款收入支出决算情况说明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我</w:t>
      </w:r>
      <w:r>
        <w:rPr>
          <w:rFonts w:hint="eastAsia" w:ascii="仿宋_GB2312" w:hAnsi="仿宋_GB2312" w:eastAsia="仿宋_GB2312" w:cs="仿宋_GB2312"/>
          <w:sz w:val="32"/>
          <w:szCs w:val="32"/>
          <w:highlight w:val="none"/>
          <w:lang w:val="en-US" w:eastAsia="zh-CN"/>
        </w:rPr>
        <w:t>单位</w:t>
      </w:r>
      <w:r>
        <w:rPr>
          <w:rFonts w:hint="eastAsia" w:ascii="仿宋_GB2312" w:hAnsi="仿宋_GB2312" w:eastAsia="仿宋_GB2312" w:cs="仿宋_GB2312"/>
          <w:sz w:val="32"/>
          <w:szCs w:val="32"/>
          <w:highlight w:val="none"/>
          <w:lang w:eastAsia="zh-CN"/>
        </w:rPr>
        <w:t>本年度无国有资本经营预算财政拨款收入、支出</w:t>
      </w:r>
      <w:r>
        <w:rPr>
          <w:rFonts w:hint="eastAsia" w:ascii="仿宋_GB2312" w:hAnsi="仿宋_GB2312" w:eastAsia="仿宋_GB2312" w:cs="仿宋_GB2312"/>
          <w:sz w:val="32"/>
          <w:szCs w:val="32"/>
          <w:highlight w:val="none"/>
          <w:lang w:val="en-US" w:eastAsia="zh-CN"/>
        </w:rPr>
        <w:t>及结转和结余</w:t>
      </w:r>
      <w:r>
        <w:rPr>
          <w:rFonts w:hint="eastAsia" w:ascii="仿宋_GB2312" w:hAnsi="仿宋_GB2312" w:eastAsia="仿宋_GB2312" w:cs="仿宋_GB2312"/>
          <w:sz w:val="32"/>
          <w:szCs w:val="32"/>
          <w:highlight w:val="none"/>
          <w:lang w:eastAsia="zh-CN"/>
        </w:rPr>
        <w:t>，国有资本经营</w:t>
      </w:r>
      <w:r>
        <w:rPr>
          <w:rFonts w:hint="eastAsia" w:ascii="仿宋_GB2312" w:hAnsi="仿宋_GB2312" w:eastAsia="仿宋_GB2312" w:cs="仿宋_GB2312"/>
          <w:sz w:val="32"/>
          <w:szCs w:val="32"/>
          <w:highlight w:val="none"/>
        </w:rPr>
        <w:t>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黑体"/>
          <w:bCs/>
          <w:kern w:val="0"/>
          <w:sz w:val="32"/>
          <w:szCs w:val="32"/>
          <w:highlight w:val="none"/>
          <w:lang w:eastAsia="zh-CN"/>
        </w:rPr>
      </w:pPr>
      <w:bookmarkStart w:id="24" w:name="_Toc1235"/>
      <w:bookmarkStart w:id="25" w:name="_Toc7314"/>
      <w:r>
        <w:rPr>
          <w:rFonts w:hint="eastAsia" w:ascii="黑体" w:hAnsi="黑体" w:eastAsia="黑体" w:cs="黑体"/>
          <w:bCs/>
          <w:kern w:val="0"/>
          <w:sz w:val="32"/>
          <w:szCs w:val="32"/>
          <w:highlight w:val="none"/>
          <w:lang w:eastAsia="zh-CN"/>
        </w:rPr>
        <w:t>十</w:t>
      </w:r>
      <w:r>
        <w:rPr>
          <w:rFonts w:hint="eastAsia" w:ascii="黑体" w:hAnsi="黑体" w:eastAsia="黑体" w:cs="黑体"/>
          <w:bCs/>
          <w:kern w:val="0"/>
          <w:sz w:val="32"/>
          <w:szCs w:val="32"/>
          <w:highlight w:val="none"/>
        </w:rPr>
        <w:t>、其他重要事项的情况</w:t>
      </w:r>
      <w:r>
        <w:rPr>
          <w:rFonts w:hint="eastAsia" w:ascii="黑体" w:hAnsi="黑体" w:eastAsia="黑体" w:cs="黑体"/>
          <w:bCs/>
          <w:kern w:val="0"/>
          <w:sz w:val="32"/>
          <w:szCs w:val="32"/>
          <w:highlight w:val="none"/>
          <w:lang w:eastAsia="zh-CN"/>
        </w:rPr>
        <w:t>说明</w:t>
      </w:r>
      <w:bookmarkEnd w:id="24"/>
      <w:bookmarkEnd w:id="2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s="黑体"/>
          <w:sz w:val="32"/>
          <w:szCs w:val="32"/>
          <w:highlight w:val="none"/>
        </w:rPr>
      </w:pPr>
      <w:bookmarkStart w:id="26" w:name="_Toc13105"/>
      <w:bookmarkStart w:id="27" w:name="_Toc14519"/>
      <w:r>
        <w:rPr>
          <w:rFonts w:hint="eastAsia" w:ascii="黑体" w:hAnsi="黑体" w:eastAsia="黑体" w:cs="黑体"/>
          <w:sz w:val="32"/>
          <w:szCs w:val="32"/>
          <w:highlight w:val="none"/>
          <w:lang w:eastAsia="zh-CN"/>
        </w:rPr>
        <w:t>（一）</w:t>
      </w:r>
      <w:r>
        <w:rPr>
          <w:rFonts w:hint="eastAsia" w:ascii="黑体" w:hAnsi="黑体" w:eastAsia="黑体" w:cs="黑体"/>
          <w:sz w:val="32"/>
          <w:szCs w:val="32"/>
          <w:highlight w:val="none"/>
        </w:rPr>
        <w:t>机关运行经费支出情况</w:t>
      </w:r>
      <w:bookmarkEnd w:id="26"/>
      <w:bookmarkEnd w:id="27"/>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zh-CN" w:eastAsia="zh-CN" w:bidi="ar-SA"/>
        </w:rPr>
        <w:t>2023年度</w:t>
      </w:r>
      <w:r>
        <w:rPr>
          <w:rFonts w:hint="eastAsia" w:ascii="仿宋_GB2312" w:hAnsi="仿宋_GB2312" w:eastAsia="仿宋_GB2312" w:cs="仿宋_GB2312"/>
          <w:color w:val="auto"/>
          <w:kern w:val="2"/>
          <w:sz w:val="32"/>
          <w:szCs w:val="32"/>
          <w:highlight w:val="none"/>
          <w:lang w:val="en-US" w:eastAsia="zh-CN" w:bidi="ar-SA"/>
        </w:rPr>
        <w:t>新疆维吾尔自治区药品审评查验中心（新疆维吾尔自治区疫苗检查中心）</w:t>
      </w:r>
      <w:r>
        <w:rPr>
          <w:rFonts w:hint="eastAsia" w:ascii="仿宋_GB2312" w:hAnsi="仿宋_GB2312" w:eastAsia="仿宋_GB2312" w:cs="仿宋_GB2312"/>
          <w:color w:val="auto"/>
          <w:kern w:val="2"/>
          <w:sz w:val="32"/>
          <w:szCs w:val="32"/>
          <w:highlight w:val="none"/>
          <w:lang w:val="zh-CN" w:eastAsia="zh-CN" w:bidi="ar-SA"/>
        </w:rPr>
        <w:t>（事业单位）公用经费支出</w:t>
      </w:r>
      <w:r>
        <w:rPr>
          <w:rFonts w:hint="eastAsia" w:ascii="仿宋_GB2312" w:hAnsi="仿宋_GB2312" w:eastAsia="仿宋_GB2312" w:cs="仿宋_GB2312"/>
          <w:color w:val="auto"/>
          <w:kern w:val="2"/>
          <w:sz w:val="32"/>
          <w:szCs w:val="32"/>
          <w:highlight w:val="none"/>
          <w:lang w:val="en-US" w:eastAsia="zh-CN" w:bidi="ar-SA"/>
        </w:rPr>
        <w:t>27.03</w:t>
      </w:r>
      <w:r>
        <w:rPr>
          <w:rFonts w:hint="eastAsia" w:ascii="仿宋_GB2312" w:hAnsi="仿宋_GB2312" w:eastAsia="仿宋_GB2312" w:cs="仿宋_GB2312"/>
          <w:color w:val="auto"/>
          <w:kern w:val="2"/>
          <w:sz w:val="32"/>
          <w:szCs w:val="32"/>
          <w:highlight w:val="none"/>
          <w:lang w:val="zh-CN" w:eastAsia="zh-CN" w:bidi="ar-SA"/>
        </w:rPr>
        <w:t>万元，比上年增加</w:t>
      </w:r>
      <w:r>
        <w:rPr>
          <w:rFonts w:hint="eastAsia" w:ascii="仿宋_GB2312" w:hAnsi="仿宋_GB2312" w:eastAsia="仿宋_GB2312" w:cs="仿宋_GB2312"/>
          <w:color w:val="auto"/>
          <w:kern w:val="2"/>
          <w:sz w:val="32"/>
          <w:szCs w:val="32"/>
          <w:highlight w:val="none"/>
          <w:lang w:val="en-US" w:eastAsia="zh-CN" w:bidi="ar-SA"/>
        </w:rPr>
        <w:t>7.45万元，增长38.05%</w:t>
      </w:r>
      <w:r>
        <w:rPr>
          <w:rFonts w:hint="eastAsia" w:ascii="仿宋_GB2312" w:hAnsi="仿宋_GB2312" w:eastAsia="仿宋_GB2312" w:cs="仿宋_GB2312"/>
          <w:color w:val="auto"/>
          <w:kern w:val="2"/>
          <w:sz w:val="32"/>
          <w:szCs w:val="32"/>
          <w:highlight w:val="none"/>
          <w:lang w:val="zh-CN" w:eastAsia="zh-CN" w:bidi="ar-SA"/>
        </w:rPr>
        <w:t>，主要原因是：</w:t>
      </w:r>
      <w:r>
        <w:rPr>
          <w:rFonts w:hint="eastAsia" w:ascii="仿宋_GB2312" w:hAnsi="仿宋_GB2312" w:eastAsia="仿宋_GB2312" w:cs="仿宋_GB2312"/>
          <w:color w:val="auto"/>
          <w:kern w:val="2"/>
          <w:sz w:val="32"/>
          <w:szCs w:val="32"/>
          <w:highlight w:val="none"/>
          <w:lang w:val="en-US" w:eastAsia="zh-CN" w:bidi="ar-SA"/>
        </w:rPr>
        <w:t>因疫情放开各项检查工作正常开展；另有调配人员，充实检</w:t>
      </w:r>
      <w:r>
        <w:rPr>
          <w:rFonts w:hint="eastAsia" w:ascii="Times New Roman" w:hAnsi="Times New Roman" w:eastAsia="仿宋_GB2312" w:cs="Times New Roman"/>
          <w:color w:val="auto"/>
          <w:kern w:val="2"/>
          <w:sz w:val="32"/>
          <w:szCs w:val="32"/>
          <w:highlight w:val="none"/>
          <w:lang w:val="en-US" w:eastAsia="zh-CN" w:bidi="ar-SA"/>
        </w:rPr>
        <w:t>查员队伍导致支出增加，</w:t>
      </w:r>
      <w:r>
        <w:rPr>
          <w:rFonts w:hint="eastAsia" w:ascii="Times New Roman" w:hAnsi="Times New Roman" w:eastAsia="仿宋_GB2312" w:cs="Times New Roman"/>
          <w:color w:val="auto"/>
          <w:kern w:val="2"/>
          <w:sz w:val="32"/>
          <w:szCs w:val="32"/>
          <w:highlight w:val="none"/>
          <w:lang w:val="zh-CN" w:eastAsia="zh-CN" w:bidi="ar-SA"/>
        </w:rPr>
        <w:t>此外无其他异常。</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s="黑体"/>
          <w:sz w:val="32"/>
          <w:szCs w:val="32"/>
          <w:highlight w:val="none"/>
          <w:lang w:eastAsia="zh-CN"/>
        </w:rPr>
      </w:pPr>
      <w:bookmarkStart w:id="28" w:name="_Toc26704"/>
      <w:bookmarkStart w:id="29" w:name="_Toc227"/>
      <w:r>
        <w:rPr>
          <w:rFonts w:hint="eastAsia" w:ascii="黑体" w:hAnsi="黑体" w:eastAsia="黑体" w:cs="黑体"/>
          <w:sz w:val="32"/>
          <w:szCs w:val="32"/>
          <w:highlight w:val="none"/>
          <w:lang w:eastAsia="zh-CN"/>
        </w:rPr>
        <w:t>（二）政府采购情况</w:t>
      </w:r>
      <w:bookmarkEnd w:id="28"/>
      <w:bookmarkEnd w:id="29"/>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zh-CN" w:eastAsia="zh-CN" w:bidi="ar-SA"/>
        </w:rPr>
        <w:t>2023年度政府采购支出总额132.57万元，其中：政府采购货物支出127.98万元、政府采购工程支出0.00万元、政府采购服务支出4.59万元。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zh-CN" w:eastAsia="zh-CN" w:bidi="ar-SA"/>
        </w:rPr>
        <w:t>授予中小企业合同金额132.57万元，占政府采购支出总额的100.00%，其中：授予小微企业合同金额130.57万元，占政府采购支出总额的98.49%</w:t>
      </w:r>
      <w:r>
        <w:rPr>
          <w:rFonts w:hint="eastAsia" w:ascii="仿宋_GB2312" w:hAnsi="仿宋_GB2312" w:eastAsia="仿宋_GB2312" w:cs="仿宋_GB2312"/>
          <w:color w:val="auto"/>
          <w:kern w:val="2"/>
          <w:sz w:val="32"/>
          <w:szCs w:val="32"/>
          <w:highlight w:val="none"/>
          <w:lang w:val="en-US"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黑体" w:hAnsi="黑体" w:eastAsia="黑体" w:cs="黑体"/>
          <w:b w:val="0"/>
          <w:bCs w:val="0"/>
          <w:sz w:val="32"/>
          <w:szCs w:val="32"/>
          <w:highlight w:val="none"/>
          <w:lang w:val="zh-CN" w:eastAsia="zh-CN"/>
        </w:rPr>
      </w:pPr>
      <w:bookmarkStart w:id="30" w:name="_Toc4591"/>
      <w:bookmarkStart w:id="31" w:name="_Toc8391"/>
      <w:r>
        <w:rPr>
          <w:rFonts w:hint="eastAsia" w:ascii="黑体" w:hAnsi="黑体" w:eastAsia="黑体" w:cs="黑体"/>
          <w:b w:val="0"/>
          <w:bCs w:val="0"/>
          <w:sz w:val="32"/>
          <w:szCs w:val="32"/>
          <w:highlight w:val="none"/>
          <w:lang w:val="zh-CN" w:eastAsia="zh-CN"/>
        </w:rPr>
        <w:t>（三）国有资产占用情况说明</w:t>
      </w:r>
      <w:bookmarkEnd w:id="30"/>
      <w:bookmarkEnd w:id="31"/>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截至2023</w:t>
      </w:r>
      <w:r>
        <w:rPr>
          <w:rFonts w:hint="eastAsia" w:ascii="仿宋_GB2312" w:hAnsi="仿宋_GB2312" w:eastAsia="仿宋_GB2312" w:cs="仿宋_GB2312"/>
          <w:color w:val="auto"/>
          <w:kern w:val="2"/>
          <w:sz w:val="32"/>
          <w:szCs w:val="32"/>
          <w:highlight w:val="none"/>
          <w:lang w:val="zh-CN" w:eastAsia="zh-CN" w:bidi="ar-SA"/>
        </w:rPr>
        <w:t>年</w:t>
      </w:r>
      <w:r>
        <w:rPr>
          <w:rFonts w:hint="eastAsia" w:ascii="仿宋_GB2312" w:hAnsi="仿宋_GB2312" w:eastAsia="仿宋_GB2312" w:cs="仿宋_GB2312"/>
          <w:color w:val="auto"/>
          <w:kern w:val="2"/>
          <w:sz w:val="32"/>
          <w:szCs w:val="32"/>
          <w:highlight w:val="none"/>
          <w:lang w:val="en-US" w:eastAsia="zh-CN" w:bidi="ar-SA"/>
        </w:rPr>
        <w:t>12月31日</w:t>
      </w:r>
      <w:r>
        <w:rPr>
          <w:rFonts w:hint="eastAsia" w:ascii="仿宋_GB2312" w:hAnsi="仿宋_GB2312" w:eastAsia="仿宋_GB2312" w:cs="仿宋_GB2312"/>
          <w:color w:val="auto"/>
          <w:kern w:val="2"/>
          <w:sz w:val="32"/>
          <w:szCs w:val="32"/>
          <w:highlight w:val="none"/>
          <w:lang w:val="zh-CN" w:eastAsia="zh-CN" w:bidi="ar-SA"/>
        </w:rPr>
        <w:t>，</w:t>
      </w:r>
      <w:r>
        <w:rPr>
          <w:rFonts w:hint="eastAsia" w:ascii="仿宋_GB2312" w:hAnsi="仿宋_GB2312" w:eastAsia="仿宋_GB2312" w:cs="仿宋_GB2312"/>
          <w:color w:val="auto"/>
          <w:kern w:val="2"/>
          <w:sz w:val="32"/>
          <w:szCs w:val="32"/>
          <w:highlight w:val="none"/>
          <w:lang w:val="en-US" w:eastAsia="zh-CN" w:bidi="ar-SA"/>
        </w:rPr>
        <w:t>固定资产原值</w:t>
      </w:r>
      <w:r>
        <w:rPr>
          <w:rFonts w:hint="eastAsia" w:ascii="仿宋_GB2312" w:hAnsi="仿宋_GB2312" w:eastAsia="仿宋_GB2312" w:cs="仿宋_GB2312"/>
          <w:color w:val="auto"/>
          <w:kern w:val="2"/>
          <w:sz w:val="32"/>
          <w:szCs w:val="32"/>
          <w:highlight w:val="none"/>
          <w:lang w:val="zh-CN" w:eastAsia="zh-CN" w:bidi="ar-SA"/>
        </w:rPr>
        <w:t>323.57</w:t>
      </w:r>
      <w:r>
        <w:rPr>
          <w:rFonts w:hint="eastAsia" w:ascii="仿宋_GB2312" w:hAnsi="仿宋_GB2312" w:eastAsia="仿宋_GB2312" w:cs="仿宋_GB2312"/>
          <w:color w:val="auto"/>
          <w:kern w:val="2"/>
          <w:sz w:val="32"/>
          <w:szCs w:val="32"/>
          <w:highlight w:val="none"/>
          <w:lang w:val="en-US" w:eastAsia="zh-CN" w:bidi="ar-SA"/>
        </w:rPr>
        <w:t>万元，房</w:t>
      </w:r>
      <w:r>
        <w:rPr>
          <w:rFonts w:hint="eastAsia" w:ascii="仿宋_GB2312" w:hAnsi="仿宋_GB2312" w:eastAsia="仿宋_GB2312" w:cs="仿宋_GB2312"/>
          <w:color w:val="auto"/>
          <w:kern w:val="2"/>
          <w:sz w:val="32"/>
          <w:szCs w:val="32"/>
          <w:highlight w:val="none"/>
          <w:lang w:val="zh-CN" w:eastAsia="zh-CN" w:bidi="ar-SA"/>
        </w:rPr>
        <w:t>屋0.0平方米，价值0.00万元。车辆1辆，价值25.29万元，其中：副部（省）级及以上领导用车0辆、主要</w:t>
      </w:r>
      <w:r>
        <w:rPr>
          <w:rFonts w:hint="eastAsia" w:ascii="仿宋_GB2312" w:hAnsi="仿宋_GB2312" w:eastAsia="仿宋_GB2312" w:cs="仿宋_GB2312"/>
          <w:color w:val="auto"/>
          <w:kern w:val="2"/>
          <w:sz w:val="32"/>
          <w:szCs w:val="32"/>
          <w:highlight w:val="none"/>
          <w:lang w:val="en-US" w:eastAsia="zh-CN" w:bidi="ar-SA"/>
        </w:rPr>
        <w:t>负责人</w:t>
      </w:r>
      <w:r>
        <w:rPr>
          <w:rFonts w:hint="eastAsia" w:ascii="仿宋_GB2312" w:hAnsi="仿宋_GB2312" w:eastAsia="仿宋_GB2312" w:cs="仿宋_GB2312"/>
          <w:color w:val="auto"/>
          <w:kern w:val="2"/>
          <w:sz w:val="32"/>
          <w:szCs w:val="32"/>
          <w:highlight w:val="none"/>
          <w:lang w:val="zh-CN" w:eastAsia="zh-CN" w:bidi="ar-SA"/>
        </w:rPr>
        <w:t>用车0辆、机要通信用车0辆、应急保障用车0辆、执法执勤用车0辆、特种专业技术用车0辆、离退休干部</w:t>
      </w:r>
      <w:r>
        <w:rPr>
          <w:rFonts w:hint="eastAsia" w:ascii="仿宋_GB2312" w:hAnsi="仿宋_GB2312" w:eastAsia="仿宋_GB2312" w:cs="仿宋_GB2312"/>
          <w:color w:val="auto"/>
          <w:kern w:val="2"/>
          <w:sz w:val="32"/>
          <w:szCs w:val="32"/>
          <w:highlight w:val="none"/>
          <w:lang w:val="en-US" w:eastAsia="zh-CN" w:bidi="ar-SA"/>
        </w:rPr>
        <w:t>服务</w:t>
      </w:r>
      <w:r>
        <w:rPr>
          <w:rFonts w:hint="eastAsia" w:ascii="仿宋_GB2312" w:hAnsi="仿宋_GB2312" w:eastAsia="仿宋_GB2312" w:cs="仿宋_GB2312"/>
          <w:color w:val="auto"/>
          <w:kern w:val="2"/>
          <w:sz w:val="32"/>
          <w:szCs w:val="32"/>
          <w:highlight w:val="none"/>
          <w:lang w:val="zh-CN" w:eastAsia="zh-CN" w:bidi="ar-SA"/>
        </w:rPr>
        <w:t>用车0辆、其他用车1辆，其他用车主要是：事业单位一般公务用车；单价100万元（含）以上设备（不含车辆）0</w:t>
      </w:r>
      <w:r>
        <w:rPr>
          <w:rFonts w:hint="eastAsia" w:ascii="仿宋_GB2312" w:hAnsi="仿宋_GB2312" w:eastAsia="仿宋_GB2312" w:cs="仿宋_GB2312"/>
          <w:color w:val="auto"/>
          <w:kern w:val="2"/>
          <w:sz w:val="32"/>
          <w:szCs w:val="32"/>
          <w:highlight w:val="none"/>
          <w:lang w:val="en-US" w:eastAsia="zh-CN" w:bidi="ar-SA"/>
        </w:rPr>
        <w:t>台（</w:t>
      </w:r>
      <w:r>
        <w:rPr>
          <w:rFonts w:hint="eastAsia" w:ascii="仿宋_GB2312" w:hAnsi="仿宋_GB2312" w:eastAsia="仿宋_GB2312" w:cs="仿宋_GB2312"/>
          <w:color w:val="auto"/>
          <w:kern w:val="2"/>
          <w:sz w:val="32"/>
          <w:szCs w:val="32"/>
          <w:highlight w:val="none"/>
          <w:lang w:val="zh-CN" w:eastAsia="zh-CN" w:bidi="ar-SA"/>
        </w:rPr>
        <w:t>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黑体"/>
          <w:bCs/>
          <w:kern w:val="0"/>
          <w:sz w:val="32"/>
          <w:szCs w:val="32"/>
          <w:highlight w:val="none"/>
          <w:lang w:eastAsia="zh-CN"/>
        </w:rPr>
      </w:pPr>
      <w:bookmarkStart w:id="32" w:name="_Toc435"/>
      <w:bookmarkStart w:id="33" w:name="_Toc11283"/>
      <w:r>
        <w:rPr>
          <w:rFonts w:hint="eastAsia" w:ascii="黑体" w:hAnsi="黑体" w:eastAsia="黑体" w:cs="黑体"/>
          <w:bCs/>
          <w:kern w:val="0"/>
          <w:sz w:val="32"/>
          <w:szCs w:val="32"/>
          <w:highlight w:val="none"/>
          <w:lang w:eastAsia="zh-CN"/>
        </w:rPr>
        <w:t>十</w:t>
      </w:r>
      <w:r>
        <w:rPr>
          <w:rFonts w:hint="eastAsia" w:ascii="黑体" w:hAnsi="黑体" w:eastAsia="黑体" w:cs="黑体"/>
          <w:bCs/>
          <w:kern w:val="0"/>
          <w:sz w:val="32"/>
          <w:szCs w:val="32"/>
          <w:highlight w:val="none"/>
          <w:lang w:val="en-US" w:eastAsia="zh-CN"/>
        </w:rPr>
        <w:t>一</w:t>
      </w:r>
      <w:r>
        <w:rPr>
          <w:rFonts w:hint="eastAsia" w:ascii="黑体" w:hAnsi="黑体" w:eastAsia="黑体" w:cs="黑体"/>
          <w:bCs/>
          <w:kern w:val="0"/>
          <w:sz w:val="32"/>
          <w:szCs w:val="32"/>
          <w:highlight w:val="none"/>
          <w:lang w:eastAsia="zh-CN"/>
        </w:rPr>
        <w:t>、预算绩效的情况说明</w:t>
      </w:r>
      <w:bookmarkEnd w:id="32"/>
      <w:bookmarkEnd w:id="33"/>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根据预算绩效管理要求，预算绩效评价项目1个，全年预算数100万元，全年执行数100万元。预算绩效管理取得的成效：在切实履行药品审评检查职责的过程中，践行科学理念，找准定位，切实把公众健康和饮食用药安全作为出发点、落脚点，确保药品检查的公正性和有效性。年中凡是申请至我单位的企业均在视线内完成，案件超时率为0，行政相对人满意度≥92%，廉政监督覆盖率为100%，自评结果：优秀。发现的问题及原因：2017年4月，中心按自治区财政厅 发改委《关于转发&lt;财政部 国家发展改革委关于清理规范一批行政事业性收费有关政策的通知&gt;》（新财非税〔2017〕4号）规定，停止收取GMP、GSP认证费用，但相关认证检查工作依然正常开展。自</w:t>
      </w:r>
      <w:r>
        <w:rPr>
          <w:rFonts w:hint="eastAsia" w:ascii="仿宋_GB2312" w:hAnsi="仿宋_GB2312" w:eastAsia="仿宋_GB2312" w:cs="仿宋_GB2312"/>
          <w:color w:val="auto"/>
          <w:kern w:val="2"/>
          <w:sz w:val="32"/>
          <w:szCs w:val="32"/>
          <w:highlight w:val="none"/>
          <w:lang w:val="zh-CN" w:eastAsia="zh-CN" w:bidi="ar-SA"/>
        </w:rPr>
        <w:t>2017年6</w:t>
      </w:r>
      <w:r>
        <w:rPr>
          <w:rFonts w:hint="eastAsia" w:ascii="仿宋_GB2312" w:hAnsi="仿宋_GB2312" w:eastAsia="仿宋_GB2312" w:cs="仿宋_GB2312"/>
          <w:color w:val="auto"/>
          <w:kern w:val="2"/>
          <w:sz w:val="32"/>
          <w:szCs w:val="32"/>
          <w:highlight w:val="none"/>
          <w:lang w:val="en-US" w:eastAsia="zh-CN" w:bidi="ar-SA"/>
        </w:rPr>
        <w:t>月起，中心又承接了自治区局药品、化妆品生产许可和药品经营许可等现场检查职能，中心业务工作量骤增，应编办通知减编2名，现有在编人员已无法满足实际工作需求，为使工作能够正常开展，需长期从社会面招聘相关人员，相应的经费保障成为困难。中心的主要工作内容由工作性质决定，即进行现场检查、核查，工作小组一般由3-4人组成，范围涉及全疆各地州县，包含乌鲁木齐本部，项目目标任务的完成依托于各类检查工作，因此差旅费成为项目第一大开支，依靠自治区本级拨付的资金完成工作目标是非常困难的，为保证中心工作能够正常开展，确保任务目标顺利完成，不足部分已使用中央补助资金。下一步改进措施：拟进一步深化药品医疗器械改革</w:t>
      </w:r>
      <w:r>
        <w:rPr>
          <w:rFonts w:hint="eastAsia" w:ascii="Times New Roman" w:hAnsi="Times New Roman" w:eastAsia="仿宋_GB2312" w:cs="Times New Roman"/>
          <w:color w:val="auto"/>
          <w:kern w:val="2"/>
          <w:sz w:val="32"/>
          <w:szCs w:val="32"/>
          <w:highlight w:val="none"/>
          <w:lang w:val="en-US" w:eastAsia="zh-CN" w:bidi="ar-SA"/>
        </w:rPr>
        <w:t>，积极推动“证照分离”和事权下放工作，完善注册管理信息化建设，对已建设的行政审批、日常监督检查、投诉举报处理、中药制剂备案、数据管理和分析平台等系统进行升级完善。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具体项目自评情况见附件。</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黑体" w:hAnsi="黑体" w:eastAsia="黑体" w:cs="黑体"/>
          <w:bCs/>
          <w:kern w:val="0"/>
          <w:sz w:val="32"/>
          <w:szCs w:val="32"/>
          <w:highlight w:val="none"/>
          <w:lang w:eastAsia="zh-CN"/>
        </w:rPr>
      </w:pPr>
      <w:r>
        <w:rPr>
          <w:rFonts w:hint="eastAsia" w:ascii="黑体" w:hAnsi="黑体" w:eastAsia="黑体" w:cs="黑体"/>
          <w:bCs/>
          <w:kern w:val="0"/>
          <w:sz w:val="32"/>
          <w:szCs w:val="32"/>
          <w:highlight w:val="none"/>
          <w:lang w:eastAsia="zh-CN"/>
        </w:rPr>
        <w:t>十</w:t>
      </w:r>
      <w:r>
        <w:rPr>
          <w:rFonts w:hint="eastAsia" w:ascii="黑体" w:hAnsi="黑体" w:eastAsia="黑体" w:cs="黑体"/>
          <w:bCs/>
          <w:kern w:val="0"/>
          <w:sz w:val="32"/>
          <w:szCs w:val="32"/>
          <w:highlight w:val="none"/>
          <w:lang w:val="en-US" w:eastAsia="zh-CN"/>
        </w:rPr>
        <w:t>二</w:t>
      </w:r>
      <w:r>
        <w:rPr>
          <w:rFonts w:hint="eastAsia" w:ascii="黑体" w:hAnsi="黑体" w:eastAsia="黑体" w:cs="黑体"/>
          <w:bCs/>
          <w:kern w:val="0"/>
          <w:sz w:val="32"/>
          <w:szCs w:val="32"/>
          <w:highlight w:val="none"/>
          <w:lang w:eastAsia="zh-CN"/>
        </w:rPr>
        <w:t>、其他需说明的事项</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本单位2023年中央转移支付专项绩效自评表由部门统一公开。</w:t>
      </w:r>
      <w:bookmarkStart w:id="52" w:name="_GoBack"/>
      <w:bookmarkEnd w:id="52"/>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s="黑体"/>
          <w:sz w:val="32"/>
          <w:szCs w:val="32"/>
          <w:highlight w:val="none"/>
        </w:rPr>
      </w:pPr>
      <w:bookmarkStart w:id="34" w:name="_Toc24143"/>
      <w:bookmarkStart w:id="35" w:name="_Toc3250"/>
      <w:r>
        <w:rPr>
          <w:rFonts w:hint="eastAsia" w:ascii="仿宋" w:hAnsi="仿宋" w:eastAsia="仿宋" w:cs="仿宋"/>
          <w:sz w:val="32"/>
          <w:szCs w:val="32"/>
          <w:highlight w:val="none"/>
        </w:rPr>
        <w:br w:type="page"/>
      </w:r>
      <w:r>
        <w:rPr>
          <w:rFonts w:hint="eastAsia" w:ascii="黑体" w:hAnsi="黑体" w:eastAsia="黑体" w:cs="黑体"/>
          <w:b w:val="0"/>
          <w:bCs w:val="0"/>
          <w:sz w:val="32"/>
          <w:szCs w:val="32"/>
          <w:highlight w:val="none"/>
        </w:rPr>
        <w:t>第</w:t>
      </w:r>
      <w:r>
        <w:rPr>
          <w:rFonts w:hint="eastAsia" w:ascii="黑体" w:hAnsi="黑体" w:eastAsia="黑体" w:cs="黑体"/>
          <w:b w:val="0"/>
          <w:bCs w:val="0"/>
          <w:sz w:val="32"/>
          <w:szCs w:val="32"/>
          <w:highlight w:val="none"/>
          <w:lang w:val="en-US" w:eastAsia="zh-CN"/>
        </w:rPr>
        <w:t>三</w:t>
      </w:r>
      <w:r>
        <w:rPr>
          <w:rFonts w:hint="eastAsia" w:ascii="黑体" w:hAnsi="黑体" w:eastAsia="黑体" w:cs="黑体"/>
          <w:b w:val="0"/>
          <w:bCs w:val="0"/>
          <w:sz w:val="32"/>
          <w:szCs w:val="32"/>
          <w:highlight w:val="none"/>
        </w:rPr>
        <w:t>部分 专业名词解释</w:t>
      </w:r>
      <w:bookmarkEnd w:id="34"/>
      <w:bookmarkEnd w:id="35"/>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lang w:val="en-US" w:eastAsia="zh-CN"/>
        </w:rPr>
        <w:t>一、</w:t>
      </w:r>
      <w:r>
        <w:rPr>
          <w:rFonts w:hint="eastAsia" w:ascii="仿宋_GB2312" w:hAnsi="仿宋_GB2312" w:eastAsia="仿宋_GB2312" w:cs="仿宋_GB2312"/>
          <w:b/>
          <w:bCs/>
          <w:sz w:val="32"/>
          <w:szCs w:val="32"/>
          <w:highlight w:val="none"/>
        </w:rPr>
        <w:t>财政拨款收入：</w:t>
      </w:r>
      <w:r>
        <w:rPr>
          <w:rFonts w:hint="eastAsia" w:ascii="仿宋_GB2312" w:hAnsi="仿宋_GB2312" w:eastAsia="仿宋_GB2312" w:cs="仿宋_GB2312"/>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上级补助收入：</w:t>
      </w:r>
      <w:r>
        <w:rPr>
          <w:rFonts w:hint="eastAsia" w:ascii="仿宋_GB2312" w:hAnsi="仿宋_GB2312" w:eastAsia="仿宋_GB2312" w:cs="仿宋_GB2312"/>
          <w:sz w:val="32"/>
          <w:szCs w:val="32"/>
          <w:highlight w:val="none"/>
        </w:rPr>
        <w:t>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事业收入：</w:t>
      </w:r>
      <w:r>
        <w:rPr>
          <w:rFonts w:hint="eastAsia" w:ascii="仿宋_GB2312" w:hAnsi="仿宋_GB2312" w:eastAsia="仿宋_GB2312" w:cs="仿宋_GB2312"/>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lang w:val="en-US" w:eastAsia="zh-CN"/>
        </w:rPr>
        <w:t>四、</w:t>
      </w:r>
      <w:r>
        <w:rPr>
          <w:rFonts w:hint="eastAsia" w:ascii="仿宋_GB2312" w:hAnsi="仿宋_GB2312" w:eastAsia="仿宋_GB2312" w:cs="仿宋_GB2312"/>
          <w:b/>
          <w:bCs/>
          <w:sz w:val="32"/>
          <w:szCs w:val="32"/>
          <w:highlight w:val="none"/>
        </w:rPr>
        <w:t>经营收入：</w:t>
      </w:r>
      <w:r>
        <w:rPr>
          <w:rFonts w:hint="eastAsia" w:ascii="仿宋_GB2312" w:hAnsi="仿宋_GB2312" w:eastAsia="仿宋_GB2312" w:cs="仿宋_GB2312"/>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lang w:val="en-US" w:eastAsia="zh-CN"/>
        </w:rPr>
        <w:t>五、</w:t>
      </w:r>
      <w:r>
        <w:rPr>
          <w:rFonts w:hint="eastAsia" w:ascii="仿宋_GB2312" w:hAnsi="仿宋_GB2312" w:eastAsia="仿宋_GB2312" w:cs="仿宋_GB2312"/>
          <w:b/>
          <w:bCs/>
          <w:sz w:val="32"/>
          <w:szCs w:val="32"/>
          <w:highlight w:val="none"/>
        </w:rPr>
        <w:t>附属单位上缴收入：</w:t>
      </w:r>
      <w:r>
        <w:rPr>
          <w:rFonts w:hint="eastAsia" w:ascii="仿宋_GB2312" w:hAnsi="仿宋_GB2312" w:eastAsia="仿宋_GB2312" w:cs="仿宋_GB2312"/>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lang w:val="en-US" w:eastAsia="zh-CN"/>
        </w:rPr>
        <w:t>六、</w:t>
      </w:r>
      <w:r>
        <w:rPr>
          <w:rFonts w:hint="eastAsia" w:ascii="仿宋_GB2312" w:hAnsi="仿宋_GB2312" w:eastAsia="仿宋_GB2312" w:cs="仿宋_GB2312"/>
          <w:b/>
          <w:bCs/>
          <w:sz w:val="32"/>
          <w:szCs w:val="32"/>
          <w:highlight w:val="none"/>
        </w:rPr>
        <w:t>其他收入：</w:t>
      </w:r>
      <w:r>
        <w:rPr>
          <w:rFonts w:hint="eastAsia" w:ascii="仿宋_GB2312" w:hAnsi="仿宋_GB2312" w:eastAsia="仿宋_GB2312" w:cs="仿宋_GB2312"/>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lang w:val="en-US" w:eastAsia="zh-CN"/>
        </w:rPr>
        <w:t>七、</w:t>
      </w:r>
      <w:r>
        <w:rPr>
          <w:rFonts w:hint="eastAsia" w:ascii="仿宋_GB2312" w:hAnsi="仿宋_GB2312" w:eastAsia="仿宋_GB2312" w:cs="仿宋_GB2312"/>
          <w:b/>
          <w:bCs/>
          <w:sz w:val="32"/>
          <w:szCs w:val="32"/>
          <w:highlight w:val="none"/>
          <w:lang w:eastAsia="zh-CN"/>
        </w:rPr>
        <w:t>年初</w:t>
      </w:r>
      <w:r>
        <w:rPr>
          <w:rFonts w:hint="eastAsia" w:ascii="仿宋_GB2312" w:hAnsi="仿宋_GB2312" w:eastAsia="仿宋_GB2312" w:cs="仿宋_GB2312"/>
          <w:b/>
          <w:bCs/>
          <w:sz w:val="32"/>
          <w:szCs w:val="32"/>
          <w:highlight w:val="none"/>
        </w:rPr>
        <w:t>结转和结余：</w:t>
      </w:r>
      <w:r>
        <w:rPr>
          <w:rFonts w:hint="eastAsia" w:ascii="仿宋_GB2312" w:hAnsi="仿宋_GB2312" w:eastAsia="仿宋_GB2312" w:cs="仿宋_GB2312"/>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lang w:val="en-US" w:eastAsia="zh-CN"/>
        </w:rPr>
        <w:t>八、</w:t>
      </w:r>
      <w:r>
        <w:rPr>
          <w:rFonts w:hint="eastAsia" w:ascii="仿宋_GB2312" w:hAnsi="仿宋_GB2312" w:eastAsia="仿宋_GB2312" w:cs="仿宋_GB2312"/>
          <w:b/>
          <w:bCs/>
          <w:sz w:val="32"/>
          <w:szCs w:val="32"/>
          <w:highlight w:val="none"/>
        </w:rPr>
        <w:t>年末结转和结余：</w:t>
      </w:r>
      <w:r>
        <w:rPr>
          <w:rFonts w:hint="eastAsia" w:ascii="仿宋_GB2312" w:hAnsi="仿宋_GB2312" w:eastAsia="仿宋_GB2312" w:cs="仿宋_GB2312"/>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lang w:val="en-US" w:eastAsia="zh-CN"/>
        </w:rPr>
        <w:t>九、</w:t>
      </w:r>
      <w:r>
        <w:rPr>
          <w:rFonts w:hint="eastAsia" w:ascii="仿宋_GB2312" w:hAnsi="仿宋_GB2312" w:eastAsia="仿宋_GB2312" w:cs="仿宋_GB2312"/>
          <w:b/>
          <w:bCs/>
          <w:sz w:val="32"/>
          <w:szCs w:val="32"/>
          <w:highlight w:val="none"/>
        </w:rPr>
        <w:t>基本支出：</w:t>
      </w:r>
      <w:r>
        <w:rPr>
          <w:rFonts w:hint="eastAsia" w:ascii="仿宋_GB2312" w:hAnsi="仿宋_GB2312" w:eastAsia="仿宋_GB2312" w:cs="仿宋_GB2312"/>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lang w:val="en-US" w:eastAsia="zh-CN"/>
        </w:rPr>
        <w:t>十、</w:t>
      </w:r>
      <w:r>
        <w:rPr>
          <w:rFonts w:hint="eastAsia" w:ascii="仿宋_GB2312" w:hAnsi="仿宋_GB2312" w:eastAsia="仿宋_GB2312" w:cs="仿宋_GB2312"/>
          <w:b/>
          <w:bCs/>
          <w:sz w:val="32"/>
          <w:szCs w:val="32"/>
          <w:highlight w:val="none"/>
        </w:rPr>
        <w:t>项目支出：</w:t>
      </w:r>
      <w:r>
        <w:rPr>
          <w:rFonts w:hint="eastAsia" w:ascii="仿宋_GB2312" w:hAnsi="仿宋_GB2312" w:eastAsia="仿宋_GB2312" w:cs="仿宋_GB2312"/>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lang w:val="en-US" w:eastAsia="zh-CN"/>
        </w:rPr>
        <w:t>十一、</w:t>
      </w:r>
      <w:r>
        <w:rPr>
          <w:rFonts w:hint="eastAsia" w:ascii="仿宋_GB2312" w:hAnsi="仿宋_GB2312" w:eastAsia="仿宋_GB2312" w:cs="仿宋_GB2312"/>
          <w:b/>
          <w:bCs/>
          <w:sz w:val="32"/>
          <w:szCs w:val="32"/>
          <w:highlight w:val="none"/>
        </w:rPr>
        <w:t>经营支出：</w:t>
      </w:r>
      <w:r>
        <w:rPr>
          <w:rFonts w:hint="eastAsia" w:ascii="仿宋_GB2312" w:hAnsi="仿宋_GB2312" w:eastAsia="仿宋_GB2312" w:cs="仿宋_GB2312"/>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lang w:val="en-US" w:eastAsia="zh-CN"/>
        </w:rPr>
        <w:t>十二、</w:t>
      </w:r>
      <w:r>
        <w:rPr>
          <w:rFonts w:hint="eastAsia" w:ascii="仿宋_GB2312" w:hAnsi="仿宋_GB2312" w:eastAsia="仿宋_GB2312" w:cs="仿宋_GB2312"/>
          <w:b/>
          <w:bCs/>
          <w:sz w:val="32"/>
          <w:szCs w:val="32"/>
          <w:highlight w:val="none"/>
        </w:rPr>
        <w:t>对附属单位补助支出：</w:t>
      </w:r>
      <w:r>
        <w:rPr>
          <w:rFonts w:hint="eastAsia" w:ascii="仿宋_GB2312" w:hAnsi="仿宋_GB2312" w:eastAsia="仿宋_GB2312" w:cs="仿宋_GB2312"/>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b/>
          <w:bCs/>
          <w:sz w:val="32"/>
          <w:szCs w:val="32"/>
          <w:highlight w:val="none"/>
          <w:lang w:val="en-US" w:eastAsia="zh-CN"/>
        </w:rPr>
        <w:t>十三、</w:t>
      </w:r>
      <w:r>
        <w:rPr>
          <w:rFonts w:hint="eastAsia" w:ascii="仿宋_GB2312" w:hAnsi="仿宋_GB2312" w:eastAsia="仿宋_GB2312" w:cs="仿宋_GB2312"/>
          <w:b/>
          <w:bCs/>
          <w:sz w:val="32"/>
          <w:szCs w:val="32"/>
          <w:highlight w:val="none"/>
        </w:rPr>
        <w:t>“三公”经费：</w:t>
      </w:r>
      <w:r>
        <w:rPr>
          <w:rFonts w:hint="eastAsia" w:ascii="仿宋_GB2312" w:hAnsi="仿宋_GB2312" w:eastAsia="仿宋_GB2312" w:cs="仿宋_GB2312"/>
          <w:sz w:val="32"/>
          <w:szCs w:val="32"/>
          <w:highlight w:val="none"/>
        </w:rPr>
        <w:t>指用财政拨款安排的因公出国（境）费、公务用车购置及运行费和公务接待费。其中，因公出国（境）费反映单位公务出国（境）的</w:t>
      </w:r>
      <w:r>
        <w:rPr>
          <w:rFonts w:hint="eastAsia" w:ascii="仿宋_GB2312" w:hAnsi="仿宋_GB2312" w:eastAsia="仿宋_GB2312" w:cs="仿宋_GB2312"/>
          <w:sz w:val="32"/>
          <w:szCs w:val="32"/>
          <w:highlight w:val="none"/>
          <w:lang w:eastAsia="zh-CN"/>
        </w:rPr>
        <w:t>国际旅费、国外城市间交通费、</w:t>
      </w:r>
      <w:r>
        <w:rPr>
          <w:rFonts w:hint="eastAsia" w:ascii="仿宋_GB2312" w:hAnsi="仿宋_GB2312" w:eastAsia="仿宋_GB2312" w:cs="仿宋_GB2312"/>
          <w:sz w:val="32"/>
          <w:szCs w:val="32"/>
          <w:highlight w:val="none"/>
        </w:rPr>
        <w:t>住宿费、伙食费、培训费、</w:t>
      </w:r>
      <w:r>
        <w:rPr>
          <w:rFonts w:hint="eastAsia" w:ascii="仿宋_GB2312" w:hAnsi="仿宋_GB2312" w:eastAsia="仿宋_GB2312" w:cs="仿宋_GB2312"/>
          <w:sz w:val="32"/>
          <w:szCs w:val="32"/>
          <w:highlight w:val="none"/>
          <w:lang w:eastAsia="zh-CN"/>
        </w:rPr>
        <w:t>公</w:t>
      </w:r>
      <w:r>
        <w:rPr>
          <w:rFonts w:hint="eastAsia" w:ascii="仿宋_GB2312" w:hAnsi="仿宋_GB2312" w:eastAsia="仿宋_GB2312" w:cs="仿宋_GB2312"/>
          <w:sz w:val="32"/>
          <w:szCs w:val="32"/>
          <w:highlight w:val="none"/>
        </w:rPr>
        <w:t>杂费等支出；公务用车购置费</w:t>
      </w:r>
      <w:r>
        <w:rPr>
          <w:rFonts w:hint="eastAsia" w:ascii="仿宋_GB2312" w:hAnsi="仿宋_GB2312" w:eastAsia="仿宋_GB2312" w:cs="仿宋_GB2312"/>
          <w:sz w:val="32"/>
          <w:szCs w:val="32"/>
          <w:highlight w:val="none"/>
          <w:lang w:eastAsia="zh-CN"/>
        </w:rPr>
        <w:t>反映公务用车购置支出（含车辆购置税、牌照费）；</w:t>
      </w:r>
      <w:r>
        <w:rPr>
          <w:rFonts w:hint="eastAsia" w:ascii="仿宋_GB2312" w:hAnsi="仿宋_GB2312" w:eastAsia="仿宋_GB2312" w:cs="仿宋_GB2312"/>
          <w:sz w:val="32"/>
          <w:szCs w:val="32"/>
          <w:highlight w:val="none"/>
        </w:rPr>
        <w:t>公务用车运行</w:t>
      </w:r>
      <w:r>
        <w:rPr>
          <w:rFonts w:hint="eastAsia" w:ascii="仿宋_GB2312" w:hAnsi="仿宋_GB2312" w:eastAsia="仿宋_GB2312" w:cs="仿宋_GB2312"/>
          <w:sz w:val="32"/>
          <w:szCs w:val="32"/>
          <w:highlight w:val="none"/>
          <w:lang w:eastAsia="zh-CN"/>
        </w:rPr>
        <w:t>维护</w:t>
      </w:r>
      <w:r>
        <w:rPr>
          <w:rFonts w:hint="eastAsia" w:ascii="仿宋_GB2312" w:hAnsi="仿宋_GB2312" w:eastAsia="仿宋_GB2312" w:cs="仿宋_GB2312"/>
          <w:sz w:val="32"/>
          <w:szCs w:val="32"/>
          <w:highlight w:val="none"/>
        </w:rPr>
        <w:t>费反映</w:t>
      </w:r>
      <w:r>
        <w:rPr>
          <w:rFonts w:hint="eastAsia" w:ascii="仿宋_GB2312" w:hAnsi="仿宋_GB2312" w:eastAsia="仿宋_GB2312" w:cs="仿宋_GB2312"/>
          <w:sz w:val="32"/>
          <w:szCs w:val="32"/>
          <w:highlight w:val="none"/>
          <w:lang w:eastAsia="zh-CN"/>
        </w:rPr>
        <w:t>单位按规定保留的公务用车燃料费、维修费、</w:t>
      </w:r>
      <w:r>
        <w:rPr>
          <w:rFonts w:hint="eastAsia" w:ascii="仿宋_GB2312" w:hAnsi="仿宋_GB2312" w:eastAsia="仿宋_GB2312" w:cs="仿宋_GB2312"/>
          <w:sz w:val="32"/>
          <w:szCs w:val="32"/>
          <w:highlight w:val="none"/>
        </w:rPr>
        <w:t>过路过桥费、保险费、安全奖励费用等支出</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公务接待费反映单位按规定开支的各类公务接待（含外宾接待）</w:t>
      </w:r>
      <w:r>
        <w:rPr>
          <w:rFonts w:hint="eastAsia" w:ascii="仿宋_GB2312" w:hAnsi="仿宋_GB2312" w:eastAsia="仿宋_GB2312" w:cs="仿宋_GB2312"/>
          <w:sz w:val="32"/>
          <w:szCs w:val="32"/>
          <w:highlight w:val="none"/>
          <w:lang w:eastAsia="zh-CN"/>
        </w:rPr>
        <w:t>费用</w:t>
      </w:r>
      <w:r>
        <w:rPr>
          <w:rFonts w:hint="eastAsia" w:ascii="仿宋_GB2312" w:hAnsi="仿宋_GB2312" w:eastAsia="仿宋_GB2312" w:cs="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2"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lang w:val="en-US" w:eastAsia="zh-CN"/>
        </w:rPr>
        <w:t>十四、</w:t>
      </w:r>
      <w:r>
        <w:rPr>
          <w:rFonts w:hint="eastAsia" w:ascii="仿宋_GB2312" w:hAnsi="仿宋_GB2312" w:eastAsia="仿宋_GB2312" w:cs="仿宋_GB2312"/>
          <w:b/>
          <w:bCs/>
          <w:sz w:val="32"/>
          <w:szCs w:val="32"/>
          <w:highlight w:val="none"/>
        </w:rPr>
        <w:t>机关运行经费：</w:t>
      </w:r>
      <w:r>
        <w:rPr>
          <w:rFonts w:hint="eastAsia" w:ascii="仿宋_GB2312" w:hAnsi="仿宋_GB2312" w:eastAsia="仿宋_GB2312" w:cs="仿宋_GB2312"/>
          <w:sz w:val="32"/>
          <w:szCs w:val="32"/>
          <w:highlight w:val="none"/>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s="黑体"/>
          <w:sz w:val="32"/>
          <w:szCs w:val="32"/>
          <w:highlight w:val="none"/>
        </w:rPr>
      </w:pPr>
      <w:r>
        <w:rPr>
          <w:rFonts w:hint="eastAsia" w:ascii="仿宋_GB2312" w:hAnsi="仿宋_GB2312" w:eastAsia="仿宋_GB2312" w:cs="仿宋_GB2312"/>
          <w:sz w:val="32"/>
          <w:szCs w:val="32"/>
          <w:highlight w:val="none"/>
        </w:rPr>
        <w:br w:type="page"/>
      </w:r>
      <w:r>
        <w:rPr>
          <w:rFonts w:hint="eastAsia" w:ascii="黑体" w:hAnsi="黑体" w:eastAsia="黑体" w:cs="黑体"/>
          <w:sz w:val="32"/>
          <w:szCs w:val="32"/>
          <w:highlight w:val="none"/>
        </w:rPr>
        <w:t>第四部分 部门决算报表（见附表）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6062"/>
      <w:bookmarkStart w:id="37" w:name="_Toc2183"/>
      <w:r>
        <w:rPr>
          <w:rFonts w:hint="eastAsia" w:ascii="黑体" w:hAnsi="黑体" w:eastAsia="仿宋_GB2312" w:cs="宋体"/>
          <w:bCs/>
          <w:color w:val="auto"/>
          <w:kern w:val="0"/>
          <w:sz w:val="32"/>
          <w:szCs w:val="32"/>
          <w:highlight w:val="none"/>
        </w:rPr>
        <w:t>一、《收入支出决算总表》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24532"/>
      <w:bookmarkStart w:id="39" w:name="_Toc30364"/>
      <w:r>
        <w:rPr>
          <w:rFonts w:hint="eastAsia" w:ascii="黑体" w:hAnsi="黑体" w:eastAsia="仿宋_GB2312" w:cs="宋体"/>
          <w:bCs/>
          <w:color w:val="auto"/>
          <w:kern w:val="0"/>
          <w:sz w:val="32"/>
          <w:szCs w:val="32"/>
          <w:highlight w:val="none"/>
        </w:rPr>
        <w:t>二、《收入决算表》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21304"/>
      <w:bookmarkStart w:id="41" w:name="_Toc32434"/>
      <w:r>
        <w:rPr>
          <w:rFonts w:hint="eastAsia" w:ascii="黑体" w:hAnsi="黑体" w:eastAsia="仿宋_GB2312" w:cs="宋体"/>
          <w:bCs/>
          <w:color w:val="auto"/>
          <w:kern w:val="0"/>
          <w:sz w:val="32"/>
          <w:szCs w:val="32"/>
          <w:highlight w:val="none"/>
        </w:rPr>
        <w:t>三、《支出决算表》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28786"/>
      <w:bookmarkStart w:id="43" w:name="_Toc14238"/>
      <w:r>
        <w:rPr>
          <w:rFonts w:hint="eastAsia" w:ascii="黑体" w:hAnsi="黑体" w:eastAsia="仿宋_GB2312" w:cs="宋体"/>
          <w:bCs/>
          <w:color w:val="auto"/>
          <w:kern w:val="0"/>
          <w:sz w:val="32"/>
          <w:szCs w:val="32"/>
          <w:highlight w:val="none"/>
        </w:rPr>
        <w:t>四、《财政拨款收入支出决算总表》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4" w:name="_Toc10347"/>
      <w:bookmarkStart w:id="45" w:name="_Toc14869"/>
      <w:r>
        <w:rPr>
          <w:rFonts w:hint="eastAsia" w:ascii="黑体" w:hAnsi="黑体" w:eastAsia="仿宋_GB2312" w:cs="宋体"/>
          <w:bCs/>
          <w:color w:val="auto"/>
          <w:kern w:val="0"/>
          <w:sz w:val="32"/>
          <w:szCs w:val="32"/>
          <w:highlight w:val="none"/>
        </w:rPr>
        <w:t>五、《一般公共预算财政拨款支出决算表》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5626"/>
      <w:bookmarkStart w:id="47" w:name="_Toc8884"/>
      <w:r>
        <w:rPr>
          <w:rFonts w:hint="eastAsia" w:ascii="黑体" w:hAnsi="黑体" w:eastAsia="仿宋_GB2312" w:cs="宋体"/>
          <w:bCs/>
          <w:color w:val="auto"/>
          <w:kern w:val="0"/>
          <w:sz w:val="32"/>
          <w:szCs w:val="32"/>
          <w:highlight w:val="none"/>
        </w:rPr>
        <w:t>六、《一般公共预算财政拨款基本支出决算表》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8" w:name="_Toc29106"/>
      <w:bookmarkStart w:id="49" w:name="_Toc32663"/>
      <w:r>
        <w:rPr>
          <w:rFonts w:hint="eastAsia" w:ascii="黑体" w:hAnsi="黑体" w:eastAsia="仿宋_GB2312" w:cs="宋体"/>
          <w:bCs/>
          <w:color w:val="auto"/>
          <w:kern w:val="0"/>
          <w:sz w:val="32"/>
          <w:szCs w:val="32"/>
          <w:highlight w:val="none"/>
        </w:rPr>
        <w:t>《财政拨款“三公”经费支出决算表》</w:t>
      </w:r>
      <w:bookmarkEnd w:id="48"/>
      <w:bookmarkEnd w:id="4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50" w:name="_Toc5453"/>
      <w:bookmarkStart w:id="51" w:name="_Toc7643"/>
      <w:r>
        <w:rPr>
          <w:rFonts w:hint="eastAsia" w:ascii="黑体" w:hAnsi="黑体" w:eastAsia="仿宋_GB2312" w:cs="宋体"/>
          <w:bCs/>
          <w:color w:val="auto"/>
          <w:kern w:val="0"/>
          <w:sz w:val="32"/>
          <w:szCs w:val="32"/>
          <w:highlight w:val="none"/>
        </w:rPr>
        <w:t>八、《政府性基金预算财政拨款收入支出决算表》</w:t>
      </w:r>
      <w:bookmarkEnd w:id="50"/>
      <w:bookmarkEnd w:id="5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 w:hAnsi="仿宋" w:eastAsia="仿宋" w:cs="仿宋"/>
          <w:bCs/>
          <w:kern w:val="0"/>
          <w:sz w:val="32"/>
          <w:szCs w:val="32"/>
          <w:highlight w:val="none"/>
          <w:lang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roman"/>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false" upright="fals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FgAAAGRycy9QSwECFAAUAAAACACHTuJAzql5uc8AAAAFAQAADwAAAAAAAAABACAA&#10;AAA4AAAAZHJzL2Rvd25yZXYueG1sUEsBAhQAFAAAAAgAh07iQBCr8CPHAQAAewMAAA4AAAAAAAAA&#10;AQAgAAAANAEAAGRycy9lMm9Eb2MueG1sUEsFBgAAAAAGAAYAWQEAAG0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false"/>
  <w:bordersDoNotSurroundFooter w:val="false"/>
  <w:documentProtection w:enforcement="0"/>
  <w:defaultTabStop w:val="420"/>
  <w:hyphenationZone w:val="36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OGZmZWJiZjkzMTc5MjUxM2FlYjUzNmFjOTJhZmYifQ=="/>
  </w:docVars>
  <w:rsids>
    <w:rsidRoot w:val="00000000"/>
    <w:rsid w:val="001662DA"/>
    <w:rsid w:val="00213C59"/>
    <w:rsid w:val="003210CE"/>
    <w:rsid w:val="02F73D26"/>
    <w:rsid w:val="034D4FEF"/>
    <w:rsid w:val="039F47CE"/>
    <w:rsid w:val="03E05CE8"/>
    <w:rsid w:val="03F973EE"/>
    <w:rsid w:val="043E5B56"/>
    <w:rsid w:val="053F5AE6"/>
    <w:rsid w:val="057C0B0F"/>
    <w:rsid w:val="05EF4B48"/>
    <w:rsid w:val="05F76ECA"/>
    <w:rsid w:val="06792773"/>
    <w:rsid w:val="07DF05B5"/>
    <w:rsid w:val="08422688"/>
    <w:rsid w:val="0879188F"/>
    <w:rsid w:val="08A0354D"/>
    <w:rsid w:val="096466E3"/>
    <w:rsid w:val="0968304D"/>
    <w:rsid w:val="09AF3D17"/>
    <w:rsid w:val="0A7B4867"/>
    <w:rsid w:val="0B8C3ECC"/>
    <w:rsid w:val="0B9C639D"/>
    <w:rsid w:val="0BB052B2"/>
    <w:rsid w:val="0BD33FFC"/>
    <w:rsid w:val="0BE97AC1"/>
    <w:rsid w:val="0C1C4780"/>
    <w:rsid w:val="0C3613A3"/>
    <w:rsid w:val="0C7227A7"/>
    <w:rsid w:val="0CA52EE8"/>
    <w:rsid w:val="0CBD6988"/>
    <w:rsid w:val="0E640559"/>
    <w:rsid w:val="0F17487A"/>
    <w:rsid w:val="0F51E959"/>
    <w:rsid w:val="0F89358A"/>
    <w:rsid w:val="0F8C6D51"/>
    <w:rsid w:val="112E58D0"/>
    <w:rsid w:val="11731CAC"/>
    <w:rsid w:val="11C0733B"/>
    <w:rsid w:val="120E0809"/>
    <w:rsid w:val="12586661"/>
    <w:rsid w:val="12F7068C"/>
    <w:rsid w:val="14B932DA"/>
    <w:rsid w:val="163563C0"/>
    <w:rsid w:val="16D50C50"/>
    <w:rsid w:val="16E120E1"/>
    <w:rsid w:val="17385A05"/>
    <w:rsid w:val="176747F9"/>
    <w:rsid w:val="17954A6E"/>
    <w:rsid w:val="184510FD"/>
    <w:rsid w:val="190648B0"/>
    <w:rsid w:val="19071D6C"/>
    <w:rsid w:val="19D26CD4"/>
    <w:rsid w:val="1AD807E5"/>
    <w:rsid w:val="1B39345B"/>
    <w:rsid w:val="1C317E4F"/>
    <w:rsid w:val="1C472464"/>
    <w:rsid w:val="1CBDAD12"/>
    <w:rsid w:val="1DAF458D"/>
    <w:rsid w:val="1E086ACE"/>
    <w:rsid w:val="1E97358B"/>
    <w:rsid w:val="1EAA4A5F"/>
    <w:rsid w:val="1FEC15B9"/>
    <w:rsid w:val="2064678E"/>
    <w:rsid w:val="20DC1AB9"/>
    <w:rsid w:val="20DD6197"/>
    <w:rsid w:val="21A53757"/>
    <w:rsid w:val="2380045B"/>
    <w:rsid w:val="23BC04D2"/>
    <w:rsid w:val="24A32D55"/>
    <w:rsid w:val="25BA2154"/>
    <w:rsid w:val="25C8773F"/>
    <w:rsid w:val="27286E73"/>
    <w:rsid w:val="27CF2642"/>
    <w:rsid w:val="27E777F5"/>
    <w:rsid w:val="27EA1D4C"/>
    <w:rsid w:val="282459E2"/>
    <w:rsid w:val="28DF2665"/>
    <w:rsid w:val="29072599"/>
    <w:rsid w:val="291029F3"/>
    <w:rsid w:val="2A053397"/>
    <w:rsid w:val="2A145E96"/>
    <w:rsid w:val="2AF5378F"/>
    <w:rsid w:val="2BE75B11"/>
    <w:rsid w:val="2C6F314E"/>
    <w:rsid w:val="2CC206BE"/>
    <w:rsid w:val="2D1136DF"/>
    <w:rsid w:val="2D20606D"/>
    <w:rsid w:val="2D57C08B"/>
    <w:rsid w:val="2DB93C54"/>
    <w:rsid w:val="2DEB478A"/>
    <w:rsid w:val="2E762856"/>
    <w:rsid w:val="2E891204"/>
    <w:rsid w:val="2F395725"/>
    <w:rsid w:val="2F3F0A28"/>
    <w:rsid w:val="2FD0187F"/>
    <w:rsid w:val="2FD27414"/>
    <w:rsid w:val="2FDC4E92"/>
    <w:rsid w:val="2FDF519A"/>
    <w:rsid w:val="2FFE4BB0"/>
    <w:rsid w:val="30BFF7AC"/>
    <w:rsid w:val="314029C9"/>
    <w:rsid w:val="31C63837"/>
    <w:rsid w:val="32F37406"/>
    <w:rsid w:val="333B1A80"/>
    <w:rsid w:val="343642F2"/>
    <w:rsid w:val="343F3010"/>
    <w:rsid w:val="34C13589"/>
    <w:rsid w:val="34FFDA51"/>
    <w:rsid w:val="35E00D72"/>
    <w:rsid w:val="35F8B80D"/>
    <w:rsid w:val="36C549FD"/>
    <w:rsid w:val="371DBB6C"/>
    <w:rsid w:val="379690DC"/>
    <w:rsid w:val="37A755DD"/>
    <w:rsid w:val="37F94FA0"/>
    <w:rsid w:val="37FFC51E"/>
    <w:rsid w:val="38115B1F"/>
    <w:rsid w:val="387D6B9E"/>
    <w:rsid w:val="38D45016"/>
    <w:rsid w:val="38D90432"/>
    <w:rsid w:val="3914510A"/>
    <w:rsid w:val="3926770B"/>
    <w:rsid w:val="398D3668"/>
    <w:rsid w:val="3A893816"/>
    <w:rsid w:val="3A893B6D"/>
    <w:rsid w:val="3ABF4E9E"/>
    <w:rsid w:val="3AD1763A"/>
    <w:rsid w:val="3ADDC1B5"/>
    <w:rsid w:val="3B6716E3"/>
    <w:rsid w:val="3B6C6B2D"/>
    <w:rsid w:val="3BDFEC83"/>
    <w:rsid w:val="3C242659"/>
    <w:rsid w:val="3CA72BE8"/>
    <w:rsid w:val="3CF37F8C"/>
    <w:rsid w:val="3CFFC2DE"/>
    <w:rsid w:val="3D137554"/>
    <w:rsid w:val="3D5275AC"/>
    <w:rsid w:val="3DCC2473"/>
    <w:rsid w:val="3DEB0883"/>
    <w:rsid w:val="3EA7725F"/>
    <w:rsid w:val="3EBF1A11"/>
    <w:rsid w:val="3F183429"/>
    <w:rsid w:val="3F3CCD87"/>
    <w:rsid w:val="3F7F8C04"/>
    <w:rsid w:val="3FB77A1D"/>
    <w:rsid w:val="3FED7F8A"/>
    <w:rsid w:val="3FEEB67A"/>
    <w:rsid w:val="40834692"/>
    <w:rsid w:val="414B3C0F"/>
    <w:rsid w:val="41900018"/>
    <w:rsid w:val="41CE128F"/>
    <w:rsid w:val="41DA6F12"/>
    <w:rsid w:val="42171FB1"/>
    <w:rsid w:val="434E6957"/>
    <w:rsid w:val="43C15147"/>
    <w:rsid w:val="43E14DD2"/>
    <w:rsid w:val="43F800E9"/>
    <w:rsid w:val="443A7E4B"/>
    <w:rsid w:val="454E7FD2"/>
    <w:rsid w:val="461404F8"/>
    <w:rsid w:val="464B7E04"/>
    <w:rsid w:val="468041AA"/>
    <w:rsid w:val="46901EEE"/>
    <w:rsid w:val="469C74D2"/>
    <w:rsid w:val="47445515"/>
    <w:rsid w:val="48387FB0"/>
    <w:rsid w:val="483A6114"/>
    <w:rsid w:val="48406673"/>
    <w:rsid w:val="488727DB"/>
    <w:rsid w:val="493D58B5"/>
    <w:rsid w:val="494A7A04"/>
    <w:rsid w:val="49BF4CA8"/>
    <w:rsid w:val="4A2019A5"/>
    <w:rsid w:val="4A241A0B"/>
    <w:rsid w:val="4A7B2875"/>
    <w:rsid w:val="4AAA220A"/>
    <w:rsid w:val="4B1F27A6"/>
    <w:rsid w:val="4B1FD8A3"/>
    <w:rsid w:val="4B4C0111"/>
    <w:rsid w:val="4BBF749A"/>
    <w:rsid w:val="4BCF7368"/>
    <w:rsid w:val="4BFE2F8D"/>
    <w:rsid w:val="4C200F7A"/>
    <w:rsid w:val="4CEE3180"/>
    <w:rsid w:val="4E0A1DD5"/>
    <w:rsid w:val="4E8C6496"/>
    <w:rsid w:val="4EFD18DE"/>
    <w:rsid w:val="4F144236"/>
    <w:rsid w:val="4F663C87"/>
    <w:rsid w:val="4F6F7072"/>
    <w:rsid w:val="4F9E1FFC"/>
    <w:rsid w:val="50447CC2"/>
    <w:rsid w:val="50895EE7"/>
    <w:rsid w:val="50921B9D"/>
    <w:rsid w:val="50DB5F45"/>
    <w:rsid w:val="51141503"/>
    <w:rsid w:val="52DE09C1"/>
    <w:rsid w:val="52F92565"/>
    <w:rsid w:val="542F73CA"/>
    <w:rsid w:val="5430786D"/>
    <w:rsid w:val="553E0E2F"/>
    <w:rsid w:val="556A442D"/>
    <w:rsid w:val="55DA564E"/>
    <w:rsid w:val="55EF619A"/>
    <w:rsid w:val="55F76AF6"/>
    <w:rsid w:val="5604127D"/>
    <w:rsid w:val="56166703"/>
    <w:rsid w:val="56510474"/>
    <w:rsid w:val="56861525"/>
    <w:rsid w:val="56BD550C"/>
    <w:rsid w:val="56E07045"/>
    <w:rsid w:val="56F7D843"/>
    <w:rsid w:val="56FF28AF"/>
    <w:rsid w:val="57540E7D"/>
    <w:rsid w:val="577B4878"/>
    <w:rsid w:val="57926973"/>
    <w:rsid w:val="57F90027"/>
    <w:rsid w:val="58175352"/>
    <w:rsid w:val="581F2200"/>
    <w:rsid w:val="583059FA"/>
    <w:rsid w:val="584A0929"/>
    <w:rsid w:val="58ABCA89"/>
    <w:rsid w:val="59254A26"/>
    <w:rsid w:val="59326325"/>
    <w:rsid w:val="595C505B"/>
    <w:rsid w:val="595E55C3"/>
    <w:rsid w:val="59F719EC"/>
    <w:rsid w:val="59FFE52D"/>
    <w:rsid w:val="5A60780B"/>
    <w:rsid w:val="5AB34579"/>
    <w:rsid w:val="5ABE3C2C"/>
    <w:rsid w:val="5ABFA115"/>
    <w:rsid w:val="5AFC6609"/>
    <w:rsid w:val="5BCF1B9A"/>
    <w:rsid w:val="5BE611AC"/>
    <w:rsid w:val="5C0D1F49"/>
    <w:rsid w:val="5CBB0CE2"/>
    <w:rsid w:val="5CF306BC"/>
    <w:rsid w:val="5D226501"/>
    <w:rsid w:val="5D833043"/>
    <w:rsid w:val="5D8ED4DE"/>
    <w:rsid w:val="5DDB1CFD"/>
    <w:rsid w:val="5DFFA8EE"/>
    <w:rsid w:val="5E2AB7EF"/>
    <w:rsid w:val="5E7F7DFB"/>
    <w:rsid w:val="5ED44800"/>
    <w:rsid w:val="5F350BDE"/>
    <w:rsid w:val="5F5CFF19"/>
    <w:rsid w:val="5F6F91A8"/>
    <w:rsid w:val="5FA17648"/>
    <w:rsid w:val="5FBDF462"/>
    <w:rsid w:val="5FBE08FF"/>
    <w:rsid w:val="5FDD7ECD"/>
    <w:rsid w:val="5FDEA0B3"/>
    <w:rsid w:val="5FE705CB"/>
    <w:rsid w:val="603D5080"/>
    <w:rsid w:val="60D0261B"/>
    <w:rsid w:val="61947DCA"/>
    <w:rsid w:val="61A46A97"/>
    <w:rsid w:val="61D1382F"/>
    <w:rsid w:val="61F114A2"/>
    <w:rsid w:val="625D7D1A"/>
    <w:rsid w:val="62DD7D21"/>
    <w:rsid w:val="63A5560B"/>
    <w:rsid w:val="63AF559E"/>
    <w:rsid w:val="63E9091F"/>
    <w:rsid w:val="63FF4CEB"/>
    <w:rsid w:val="64D82665"/>
    <w:rsid w:val="64E7CEDE"/>
    <w:rsid w:val="651E5741"/>
    <w:rsid w:val="658A4877"/>
    <w:rsid w:val="65A00902"/>
    <w:rsid w:val="65D97752"/>
    <w:rsid w:val="66085536"/>
    <w:rsid w:val="66105BF7"/>
    <w:rsid w:val="6628010D"/>
    <w:rsid w:val="669B4528"/>
    <w:rsid w:val="66BEB876"/>
    <w:rsid w:val="66DB8C86"/>
    <w:rsid w:val="67134CEF"/>
    <w:rsid w:val="67521A59"/>
    <w:rsid w:val="67C304AB"/>
    <w:rsid w:val="68DB0208"/>
    <w:rsid w:val="691B3D98"/>
    <w:rsid w:val="69846A0E"/>
    <w:rsid w:val="69AD798C"/>
    <w:rsid w:val="69D005C0"/>
    <w:rsid w:val="6B68175F"/>
    <w:rsid w:val="6BFD799F"/>
    <w:rsid w:val="6BFFBE96"/>
    <w:rsid w:val="6C4A2E5A"/>
    <w:rsid w:val="6CEF0725"/>
    <w:rsid w:val="6D4B2604"/>
    <w:rsid w:val="6D634B3A"/>
    <w:rsid w:val="6D8030E4"/>
    <w:rsid w:val="6DBF4224"/>
    <w:rsid w:val="6DBFC023"/>
    <w:rsid w:val="6DEF76A4"/>
    <w:rsid w:val="6E0F7A08"/>
    <w:rsid w:val="6E3947F5"/>
    <w:rsid w:val="6EFBCE9C"/>
    <w:rsid w:val="6EFC034D"/>
    <w:rsid w:val="6F37EEEA"/>
    <w:rsid w:val="6F5F41CC"/>
    <w:rsid w:val="6F7C1D2E"/>
    <w:rsid w:val="6F7D443E"/>
    <w:rsid w:val="6F8E0407"/>
    <w:rsid w:val="6FD34FDD"/>
    <w:rsid w:val="6FDBB1FC"/>
    <w:rsid w:val="6FDD069F"/>
    <w:rsid w:val="6FDF5208"/>
    <w:rsid w:val="6FEEF1DF"/>
    <w:rsid w:val="6FF969B2"/>
    <w:rsid w:val="6FFB9141"/>
    <w:rsid w:val="6FFF2F36"/>
    <w:rsid w:val="6FFFA898"/>
    <w:rsid w:val="70FE4052"/>
    <w:rsid w:val="7111480F"/>
    <w:rsid w:val="71473612"/>
    <w:rsid w:val="71504F32"/>
    <w:rsid w:val="718F7F65"/>
    <w:rsid w:val="727B234E"/>
    <w:rsid w:val="72BF243E"/>
    <w:rsid w:val="72D068C7"/>
    <w:rsid w:val="72E42ED8"/>
    <w:rsid w:val="735F4CB9"/>
    <w:rsid w:val="73674C62"/>
    <w:rsid w:val="73845865"/>
    <w:rsid w:val="73FB6630"/>
    <w:rsid w:val="73FC0644"/>
    <w:rsid w:val="748D790E"/>
    <w:rsid w:val="749820CC"/>
    <w:rsid w:val="74CE04EC"/>
    <w:rsid w:val="74E76DCD"/>
    <w:rsid w:val="757ADCF2"/>
    <w:rsid w:val="75E7B872"/>
    <w:rsid w:val="7616619B"/>
    <w:rsid w:val="76660D7C"/>
    <w:rsid w:val="766C5968"/>
    <w:rsid w:val="76B13461"/>
    <w:rsid w:val="76BE0C8F"/>
    <w:rsid w:val="76FE687D"/>
    <w:rsid w:val="77A262E1"/>
    <w:rsid w:val="77B13C33"/>
    <w:rsid w:val="77ED6F44"/>
    <w:rsid w:val="77F45548"/>
    <w:rsid w:val="77F53205"/>
    <w:rsid w:val="784E7CA6"/>
    <w:rsid w:val="795641AA"/>
    <w:rsid w:val="795A0A34"/>
    <w:rsid w:val="79773493"/>
    <w:rsid w:val="79DC07CB"/>
    <w:rsid w:val="79F00650"/>
    <w:rsid w:val="79FDC130"/>
    <w:rsid w:val="7A3633D3"/>
    <w:rsid w:val="7A6242BF"/>
    <w:rsid w:val="7ACE9ACD"/>
    <w:rsid w:val="7AE952D2"/>
    <w:rsid w:val="7AFF000F"/>
    <w:rsid w:val="7B772A88"/>
    <w:rsid w:val="7B9B7062"/>
    <w:rsid w:val="7BC44F15"/>
    <w:rsid w:val="7BC5398F"/>
    <w:rsid w:val="7BDEF868"/>
    <w:rsid w:val="7BEE976A"/>
    <w:rsid w:val="7BF78EEF"/>
    <w:rsid w:val="7BF7C001"/>
    <w:rsid w:val="7BFA9C46"/>
    <w:rsid w:val="7C976D69"/>
    <w:rsid w:val="7CD752DA"/>
    <w:rsid w:val="7CDE40AB"/>
    <w:rsid w:val="7CE75A0C"/>
    <w:rsid w:val="7CE8CBBA"/>
    <w:rsid w:val="7D1548B5"/>
    <w:rsid w:val="7D5B9AAF"/>
    <w:rsid w:val="7DBBDA24"/>
    <w:rsid w:val="7DEF9CE1"/>
    <w:rsid w:val="7DFF7BDE"/>
    <w:rsid w:val="7E207949"/>
    <w:rsid w:val="7E670C75"/>
    <w:rsid w:val="7EA79387"/>
    <w:rsid w:val="7EBF2D1A"/>
    <w:rsid w:val="7EE24272"/>
    <w:rsid w:val="7EFB67FD"/>
    <w:rsid w:val="7EFBB338"/>
    <w:rsid w:val="7EFBC344"/>
    <w:rsid w:val="7EFDA986"/>
    <w:rsid w:val="7EFF50B1"/>
    <w:rsid w:val="7F3B333B"/>
    <w:rsid w:val="7F487C04"/>
    <w:rsid w:val="7F56C6D6"/>
    <w:rsid w:val="7F7C0FA0"/>
    <w:rsid w:val="7F7FF585"/>
    <w:rsid w:val="7FB0B600"/>
    <w:rsid w:val="7FB45F21"/>
    <w:rsid w:val="7FB91F77"/>
    <w:rsid w:val="7FBFCB33"/>
    <w:rsid w:val="7FDB5F3D"/>
    <w:rsid w:val="7FE57088"/>
    <w:rsid w:val="7FF35333"/>
    <w:rsid w:val="7FF938B9"/>
    <w:rsid w:val="7FFFDF4D"/>
    <w:rsid w:val="8BDE43CE"/>
    <w:rsid w:val="8BF7DB2E"/>
    <w:rsid w:val="8F0684C8"/>
    <w:rsid w:val="9DEB65E3"/>
    <w:rsid w:val="9FFF465A"/>
    <w:rsid w:val="9FFF9CE8"/>
    <w:rsid w:val="A70F18EA"/>
    <w:rsid w:val="A7DF7E29"/>
    <w:rsid w:val="AB7D8C24"/>
    <w:rsid w:val="AFEFE8CF"/>
    <w:rsid w:val="B79DCAF0"/>
    <w:rsid w:val="B7EF10A3"/>
    <w:rsid w:val="BA7B23C6"/>
    <w:rsid w:val="BBDFEAC4"/>
    <w:rsid w:val="BBFF3809"/>
    <w:rsid w:val="BCDF0E80"/>
    <w:rsid w:val="BD7DD0AA"/>
    <w:rsid w:val="BD7F33C2"/>
    <w:rsid w:val="BDE7CD9D"/>
    <w:rsid w:val="BDEF2D3A"/>
    <w:rsid w:val="BE2F04A0"/>
    <w:rsid w:val="BEFF69C5"/>
    <w:rsid w:val="BEFFD372"/>
    <w:rsid w:val="BF4F719C"/>
    <w:rsid w:val="BF54739F"/>
    <w:rsid w:val="BF7F9CD0"/>
    <w:rsid w:val="BFF45BFF"/>
    <w:rsid w:val="C6F673C3"/>
    <w:rsid w:val="C6FFE44B"/>
    <w:rsid w:val="C71F6E29"/>
    <w:rsid w:val="C737BE65"/>
    <w:rsid w:val="C7DBFAF7"/>
    <w:rsid w:val="CAFE3F7D"/>
    <w:rsid w:val="CB77CF9A"/>
    <w:rsid w:val="CBDDD405"/>
    <w:rsid w:val="CBFE19FC"/>
    <w:rsid w:val="CEF7D658"/>
    <w:rsid w:val="CFAC8A31"/>
    <w:rsid w:val="D27D596D"/>
    <w:rsid w:val="D3BF3CB0"/>
    <w:rsid w:val="D7BF2B73"/>
    <w:rsid w:val="D96FFDBC"/>
    <w:rsid w:val="DAF9BB39"/>
    <w:rsid w:val="DBF3DCEB"/>
    <w:rsid w:val="DDFF479F"/>
    <w:rsid w:val="DEFD6602"/>
    <w:rsid w:val="DFC769D3"/>
    <w:rsid w:val="DFD37B51"/>
    <w:rsid w:val="DFFE20AF"/>
    <w:rsid w:val="DFFF11B8"/>
    <w:rsid w:val="E2FB19A4"/>
    <w:rsid w:val="E97BEB10"/>
    <w:rsid w:val="EADDEDF9"/>
    <w:rsid w:val="EBB9F7B8"/>
    <w:rsid w:val="EBFE5652"/>
    <w:rsid w:val="EBFE6C5C"/>
    <w:rsid w:val="EDD2FE16"/>
    <w:rsid w:val="EEB72859"/>
    <w:rsid w:val="EEB79EA5"/>
    <w:rsid w:val="EFBD9A2E"/>
    <w:rsid w:val="EFEEAEC2"/>
    <w:rsid w:val="EFFC878B"/>
    <w:rsid w:val="F25769E9"/>
    <w:rsid w:val="F3D65447"/>
    <w:rsid w:val="F47D74DF"/>
    <w:rsid w:val="F4DFF9EE"/>
    <w:rsid w:val="F567A758"/>
    <w:rsid w:val="F56F4691"/>
    <w:rsid w:val="F5DF7CA3"/>
    <w:rsid w:val="F5F78655"/>
    <w:rsid w:val="F6E61490"/>
    <w:rsid w:val="F6FF0A74"/>
    <w:rsid w:val="F73E6DB5"/>
    <w:rsid w:val="F7575EF0"/>
    <w:rsid w:val="F7BD473B"/>
    <w:rsid w:val="F7C314F1"/>
    <w:rsid w:val="F89D197D"/>
    <w:rsid w:val="F9FBA9CB"/>
    <w:rsid w:val="F9FD0836"/>
    <w:rsid w:val="FACF8819"/>
    <w:rsid w:val="FADF5437"/>
    <w:rsid w:val="FB776792"/>
    <w:rsid w:val="FBBDC805"/>
    <w:rsid w:val="FBFB3137"/>
    <w:rsid w:val="FCD9D2DD"/>
    <w:rsid w:val="FCFCC207"/>
    <w:rsid w:val="FD3EB9AA"/>
    <w:rsid w:val="FDBF3D8B"/>
    <w:rsid w:val="FDEE9C64"/>
    <w:rsid w:val="FDF7399A"/>
    <w:rsid w:val="FDFD3A51"/>
    <w:rsid w:val="FDFEFD7F"/>
    <w:rsid w:val="FE734873"/>
    <w:rsid w:val="FEBF201A"/>
    <w:rsid w:val="FEFF4151"/>
    <w:rsid w:val="FF1E5BD6"/>
    <w:rsid w:val="FF5DE339"/>
    <w:rsid w:val="FF651184"/>
    <w:rsid w:val="FF7BCFF5"/>
    <w:rsid w:val="FF7E267C"/>
    <w:rsid w:val="FF7F4D68"/>
    <w:rsid w:val="FFC78235"/>
    <w:rsid w:val="FFCF6E15"/>
    <w:rsid w:val="FFEE6356"/>
    <w:rsid w:val="FFEF3BBD"/>
    <w:rsid w:val="FFEF9148"/>
    <w:rsid w:val="FFF6DF4B"/>
    <w:rsid w:val="FFFA95E2"/>
    <w:rsid w:val="FFFBA137"/>
    <w:rsid w:val="FFFC8984"/>
    <w:rsid w:val="FFFE551C"/>
    <w:rsid w:val="FFFE67E9"/>
    <w:rsid w:val="FFFED444"/>
    <w:rsid w:val="FFFF1956"/>
    <w:rsid w:val="FFFF659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Strong"/>
    <w:basedOn w:val="10"/>
    <w:qFormat/>
    <w:uiPriority w:val="0"/>
    <w:rPr>
      <w:b/>
    </w:rPr>
  </w:style>
  <w:style w:type="paragraph" w:customStyle="1" w:styleId="12">
    <w:name w:val="WPSOffice手动目录 3"/>
    <w:qFormat/>
    <w:uiPriority w:val="0"/>
    <w:pPr>
      <w:ind w:leftChars="400"/>
    </w:pPr>
    <w:rPr>
      <w:rFonts w:ascii="Times New Roman" w:hAnsi="Times New Roman" w:eastAsia="宋体" w:cs="Times New Roman"/>
      <w:sz w:val="20"/>
      <w:szCs w:val="20"/>
    </w:rPr>
  </w:style>
  <w:style w:type="paragraph" w:customStyle="1" w:styleId="13">
    <w:name w:val="WPSOffice手动目录 2"/>
    <w:qFormat/>
    <w:uiPriority w:val="0"/>
    <w:pPr>
      <w:ind w:leftChars="200"/>
    </w:pPr>
    <w:rPr>
      <w:rFonts w:ascii="Times New Roman" w:hAnsi="Times New Roman" w:eastAsia="宋体" w:cs="Times New Roman"/>
      <w:sz w:val="20"/>
      <w:szCs w:val="20"/>
    </w:rPr>
  </w:style>
  <w:style w:type="paragraph" w:customStyle="1" w:styleId="14">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32</Pages>
  <Words>6902</Words>
  <Characters>19330</Characters>
  <Lines>0</Lines>
  <Paragraphs>0</Paragraphs>
  <TotalTime>60</TotalTime>
  <ScaleCrop>false</ScaleCrop>
  <LinksUpToDate>false</LinksUpToDate>
  <CharactersWithSpaces>19378</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2014-11-01T20:08:00Z</dcterms:created>
  <dc:creator>GXR</dc:creator>
  <cp:lastModifiedBy>yjj190</cp:lastModifiedBy>
  <dcterms:modified xsi:type="dcterms:W3CDTF">2024-10-15T10:51:47Z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7F1BA76700A04C6DA077E64EC2EDFE18_13</vt:lpwstr>
  </property>
</Properties>
</file>