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新疆维吾尔自治区自然资源宣传教育中心</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pStyle w:val="15"/>
        <w:spacing w:line="560" w:lineRule="exact"/>
        <w:ind w:firstLine="560"/>
        <w:rPr>
          <w:rFonts w:hint="eastAsia" w:ascii="仿宋_GB2312" w:hAnsi="Times New Roman" w:eastAsia="仿宋_GB2312" w:cs="Times New Roman"/>
          <w:color w:val="auto"/>
          <w:kern w:val="2"/>
          <w:sz w:val="32"/>
          <w:szCs w:val="32"/>
          <w:highlight w:val="none"/>
          <w:lang w:val="en-US" w:eastAsia="zh-CN" w:bidi="ar-SA"/>
        </w:rPr>
      </w:pPr>
      <w:bookmarkStart w:id="4" w:name="_Toc31238"/>
      <w:bookmarkStart w:id="5" w:name="_Toc2151"/>
      <w:r>
        <w:rPr>
          <w:rFonts w:hint="eastAsia" w:ascii="仿宋_GB2312" w:hAnsi="Times New Roman" w:eastAsia="仿宋_GB2312" w:cs="Times New Roman"/>
          <w:color w:val="auto"/>
          <w:kern w:val="2"/>
          <w:sz w:val="32"/>
          <w:szCs w:val="32"/>
          <w:highlight w:val="none"/>
          <w:lang w:val="en-US" w:eastAsia="zh-CN" w:bidi="ar-SA"/>
        </w:rPr>
        <w:t>按照“三定方案”主要承担任务，一是承担自然资源政策法规宣传、科普文化知识普及，承担近年来，根据自然资源部的要求，“4.22世界地球日”、“5·12防灾减灾日”、“6·8世界海洋日”、“6.25全国土地日”、“8.15全国生态日”等重要纪念日活动均由自然资源部门组织实施。围绕各个纪念日的宣传主题，进行为期一个月形式多样的宣传活动；二是按照《自治区自然资源厅干部教育培训计划》按期开展自然资源系统干部培训;三是依据自治区党委办公厅、政府办公厅和新闻出版局的有关规定，承担《新疆自然资源》杂志属内部资料型刊物，免费赠送自治区有关领导、各省自然资源厅和全疆自然资源系统干部职工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新疆维吾尔自治区自然资源宣传教育中心</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4</w:t>
      </w:r>
      <w:r>
        <w:rPr>
          <w:rFonts w:hint="eastAsia" w:ascii="仿宋_GB2312" w:hAnsi="黑体" w:eastAsia="仿宋_GB2312" w:cs="宋体"/>
          <w:bCs/>
          <w:color w:val="auto"/>
          <w:kern w:val="0"/>
          <w:sz w:val="32"/>
          <w:szCs w:val="32"/>
          <w:highlight w:val="none"/>
        </w:rPr>
        <w:t>个处室，分别是：</w:t>
      </w:r>
      <w:r>
        <w:rPr>
          <w:rFonts w:hint="eastAsia" w:ascii="仿宋_GB2312" w:hAnsi="黑体" w:eastAsia="仿宋_GB2312" w:cs="宋体"/>
          <w:bCs/>
          <w:color w:val="auto"/>
          <w:kern w:val="0"/>
          <w:sz w:val="32"/>
          <w:szCs w:val="32"/>
          <w:highlight w:val="none"/>
          <w:lang w:val="en-US" w:eastAsia="zh-CN"/>
        </w:rPr>
        <w:t>办公室、编辑科、宣传科、培训科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340.15万元，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337.19万元，使用非财政拨款结余2.97万元，年初结转和结余0.00万元。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340.15万元，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315.39万元，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24.76万元，年末结转和结余0.00万元。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增加44.29万元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增长14.97%</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一是人员工资调资，财政拨款人员经费预算增加；二是经营收入增加</w:t>
      </w:r>
      <w:r>
        <w:rPr>
          <w:rFonts w:hint="eastAsia" w:ascii="仿宋_GB2312" w:eastAsia="仿宋_GB2312"/>
          <w:color w:val="auto"/>
          <w:spacing w:val="0"/>
          <w:sz w:val="32"/>
          <w:szCs w:val="32"/>
          <w:highlight w:val="none"/>
          <w:lang w:eastAsia="zh-CN"/>
        </w:rPr>
        <w:t>24.76万元。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337.19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308.66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91.54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24.76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7.34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3.76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1.12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本年支出315.39万元，其中：基本支出166.01万元，占52.64%；项目支出149.39万元，占47.36%；上缴上级支出0.00万元，占0.00%；经营支出0.00万元，占0.00%；对附属单位补助支出0.00万元，占0.00%。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增加22.19万元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增长7.75%，</w:t>
      </w:r>
      <w:r>
        <w:rPr>
          <w:rFonts w:hint="eastAsia" w:ascii="仿宋_GB2312" w:eastAsia="仿宋_GB2312"/>
          <w:color w:val="auto"/>
          <w:spacing w:val="0"/>
          <w:sz w:val="32"/>
          <w:szCs w:val="32"/>
          <w:highlight w:val="none"/>
          <w:lang w:eastAsia="zh-CN"/>
        </w:rPr>
        <w:t>主要原因是：人员工资调资，人员经费增加。与年初预算相比，年初预算数</w:t>
      </w:r>
      <w:r>
        <w:rPr>
          <w:rFonts w:hint="eastAsia" w:ascii="仿宋_GB2312" w:eastAsia="仿宋_GB2312"/>
          <w:color w:val="auto"/>
          <w:spacing w:val="0"/>
          <w:sz w:val="32"/>
          <w:szCs w:val="32"/>
          <w:highlight w:val="none"/>
          <w:lang w:val="zh-CN" w:eastAsia="zh-CN"/>
        </w:rPr>
        <w:t>301.95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万元，预决算差异率2.22%，主要原因是：人员工资调资，人员经费增加。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2023年度一般公共预算财政拨款支出308.66万元，占本年支出合计的</w:t>
      </w:r>
      <w:r>
        <w:rPr>
          <w:rFonts w:hint="eastAsia" w:ascii="仿宋_GB2312" w:eastAsia="仿宋_GB2312"/>
          <w:color w:val="auto"/>
          <w:spacing w:val="0"/>
          <w:sz w:val="32"/>
          <w:szCs w:val="32"/>
          <w:highlight w:val="none"/>
          <w:lang w:val="zh-CN" w:eastAsia="zh-CN"/>
        </w:rPr>
        <w:t>97.87%</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增加22.19万元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增长7.75%，</w:t>
      </w:r>
      <w:r>
        <w:rPr>
          <w:rFonts w:hint="eastAsia" w:ascii="仿宋_GB2312" w:eastAsia="仿宋_GB2312"/>
          <w:color w:val="auto"/>
          <w:spacing w:val="0"/>
          <w:sz w:val="32"/>
          <w:szCs w:val="32"/>
          <w:highlight w:val="none"/>
          <w:lang w:eastAsia="zh-CN"/>
        </w:rPr>
        <w:t>主要原因是：人员工资调资，人员经费增加。与年初预算相比，年初预算数</w:t>
      </w:r>
      <w:r>
        <w:rPr>
          <w:rFonts w:hint="eastAsia" w:ascii="仿宋_GB2312" w:eastAsia="仿宋_GB2312"/>
          <w:color w:val="auto"/>
          <w:spacing w:val="0"/>
          <w:sz w:val="32"/>
          <w:szCs w:val="32"/>
          <w:highlight w:val="none"/>
          <w:lang w:val="zh-CN" w:eastAsia="zh-CN"/>
        </w:rPr>
        <w:t>301.95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308.66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2.22%</w:t>
      </w:r>
      <w:r>
        <w:rPr>
          <w:rFonts w:hint="eastAsia" w:ascii="仿宋_GB2312" w:eastAsia="仿宋_GB2312"/>
          <w:color w:val="auto"/>
          <w:spacing w:val="0"/>
          <w:sz w:val="32"/>
          <w:szCs w:val="32"/>
          <w:highlight w:val="none"/>
          <w:lang w:eastAsia="zh-CN"/>
        </w:rPr>
        <w:t>，主要原因是：人员工资调资，人员经费增加。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21.20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6.87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12.59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4.08</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264.99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85.85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9.88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3.20</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1.卫生健康支出（类）行政事业单位医疗（款）事业单位医疗（项）:支出决算数为6.83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42.1</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两人岗位调整，</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事业单位医疗</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2.卫生健康支出（类）行政事业单位医疗（款）公务员医疗补助（项）:支出决算数为5.76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20.10%，主要原因是：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3.住房保障支出（类）住房改革支出（款）住房公积金（项）:支出决算数为9.88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23.47%，主要原因是：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4.自然资源海洋气象等支出（类）自然资源事务（款）事业运行（项）:支出决算数为115.60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51.84%，主要原因是：</w:t>
      </w:r>
      <w:r>
        <w:rPr>
          <w:rFonts w:hint="eastAsia" w:ascii="仿宋_GB2312" w:eastAsia="仿宋_GB2312"/>
          <w:color w:val="auto"/>
          <w:spacing w:val="0"/>
          <w:sz w:val="32"/>
          <w:szCs w:val="32"/>
          <w:highlight w:val="none"/>
          <w:lang w:eastAsia="zh-CN"/>
        </w:rPr>
        <w:t>人员工资调资，人员经费增加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5.社会保障和就业支出（类）行政事业单位养老支出（款）事业单位离退休（项）:支出决算数为1.45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29.</w:t>
      </w: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1%，主要原因是：</w:t>
      </w:r>
      <w:r>
        <w:rPr>
          <w:rFonts w:hint="eastAsia" w:ascii="Times New Roman" w:hAnsi="Times New Roman" w:eastAsia="仿宋_GB2312" w:cs="Times New Roman"/>
          <w:color w:val="auto"/>
          <w:kern w:val="2"/>
          <w:sz w:val="32"/>
          <w:szCs w:val="32"/>
          <w:highlight w:val="none"/>
          <w:lang w:val="zh-CN" w:eastAsia="zh-CN" w:bidi="ar-SA"/>
        </w:rPr>
        <w:t>退休</w:t>
      </w:r>
      <w:r>
        <w:rPr>
          <w:rFonts w:hint="eastAsia" w:eastAsia="仿宋_GB2312" w:cs="Times New Roman"/>
          <w:color w:val="auto"/>
          <w:kern w:val="2"/>
          <w:sz w:val="32"/>
          <w:szCs w:val="32"/>
          <w:highlight w:val="none"/>
          <w:lang w:val="zh-CN" w:eastAsia="zh-CN" w:bidi="ar-SA"/>
        </w:rPr>
        <w:t>人员绩效工资下调</w:t>
      </w:r>
      <w:r>
        <w:rPr>
          <w:rFonts w:hint="eastAsia" w:ascii="Times New Roman" w:hAnsi="Times New Roman" w:eastAsia="仿宋_GB2312" w:cs="Times New Roman"/>
          <w:color w:val="auto"/>
          <w:kern w:val="2"/>
          <w:sz w:val="32"/>
          <w:szCs w:val="32"/>
          <w:highlight w:val="none"/>
          <w:lang w:val="en-US" w:eastAsia="zh-CN" w:bidi="ar-SA"/>
        </w:rPr>
        <w:t>，事业单位离退休</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6.自然资源海洋气象等支出（类）自然资源事务（款）自然资源行业业务管理（项）:支出决算数为149.39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0.49%，主要原因是：上年度因疫情减少，本年度正常开展培训业务</w:t>
      </w:r>
      <w:r>
        <w:rPr>
          <w:rFonts w:hint="eastAsia" w:eastAsia="仿宋_GB2312" w:cs="Times New Roman"/>
          <w:color w:val="auto"/>
          <w:kern w:val="2"/>
          <w:sz w:val="32"/>
          <w:szCs w:val="32"/>
          <w:highlight w:val="none"/>
          <w:lang w:val="en-US" w:eastAsia="zh-CN" w:bidi="ar-SA"/>
        </w:rPr>
        <w:t>增加了培训班次及及相应的培训费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7.社会保障和就业支出（类）行政事业单位养老支出（款）机关事业单位职业年金缴费支出（项）:支出决算数为6.58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37.26%，主要原因是：</w:t>
      </w:r>
      <w:r>
        <w:rPr>
          <w:rFonts w:hint="eastAsia" w:eastAsia="仿宋_GB2312" w:cs="Times New Roman"/>
          <w:color w:val="auto"/>
          <w:kern w:val="2"/>
          <w:sz w:val="32"/>
          <w:szCs w:val="32"/>
          <w:highlight w:val="none"/>
          <w:lang w:val="zh-CN" w:eastAsia="zh-CN" w:bidi="ar-SA"/>
        </w:rPr>
        <w:t>本年</w:t>
      </w:r>
      <w:r>
        <w:rPr>
          <w:rFonts w:hint="eastAsia" w:ascii="Times New Roman" w:hAnsi="Times New Roman" w:eastAsia="仿宋_GB2312" w:cs="Times New Roman"/>
          <w:color w:val="auto"/>
          <w:kern w:val="2"/>
          <w:sz w:val="32"/>
          <w:szCs w:val="32"/>
          <w:highlight w:val="none"/>
          <w:lang w:val="en-US" w:eastAsia="zh-CN" w:bidi="ar-SA"/>
        </w:rPr>
        <w:t>机关事业单位职业年金缴费</w:t>
      </w:r>
      <w:r>
        <w:rPr>
          <w:rFonts w:hint="eastAsia" w:eastAsia="仿宋_GB2312" w:cs="Times New Roman"/>
          <w:color w:val="auto"/>
          <w:kern w:val="2"/>
          <w:sz w:val="32"/>
          <w:szCs w:val="32"/>
          <w:highlight w:val="none"/>
          <w:lang w:val="en-US" w:eastAsia="zh-CN" w:bidi="ar-SA"/>
        </w:rPr>
        <w:t>坐实较上年减少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8.社会保障和就业支出（类）行政事业单位养老支出（款）机关事业单位基本养老保险缴费支出（项）:支出决算数为13.17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4.04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23.47%，主要原因是：</w:t>
      </w:r>
      <w:r>
        <w:rPr>
          <w:rFonts w:hint="eastAsia" w:ascii="Times New Roman" w:hAnsi="Times New Roman" w:eastAsia="仿宋_GB2312" w:cs="Times New Roman"/>
          <w:color w:val="auto"/>
          <w:kern w:val="2"/>
          <w:sz w:val="32"/>
          <w:szCs w:val="32"/>
          <w:highlight w:val="none"/>
          <w:lang w:val="zh-CN" w:eastAsia="zh-CN" w:bidi="ar-SA"/>
        </w:rPr>
        <w:t>在职转退休一人</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相应的</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机关事业单位基本养老保险缴费支出</w:t>
      </w:r>
      <w:r>
        <w:rPr>
          <w:rFonts w:hint="eastAsia" w:eastAsia="仿宋_GB2312" w:cs="Times New Roman"/>
          <w:color w:val="auto"/>
          <w:kern w:val="2"/>
          <w:sz w:val="32"/>
          <w:szCs w:val="32"/>
          <w:highlight w:val="none"/>
          <w:lang w:val="en-US" w:eastAsia="zh-CN" w:bidi="ar-SA"/>
        </w:rPr>
        <w:t>经费支出减少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159.28</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153.21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6.06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办公费、邮电费、劳务费、工会经费、其他交通费用、其他商品和服务支出。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“三公”经费支出。其中：因公出国（境）费支出0.00万元，占0.00%，比上年增加0.00万元，增长0.00%，主要原因是：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因公出国（境）费支出；公务用车购置及运行维护费支出0.00万元，占0.00%，比上年增加0.00万元，增长0.00%，主要原因是：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公务用车购置及运行维护费支出；公务接待费支出0.00万元，占0.00%，比上年增加0.00万元，增长0.00%，主要原因是：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公务用车运行维护费。公务用车购置数0辆，公务用车保有量0辆。国有资产占用情况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原因是：国有资产占用情况</w:t>
      </w:r>
      <w:r>
        <w:rPr>
          <w:rFonts w:hint="eastAsia" w:ascii="仿宋_GB2312" w:eastAsia="仿宋_GB2312"/>
          <w:color w:val="auto"/>
          <w:sz w:val="32"/>
          <w:szCs w:val="32"/>
          <w:highlight w:val="none"/>
          <w:lang w:val="en-US" w:eastAsia="zh-CN"/>
        </w:rPr>
        <w:t>中固定资产车辆为其他用车，</w:t>
      </w:r>
      <w:r>
        <w:rPr>
          <w:rFonts w:hint="eastAsia" w:ascii="仿宋_GB2312" w:eastAsia="仿宋_GB2312"/>
          <w:color w:val="auto"/>
          <w:sz w:val="32"/>
          <w:szCs w:val="32"/>
          <w:highlight w:val="none"/>
          <w:lang w:val="zh-CN" w:eastAsia="zh-CN"/>
        </w:rPr>
        <w:t>车辆不属于公务用车，使用其他交通费。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“三公”经费支出。其中：因公出国（境）费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lang w:val="zh-CN" w:eastAsia="zh-CN"/>
        </w:rPr>
        <w:t>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新疆维吾尔自治区自然资源宣传教育中心</w:t>
      </w:r>
      <w:r>
        <w:rPr>
          <w:rFonts w:hint="eastAsia" w:ascii="Times New Roman" w:hAnsi="Times New Roman" w:eastAsia="仿宋_GB2312" w:cs="Times New Roman"/>
          <w:color w:val="auto"/>
          <w:sz w:val="32"/>
          <w:szCs w:val="32"/>
          <w:highlight w:val="none"/>
          <w:lang w:val="zh-CN" w:eastAsia="zh-CN"/>
        </w:rPr>
        <w:t>（事业单位）公用经费支出6.06万元，比上年增加2.00万元，增长49.16%，主要原因是：</w:t>
      </w:r>
      <w:r>
        <w:rPr>
          <w:rFonts w:hint="eastAsia" w:eastAsia="仿宋_GB2312" w:cs="Times New Roman"/>
          <w:color w:val="auto"/>
          <w:sz w:val="32"/>
          <w:szCs w:val="32"/>
          <w:highlight w:val="none"/>
          <w:lang w:val="en-US" w:eastAsia="zh-CN"/>
        </w:rPr>
        <w:t>新增培训班次培训费增加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6.87万元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其中：政府采购货物支出0.88万元、政府采购工程支出0.00万元、政府采购服务支出6.00万元。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授予中小企业合同金额6.87万元，占政府采购支出总额的100.00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，其中：授予小微企业合同金额6.87万元，占政府采购支出总额的100.00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52.94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屋0.0平方米，价值0.00万元。车辆1辆，价值19.10万元，其中：副部（省）级及以上领导用车0辆、主要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en-US" w:eastAsia="zh-CN"/>
        </w:rPr>
        <w:t>日常业</w:t>
      </w:r>
      <w:bookmarkStart w:id="48" w:name="_GoBack"/>
      <w:bookmarkEnd w:id="48"/>
      <w:r>
        <w:rPr>
          <w:rFonts w:hint="eastAsia" w:eastAsia="仿宋_GB2312" w:cs="Times New Roman"/>
          <w:color w:val="auto"/>
          <w:sz w:val="32"/>
          <w:szCs w:val="32"/>
          <w:highlight w:val="none"/>
          <w:lang w:val="en-US" w:eastAsia="zh-CN"/>
        </w:rPr>
        <w:t>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jc w:val="both"/>
        <w:rPr>
          <w:rFonts w:hint="eastAsia" w:ascii="仿宋_GB2312" w:eastAsia="仿宋_GB2312"/>
          <w:sz w:val="32"/>
          <w:szCs w:val="32"/>
          <w:lang w:val="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全年预算数150.00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全年执行数149.39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hint="eastAsia" w:ascii="仿宋" w:hAnsi="仿宋" w:eastAsia="仿宋"/>
          <w:sz w:val="32"/>
          <w:szCs w:val="32"/>
        </w:rPr>
        <w:t>按照《自治区自然资源厅干部教育培训计划》</w:t>
      </w:r>
      <w:r>
        <w:rPr>
          <w:rFonts w:hint="eastAsia" w:ascii="仿宋" w:hAnsi="仿宋" w:eastAsia="仿宋"/>
          <w:sz w:val="32"/>
          <w:szCs w:val="32"/>
          <w:lang w:eastAsia="zh-CN"/>
        </w:rPr>
        <w:t>按期开展自然资源系统干部培训</w:t>
      </w:r>
      <w:r>
        <w:rPr>
          <w:rFonts w:hint="eastAsia" w:ascii="仿宋_GB2312" w:eastAsia="仿宋_GB2312"/>
          <w:color w:val="auto"/>
          <w:sz w:val="32"/>
          <w:szCs w:val="32"/>
          <w:highlight w:val="none"/>
          <w:lang w:eastAsia="zh-CN"/>
        </w:rPr>
        <w:t>；二是</w:t>
      </w:r>
      <w:r>
        <w:rPr>
          <w:rFonts w:hint="eastAsia" w:ascii="仿宋" w:hAnsi="仿宋" w:eastAsia="仿宋"/>
          <w:sz w:val="32"/>
          <w:szCs w:val="32"/>
        </w:rPr>
        <w:t>根据自然资源部的要求，“</w:t>
      </w:r>
      <w:r>
        <w:rPr>
          <w:rFonts w:ascii="仿宋" w:hAnsi="仿宋" w:eastAsia="仿宋"/>
          <w:sz w:val="32"/>
          <w:szCs w:val="32"/>
        </w:rPr>
        <w:t>4.22</w:t>
      </w:r>
      <w:r>
        <w:rPr>
          <w:rFonts w:hint="eastAsia" w:ascii="仿宋" w:hAnsi="仿宋" w:eastAsia="仿宋"/>
          <w:sz w:val="32"/>
          <w:szCs w:val="32"/>
        </w:rPr>
        <w:t>世界地球日”、</w:t>
      </w:r>
      <w:r>
        <w:rPr>
          <w:rFonts w:hint="eastAsia" w:ascii="仿宋" w:hAnsi="仿宋" w:eastAsia="仿宋"/>
          <w:sz w:val="32"/>
          <w:szCs w:val="32"/>
          <w:lang w:eastAsia="zh-CN"/>
        </w:rPr>
        <w:t>“</w:t>
      </w:r>
      <w:r>
        <w:rPr>
          <w:rFonts w:hint="eastAsia" w:ascii="仿宋" w:hAnsi="仿宋" w:eastAsia="仿宋"/>
          <w:sz w:val="32"/>
          <w:szCs w:val="32"/>
        </w:rPr>
        <w:t>5·12防灾减灾日</w:t>
      </w:r>
      <w:r>
        <w:rPr>
          <w:rFonts w:hint="eastAsia" w:ascii="仿宋" w:hAnsi="仿宋" w:eastAsia="仿宋"/>
          <w:sz w:val="32"/>
          <w:szCs w:val="32"/>
          <w:lang w:eastAsia="zh-CN"/>
        </w:rPr>
        <w:t>”、“6·8世界海洋日”、</w:t>
      </w:r>
      <w:r>
        <w:rPr>
          <w:rFonts w:hint="eastAsia" w:ascii="仿宋" w:hAnsi="仿宋" w:eastAsia="仿宋"/>
          <w:sz w:val="32"/>
          <w:szCs w:val="32"/>
        </w:rPr>
        <w:t>“</w:t>
      </w:r>
      <w:r>
        <w:rPr>
          <w:rFonts w:ascii="仿宋" w:hAnsi="仿宋" w:eastAsia="仿宋"/>
          <w:sz w:val="32"/>
          <w:szCs w:val="32"/>
        </w:rPr>
        <w:t>6.25</w:t>
      </w:r>
      <w:r>
        <w:rPr>
          <w:rFonts w:hint="eastAsia" w:ascii="仿宋" w:hAnsi="仿宋" w:eastAsia="仿宋"/>
          <w:sz w:val="32"/>
          <w:szCs w:val="32"/>
        </w:rPr>
        <w:t>全国土地日”</w:t>
      </w:r>
      <w:r>
        <w:rPr>
          <w:rFonts w:hint="eastAsia" w:ascii="仿宋" w:hAnsi="仿宋" w:eastAsia="仿宋"/>
          <w:sz w:val="32"/>
          <w:szCs w:val="32"/>
          <w:lang w:eastAsia="zh-CN"/>
        </w:rPr>
        <w:t>、“8.15全国生态日”</w:t>
      </w:r>
      <w:r>
        <w:rPr>
          <w:rFonts w:hint="eastAsia" w:ascii="仿宋" w:hAnsi="仿宋" w:eastAsia="仿宋"/>
          <w:sz w:val="32"/>
          <w:szCs w:val="32"/>
        </w:rPr>
        <w:t>等重要纪念日</w:t>
      </w:r>
      <w:r>
        <w:rPr>
          <w:rFonts w:hint="eastAsia" w:ascii="仿宋" w:hAnsi="仿宋" w:eastAsia="仿宋"/>
          <w:sz w:val="32"/>
          <w:szCs w:val="32"/>
          <w:lang w:eastAsia="zh-CN"/>
        </w:rPr>
        <w:t>活动</w:t>
      </w:r>
      <w:r>
        <w:rPr>
          <w:rFonts w:hint="eastAsia" w:ascii="仿宋" w:hAnsi="仿宋" w:eastAsia="仿宋"/>
          <w:sz w:val="32"/>
          <w:szCs w:val="32"/>
        </w:rPr>
        <w:t>均由自然资源部门组织实施</w:t>
      </w:r>
      <w:r>
        <w:rPr>
          <w:rFonts w:hint="eastAsia" w:ascii="仿宋" w:hAnsi="仿宋" w:eastAsia="仿宋"/>
          <w:sz w:val="32"/>
          <w:szCs w:val="32"/>
          <w:lang w:val="en-US" w:eastAsia="zh-CN"/>
        </w:rPr>
        <w:t>完成；三是</w:t>
      </w:r>
      <w:r>
        <w:rPr>
          <w:rFonts w:hint="eastAsia" w:ascii="仿宋" w:hAnsi="仿宋" w:eastAsia="仿宋"/>
          <w:sz w:val="32"/>
          <w:szCs w:val="32"/>
        </w:rPr>
        <w:t>依据自治区党委办公厅、政府办公厅和新闻出版局的有关规定，《新疆自然资源》杂志属内部资料型刊物，免费赠送自治区有关领导、各省自然资源厅和全疆自然资源系统干部职工</w:t>
      </w:r>
      <w:r>
        <w:rPr>
          <w:rFonts w:hint="eastAsia" w:ascii="仿宋_GB2312" w:eastAsia="仿宋_GB2312"/>
          <w:color w:val="auto"/>
          <w:sz w:val="32"/>
          <w:szCs w:val="32"/>
          <w:highlight w:val="none"/>
          <w:lang w:eastAsia="zh-CN"/>
        </w:rPr>
        <w:t>。发现的问题及原因：</w:t>
      </w:r>
      <w:r>
        <w:rPr>
          <w:rFonts w:hint="eastAsia" w:ascii="仿宋_GB2312" w:eastAsia="仿宋_GB2312"/>
          <w:sz w:val="32"/>
          <w:szCs w:val="32"/>
          <w:lang w:val="zh-CN"/>
        </w:rPr>
        <w:t>一是预算执行不够均衡项目预算编制方法还不够科学不够细化，各部门的沟通不够充分，对未来事业的发展需求缺少足够详实的支出规划，考虑还不够深入，导致预算支出执行进度前低后高；二是资金绩效考核指标不够完善绩效考核指标的设定还不够准确，部分指标的设定缺乏数据支持和科学的分析测评，无法全面反映项目的真实绩效。下一步改进措施：进一步加强对绩效管理工作的组织领导，提高对预算绩效管理工作重要性的认识，总结经验查找问题，加大全局对全面实施预算绩效管理和绩效管理工作的学习力度，让“花钱必问效，无效必问责”的理念深入工作每个环节</w:t>
      </w:r>
      <w:r>
        <w:rPr>
          <w:rFonts w:hint="eastAsia" w:ascii="仿宋_GB2312" w:eastAsia="仿宋_GB2312"/>
          <w:sz w:val="32"/>
          <w:szCs w:val="32"/>
          <w:lang w:val="en-US" w:eastAsia="zh-CN"/>
        </w:rPr>
        <w:t>,</w:t>
      </w:r>
      <w:r>
        <w:rPr>
          <w:rFonts w:hint="eastAsia" w:ascii="仿宋_GB2312" w:eastAsia="仿宋_GB2312"/>
          <w:sz w:val="32"/>
          <w:szCs w:val="32"/>
          <w:lang w:val="zh-CN"/>
        </w:rPr>
        <w:t>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30" w:name="_Toc3250"/>
      <w:bookmarkStart w:id="31" w:name="_Toc24143"/>
      <w:r>
        <w:rPr>
          <w:rFonts w:hint="eastAsia" w:ascii="仿宋_GB2312" w:hAnsi="仿宋_GB2312" w:eastAsia="仿宋_GB2312" w:cs="仿宋_GB2312"/>
          <w:color w:val="auto"/>
          <w:kern w:val="0"/>
          <w:sz w:val="32"/>
          <w:szCs w:val="32"/>
          <w:highlight w:val="none"/>
          <w:lang w:val="en-US"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422003363"/>
                          </w:sdtPr>
                          <w:sdtEndPr>
                            <w:rPr>
                              <w:rFonts w:hint="eastAsia" w:asciiTheme="majorEastAsia" w:hAnsiTheme="majorEastAsia" w:eastAsiaTheme="majorEastAsia" w:cstheme="majorEastAsia"/>
                              <w:sz w:val="24"/>
                              <w:szCs w:val="24"/>
                            </w:rPr>
                          </w:sdtEndPr>
                          <w:sdtContent>
                            <w:p>
                              <w:pPr>
                                <w:pStyle w:val="4"/>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sdt>
                    <w:sdtPr>
                      <w:id w:val="422003363"/>
                    </w:sdtPr>
                    <w:sdtEndPr>
                      <w:rPr>
                        <w:rFonts w:hint="eastAsia" w:asciiTheme="majorEastAsia" w:hAnsiTheme="majorEastAsia" w:eastAsiaTheme="majorEastAsia" w:cstheme="majorEastAsia"/>
                        <w:sz w:val="24"/>
                        <w:szCs w:val="24"/>
                      </w:rPr>
                    </w:sdtEndPr>
                    <w:sdtContent>
                      <w:p>
                        <w:pPr>
                          <w:pStyle w:val="4"/>
                          <w:jc w:val="center"/>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fldChar w:fldCharType="begin"/>
                        </w:r>
                        <w:r>
                          <w:rPr>
                            <w:rFonts w:hint="eastAsia" w:asciiTheme="majorEastAsia" w:hAnsiTheme="majorEastAsia" w:eastAsiaTheme="majorEastAsia" w:cstheme="majorEastAsia"/>
                            <w:sz w:val="24"/>
                            <w:szCs w:val="24"/>
                          </w:rPr>
                          <w:instrText xml:space="preserve">PAGE   \* MERGEFORMAT</w:instrText>
                        </w:r>
                        <w:r>
                          <w:rPr>
                            <w:rFonts w:hint="eastAsia" w:asciiTheme="majorEastAsia" w:hAnsiTheme="majorEastAsia" w:eastAsiaTheme="majorEastAsia" w:cstheme="majorEastAsia"/>
                            <w:sz w:val="24"/>
                            <w:szCs w:val="24"/>
                          </w:rPr>
                          <w:fldChar w:fldCharType="separate"/>
                        </w:r>
                        <w:r>
                          <w:rPr>
                            <w:rFonts w:hint="eastAsia" w:asciiTheme="majorEastAsia" w:hAnsiTheme="majorEastAsia" w:eastAsiaTheme="majorEastAsia" w:cstheme="majorEastAsia"/>
                            <w:sz w:val="24"/>
                            <w:szCs w:val="24"/>
                            <w:lang w:val="zh-CN"/>
                          </w:rPr>
                          <w:t>47</w:t>
                        </w:r>
                        <w:r>
                          <w:rPr>
                            <w:rFonts w:hint="eastAsia" w:asciiTheme="majorEastAsia" w:hAnsiTheme="majorEastAsia" w:eastAsiaTheme="majorEastAsia" w:cstheme="majorEastAsia"/>
                            <w:sz w:val="24"/>
                            <w:szCs w:val="24"/>
                            <w:lang w:val="zh-CN"/>
                          </w:rPr>
                          <w:fldChar w:fldCharType="end"/>
                        </w:r>
                      </w:p>
                    </w:sdtContent>
                  </w:sdt>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ZDYwNjg1ZjU0OWUzODg2NDlmOWVjNTUxNzAxMzI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6D635E"/>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4F26B57"/>
    <w:rsid w:val="150A66AF"/>
    <w:rsid w:val="154C1139"/>
    <w:rsid w:val="158C5B77"/>
    <w:rsid w:val="160D1149"/>
    <w:rsid w:val="163563C0"/>
    <w:rsid w:val="164315EF"/>
    <w:rsid w:val="16557DFE"/>
    <w:rsid w:val="167268FB"/>
    <w:rsid w:val="16D50C50"/>
    <w:rsid w:val="16E120E1"/>
    <w:rsid w:val="17385A05"/>
    <w:rsid w:val="173B3901"/>
    <w:rsid w:val="176747F9"/>
    <w:rsid w:val="17954A6E"/>
    <w:rsid w:val="17E53ECF"/>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EE2B2E"/>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2B3B52"/>
    <w:rsid w:val="2C6F314E"/>
    <w:rsid w:val="2CC206BE"/>
    <w:rsid w:val="2D1136DF"/>
    <w:rsid w:val="2D20606D"/>
    <w:rsid w:val="2DB87198"/>
    <w:rsid w:val="2DB93C54"/>
    <w:rsid w:val="2E3D144C"/>
    <w:rsid w:val="2E891204"/>
    <w:rsid w:val="2F3F0A28"/>
    <w:rsid w:val="2F6D5F55"/>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B1483F"/>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624D3E"/>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29602E"/>
    <w:rsid w:val="434E6957"/>
    <w:rsid w:val="43BA0E31"/>
    <w:rsid w:val="43C15147"/>
    <w:rsid w:val="43E14DD2"/>
    <w:rsid w:val="43F800E9"/>
    <w:rsid w:val="443A7E4B"/>
    <w:rsid w:val="452D176A"/>
    <w:rsid w:val="452F5B3A"/>
    <w:rsid w:val="454E7FD2"/>
    <w:rsid w:val="46061BDC"/>
    <w:rsid w:val="461404F8"/>
    <w:rsid w:val="463D5A5E"/>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D2494B"/>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977DAF"/>
    <w:rsid w:val="56A93273"/>
    <w:rsid w:val="56BD550C"/>
    <w:rsid w:val="56E07045"/>
    <w:rsid w:val="56FF28AF"/>
    <w:rsid w:val="57540E7D"/>
    <w:rsid w:val="577B4878"/>
    <w:rsid w:val="57926973"/>
    <w:rsid w:val="57AE66EF"/>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040E3"/>
    <w:rsid w:val="69846A0E"/>
    <w:rsid w:val="69AD798C"/>
    <w:rsid w:val="69D005C0"/>
    <w:rsid w:val="69D80B96"/>
    <w:rsid w:val="6B68175F"/>
    <w:rsid w:val="6BFD799F"/>
    <w:rsid w:val="6C4A2E5A"/>
    <w:rsid w:val="6C8138D0"/>
    <w:rsid w:val="6CA315AB"/>
    <w:rsid w:val="6CEF0725"/>
    <w:rsid w:val="6D026DBD"/>
    <w:rsid w:val="6D4B2604"/>
    <w:rsid w:val="6D8030E4"/>
    <w:rsid w:val="6E0E35C4"/>
    <w:rsid w:val="6E0F7A08"/>
    <w:rsid w:val="6E3947F5"/>
    <w:rsid w:val="6E9C74ED"/>
    <w:rsid w:val="6EF72976"/>
    <w:rsid w:val="6F795A80"/>
    <w:rsid w:val="6F7C1D2E"/>
    <w:rsid w:val="6F8E0407"/>
    <w:rsid w:val="6FDD069F"/>
    <w:rsid w:val="700E52FA"/>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FE1DE3"/>
    <w:rsid w:val="751D7C0A"/>
    <w:rsid w:val="75722D56"/>
    <w:rsid w:val="75DB5477"/>
    <w:rsid w:val="75FC6AC3"/>
    <w:rsid w:val="7616619B"/>
    <w:rsid w:val="76660D7C"/>
    <w:rsid w:val="766C5968"/>
    <w:rsid w:val="76BE0C8F"/>
    <w:rsid w:val="76CD53B2"/>
    <w:rsid w:val="770719AC"/>
    <w:rsid w:val="776526CC"/>
    <w:rsid w:val="77A262E1"/>
    <w:rsid w:val="77B13C33"/>
    <w:rsid w:val="77E90CB9"/>
    <w:rsid w:val="77ED6F44"/>
    <w:rsid w:val="77F45548"/>
    <w:rsid w:val="784E7CA6"/>
    <w:rsid w:val="78574801"/>
    <w:rsid w:val="7873527F"/>
    <w:rsid w:val="790A6425"/>
    <w:rsid w:val="790E2D96"/>
    <w:rsid w:val="791B54B2"/>
    <w:rsid w:val="795A0A34"/>
    <w:rsid w:val="797339C3"/>
    <w:rsid w:val="79D57D57"/>
    <w:rsid w:val="79F00650"/>
    <w:rsid w:val="7A6242BF"/>
    <w:rsid w:val="7A794513"/>
    <w:rsid w:val="7A953775"/>
    <w:rsid w:val="7AE952D2"/>
    <w:rsid w:val="7C976D69"/>
    <w:rsid w:val="7CD752DA"/>
    <w:rsid w:val="7CDE40AB"/>
    <w:rsid w:val="7CE2422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styleId="15">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5605</Words>
  <Characters>6221</Characters>
  <Lines>0</Lines>
  <Paragraphs>0</Paragraphs>
  <TotalTime>10</TotalTime>
  <ScaleCrop>false</ScaleCrop>
  <LinksUpToDate>false</LinksUpToDate>
  <CharactersWithSpaces>6232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2024-09-07T14:50:23Z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C9542198AB2642D8B83FB2D562095892_13</vt:lpwstr>
  </property>
</Properties>
</file>