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ody>
    <w:p>
      <w:pPr>
        <w:widowControl/>
        <w:jc w:val="left"/>
        <w:rPr>
          <w:rFonts w:ascii="黑体" w:cs="宋体" w:eastAsia="黑体" w:hAnsi="黑体"/>
          <w:color w:val="333333"/>
          <w:sz w:val="32"/>
          <w:szCs w:val="32"/>
          <w:lang w:bidi="ar"/>
        </w:rPr>
      </w:pPr>
      <w:r>
        <w:rPr>
          <w:rFonts w:ascii="黑体" w:cs="宋体" w:eastAsia="黑体" w:hAnsi="黑体" w:hint="eastAsia"/>
          <w:color w:val="333333"/>
          <w:sz w:val="32"/>
          <w:szCs w:val="32"/>
          <w:lang w:bidi="ar"/>
        </w:rPr>
        <w:t>附件4：</w:t>
      </w:r>
      <w:bookmarkStart w:id="1" w:name="_GoBack"/>
      <w:bookmarkEnd w:id="1"/>
    </w:p>
    <w:p>
      <w:pPr>
        <w:spacing w:line="540" w:lineRule="exact"/>
        <w:jc w:val="center"/>
        <w:rPr>
          <w:rFonts w:ascii="方正小标宋_GBK" w:cs="宋体" w:eastAsia="方正小标宋_GBK" w:hAnsi="华文中宋"/>
          <w:b/>
          <w:kern w:val="0"/>
          <w:sz w:val="48"/>
          <w:szCs w:val="48"/>
        </w:rPr>
      </w:pPr>
    </w:p>
    <w:p>
      <w:pPr>
        <w:spacing w:line="540" w:lineRule="exact"/>
        <w:jc w:val="center"/>
        <w:rPr>
          <w:rFonts w:ascii="方正小标宋_GBK" w:cs="宋体" w:eastAsia="方正小标宋_GBK" w:hAnsi="华文中宋"/>
          <w:b/>
          <w:kern w:val="0"/>
          <w:sz w:val="48"/>
          <w:szCs w:val="48"/>
        </w:rPr>
      </w:pPr>
    </w:p>
    <w:p>
      <w:pPr>
        <w:spacing w:line="540" w:lineRule="exact"/>
        <w:jc w:val="center"/>
        <w:rPr>
          <w:rFonts w:ascii="方正小标宋_GBK" w:cs="宋体" w:eastAsia="方正小标宋_GBK" w:hAnsi="华文中宋"/>
          <w:b/>
          <w:kern w:val="0"/>
          <w:sz w:val="48"/>
          <w:szCs w:val="48"/>
        </w:rPr>
      </w:pPr>
    </w:p>
    <w:p>
      <w:pPr>
        <w:spacing w:line="540" w:lineRule="exact"/>
        <w:jc w:val="center"/>
        <w:rPr>
          <w:rFonts w:ascii="方正小标宋_GBK" w:cs="宋体" w:eastAsia="方正小标宋_GBK" w:hAnsi="华文中宋"/>
          <w:b/>
          <w:kern w:val="0"/>
          <w:sz w:val="48"/>
          <w:szCs w:val="48"/>
        </w:rPr>
      </w:pPr>
    </w:p>
    <w:p>
      <w:pPr>
        <w:spacing w:line="540" w:lineRule="exact"/>
        <w:jc w:val="center"/>
        <w:rPr>
          <w:rFonts w:ascii="方正小标宋_GBK" w:cs="宋体" w:eastAsia="方正小标宋_GBK" w:hAnsi="华文中宋"/>
          <w:b/>
          <w:kern w:val="0"/>
          <w:sz w:val="48"/>
          <w:szCs w:val="48"/>
        </w:rPr>
      </w:pPr>
    </w:p>
    <w:p>
      <w:pPr>
        <w:spacing w:line="540" w:lineRule="exact"/>
        <w:jc w:val="center"/>
        <w:rPr>
          <w:rFonts w:ascii="方正小标宋_GBK" w:cs="宋体" w:eastAsia="方正小标宋_GBK" w:hAnsi="华文中宋"/>
          <w:b/>
          <w:kern w:val="0"/>
          <w:sz w:val="48"/>
          <w:szCs w:val="48"/>
        </w:rPr>
      </w:pPr>
    </w:p>
    <w:p>
      <w:pPr>
        <w:spacing w:line="540" w:lineRule="exact"/>
        <w:jc w:val="center"/>
        <w:rPr>
          <w:rFonts w:ascii="方正小标宋_GBK" w:cs="宋体" w:eastAsia="方正小标宋_GBK" w:hAnsi="华文中宋"/>
          <w:b/>
          <w:kern w:val="0"/>
          <w:sz w:val="48"/>
          <w:szCs w:val="48"/>
        </w:rPr>
      </w:pPr>
      <w:r>
        <w:rPr>
          <w:rFonts w:ascii="方正小标宋_GBK" w:cs="宋体" w:eastAsia="方正小标宋_GBK" w:hAnsi="华文中宋" w:hint="eastAsia"/>
          <w:b/>
          <w:kern w:val="0"/>
          <w:sz w:val="48"/>
          <w:szCs w:val="48"/>
        </w:rPr>
        <w:t>部门单位整体支出绩效</w:t>
      </w:r>
    </w:p>
    <w:p>
      <w:pPr>
        <w:spacing w:line="540" w:lineRule="exact"/>
        <w:jc w:val="center"/>
        <w:rPr>
          <w:rFonts w:ascii="方正小标宋_GBK" w:cs="宋体" w:eastAsia="方正小标宋_GBK" w:hAnsi="华文中宋"/>
          <w:b/>
          <w:kern w:val="0"/>
          <w:sz w:val="48"/>
          <w:szCs w:val="48"/>
        </w:rPr>
      </w:pPr>
      <w:r>
        <w:rPr>
          <w:rFonts w:ascii="方正小标宋_GBK" w:cs="宋体" w:eastAsia="方正小标宋_GBK" w:hAnsi="华文中宋" w:hint="eastAsia"/>
          <w:b/>
          <w:kern w:val="0"/>
          <w:sz w:val="48"/>
          <w:szCs w:val="48"/>
        </w:rPr>
        <w:t>自评报告</w:t>
      </w:r>
    </w:p>
    <w:p>
      <w:pPr>
        <w:spacing w:line="540" w:lineRule="exact"/>
        <w:jc w:val="center"/>
        <w:rPr>
          <w:rFonts w:ascii="华文中宋" w:cs="宋体" w:eastAsia="华文中宋" w:hAnsi="华文中宋"/>
          <w:b/>
          <w:kern w:val="0"/>
          <w:sz w:val="52"/>
          <w:szCs w:val="52"/>
        </w:rPr>
      </w:pPr>
    </w:p>
    <w:p>
      <w:pPr>
        <w:spacing w:line="540" w:lineRule="exact"/>
        <w:jc w:val="center"/>
        <w:rPr>
          <w:rFonts w:cs="宋体" w:eastAsia="仿宋_GB2312" w:hAnsi="宋体"/>
          <w:kern w:val="0"/>
          <w:sz w:val="36"/>
          <w:szCs w:val="36"/>
        </w:rPr>
      </w:pPr>
      <w:r>
        <w:rPr>
          <w:rFonts w:cs="宋体" w:eastAsia="仿宋_GB2312" w:hAnsi="宋体" w:hint="eastAsia"/>
          <w:kern w:val="0"/>
          <w:sz w:val="36"/>
          <w:szCs w:val="36"/>
        </w:rPr>
        <w:t>（</w:t>
      </w:r>
      <w:r>
        <w:rPr>
          <w:rFonts w:ascii="仿宋_GB2312" w:eastAsia="仿宋_GB2312" w:hAnsi="宋体" w:hint="eastAsia"/>
          <w:b/>
          <w:sz w:val="32"/>
          <w:szCs w:val="32"/>
        </w:rPr>
        <w:t>2023</w:t>
      </w:r>
      <w:r>
        <w:rPr>
          <w:rFonts w:cs="宋体" w:eastAsia="仿宋_GB2312" w:hAnsi="宋体" w:hint="eastAsia"/>
          <w:kern w:val="0"/>
          <w:sz w:val="36"/>
          <w:szCs w:val="36"/>
        </w:rPr>
        <w:t>年度）</w:t>
      </w:r>
    </w:p>
    <w:p>
      <w:pPr>
        <w:spacing w:line="700" w:lineRule="exact"/>
        <w:jc w:val="left"/>
        <w:rPr>
          <w:rFonts w:cs="宋体" w:eastAsia="仿宋_GB2312" w:hAnsi="宋体"/>
          <w:kern w:val="0"/>
          <w:sz w:val="36"/>
          <w:szCs w:val="36"/>
        </w:rPr>
      </w:pPr>
    </w:p>
    <w:p>
      <w:pPr>
        <w:spacing w:line="700" w:lineRule="exact"/>
        <w:jc w:val="left"/>
        <w:rPr>
          <w:rFonts w:cs="宋体" w:eastAsia="仿宋_GB2312" w:hAnsi="宋体"/>
          <w:kern w:val="0"/>
          <w:sz w:val="36"/>
          <w:szCs w:val="36"/>
        </w:rPr>
      </w:pPr>
    </w:p>
    <w:p>
      <w:pPr>
        <w:spacing w:line="700" w:lineRule="exact"/>
        <w:jc w:val="left"/>
        <w:rPr>
          <w:rFonts w:cs="宋体" w:eastAsia="仿宋_GB2312" w:hAnsi="宋体"/>
          <w:kern w:val="0"/>
          <w:sz w:val="36"/>
          <w:szCs w:val="36"/>
        </w:rPr>
      </w:pPr>
    </w:p>
    <w:p>
      <w:pPr>
        <w:spacing w:line="700" w:lineRule="exact"/>
        <w:jc w:val="left"/>
        <w:rPr>
          <w:rFonts w:cs="宋体" w:eastAsia="仿宋_GB2312" w:hAnsi="宋体"/>
          <w:kern w:val="0"/>
          <w:sz w:val="36"/>
          <w:szCs w:val="36"/>
        </w:rPr>
      </w:pPr>
    </w:p>
    <w:p>
      <w:pPr>
        <w:spacing w:line="700" w:lineRule="exact"/>
        <w:jc w:val="left"/>
        <w:rPr>
          <w:rFonts w:cs="宋体" w:eastAsia="仿宋_GB2312" w:hAnsi="宋体"/>
          <w:kern w:val="0"/>
          <w:sz w:val="36"/>
          <w:szCs w:val="36"/>
        </w:rPr>
      </w:pPr>
    </w:p>
    <w:p>
      <w:pPr>
        <w:spacing w:line="700" w:lineRule="exact"/>
        <w:jc w:val="left"/>
        <w:rPr>
          <w:rFonts w:cs="宋体" w:eastAsia="仿宋_GB2312" w:hAnsi="宋体"/>
          <w:kern w:val="0"/>
          <w:sz w:val="36"/>
          <w:szCs w:val="36"/>
        </w:rPr>
      </w:pPr>
    </w:p>
    <w:p>
      <w:pPr>
        <w:spacing w:line="700" w:lineRule="exact"/>
        <w:jc w:val="left"/>
        <w:rPr>
          <w:rFonts w:cs="宋体" w:eastAsia="仿宋_GB2312" w:hAnsi="宋体"/>
          <w:kern w:val="0"/>
          <w:sz w:val="36"/>
          <w:szCs w:val="36"/>
        </w:rPr>
      </w:pPr>
    </w:p>
    <w:p>
      <w:pPr>
        <w:spacing w:line="700" w:lineRule="exact"/>
        <w:jc w:val="left"/>
        <w:rPr>
          <w:rFonts w:cs="宋体" w:eastAsia="仿宋_GB2312" w:hAnsi="宋体"/>
          <w:kern w:val="0"/>
          <w:sz w:val="36"/>
          <w:szCs w:val="36"/>
        </w:rPr>
      </w:pPr>
    </w:p>
    <w:p>
      <w:pPr>
        <w:spacing w:line="540" w:lineRule="exact"/>
        <w:ind w:firstLine="720" w:firstLineChars="200"/>
        <w:rPr>
          <w:rFonts w:cs="宋体" w:eastAsia="仿宋_GB2312" w:hAnsi="宋体"/>
          <w:kern w:val="0"/>
          <w:sz w:val="44"/>
          <w:szCs w:val="44"/>
        </w:rPr>
      </w:pPr>
      <w:r>
        <w:rPr>
          <w:rFonts w:cs="宋体" w:eastAsia="仿宋_GB2312" w:hAnsi="宋体" w:hint="eastAsia"/>
          <w:kern w:val="0"/>
          <w:sz w:val="36"/>
          <w:szCs w:val="36"/>
        </w:rPr>
        <w:t>部门单位名称（公章）</w:t>
      </w:r>
      <w:r>
        <w:rPr>
          <w:rFonts w:ascii="仿宋" w:cs="仿宋" w:eastAsia="仿宋" w:hAnsi="仿宋" w:hint="eastAsia"/>
          <w:kern w:val="0"/>
          <w:sz w:val="44"/>
          <w:szCs w:val="44"/>
        </w:rPr>
        <w:t>：</w:t>
      </w:r>
      <w:r>
        <w:rPr>
          <w:rStyle w:val="6"/>
          <w:rFonts w:ascii="仿宋" w:cs="仿宋" w:eastAsia="仿宋" w:hAnsi="仿宋" w:hint="eastAsia"/>
          <w:b w:val="0"/>
          <w:bCs w:val="0"/>
          <w:spacing w:val="-4"/>
          <w:sz w:val="44"/>
          <w:szCs w:val="44"/>
        </w:rPr>
        <w:t>新疆维吾尔自治区自然资源厅</w:t>
      </w:r>
    </w:p>
    <w:p>
      <w:pPr>
        <w:spacing w:line="540" w:lineRule="exact"/>
        <w:ind w:firstLine="720" w:firstLineChars="200"/>
        <w:rPr>
          <w:rFonts w:ascii="仿宋" w:cs="仿宋" w:eastAsia="仿宋" w:hAnsi="仿宋"/>
          <w:kern w:val="0"/>
          <w:sz w:val="44"/>
          <w:szCs w:val="44"/>
        </w:rPr>
      </w:pPr>
      <w:r>
        <w:rPr>
          <w:rFonts w:cs="宋体" w:eastAsia="仿宋_GB2312" w:hAnsi="宋体" w:hint="eastAsia"/>
          <w:kern w:val="0"/>
          <w:sz w:val="36"/>
          <w:szCs w:val="36"/>
        </w:rPr>
        <w:t>填报时间：</w:t>
      </w:r>
      <w:r>
        <w:rPr>
          <w:rStyle w:val="6"/>
          <w:rFonts w:ascii="仿宋" w:cs="仿宋" w:eastAsia="仿宋" w:hAnsi="仿宋" w:hint="eastAsia"/>
          <w:b w:val="0"/>
          <w:bCs w:val="0"/>
          <w:spacing w:val="-4"/>
          <w:sz w:val="44"/>
          <w:szCs w:val="44"/>
        </w:rPr>
        <w:t>2024年03月29日</w:t>
      </w:r>
    </w:p>
    <w:p>
      <w:pPr>
        <w:spacing w:line="700" w:lineRule="exact"/>
        <w:jc w:val="left"/>
        <w:rPr>
          <w:rFonts w:cs="宋体" w:eastAsia="仿宋_GB2312" w:hAnsi="宋体"/>
          <w:kern w:val="0"/>
          <w:sz w:val="36"/>
          <w:szCs w:val="36"/>
        </w:rPr>
      </w:pPr>
    </w:p>
    <w:p>
      <w:pPr>
        <w:spacing w:line="700" w:lineRule="exact"/>
        <w:jc w:val="left"/>
        <w:rPr>
          <w:rFonts w:cs="宋体" w:eastAsia="仿宋_GB2312" w:hAnsi="宋体"/>
          <w:kern w:val="0"/>
          <w:sz w:val="36"/>
          <w:szCs w:val="36"/>
        </w:rPr>
      </w:pPr>
    </w:p>
    <w:p>
      <w:pPr>
        <w:numPr>
          <w:ilvl w:val="0"/>
          <w:numId w:val="1"/>
        </w:numPr>
        <w:snapToGrid w:val="0"/>
        <w:spacing w:line="540" w:lineRule="exact"/>
        <w:rPr>
          <w:rFonts w:ascii="黑体" w:cs="宋体" w:eastAsia="黑体" w:hAnsi="黑体"/>
          <w:b/>
          <w:color w:themeColor="text1" w:val="000000"/>
          <w:sz w:val="32"/>
          <w:szCs w:val="32"/>
          <w:lang w:bidi="ar"/>
          <w14:textFill>
            <w14:solidFill>
              <w14:schemeClr w14:val="tx1"/>
            </w14:solidFill>
          </w14:textFill>
        </w:rPr>
      </w:pPr>
      <w:r>
        <w:rPr>
          <w:rFonts w:ascii="黑体" w:cs="宋体" w:eastAsia="黑体" w:hAnsi="黑体" w:hint="eastAsia"/>
          <w:b/>
          <w:color w:themeColor="text1" w:val="000000"/>
          <w:sz w:val="32"/>
          <w:szCs w:val="32"/>
          <w:lang w:bidi="ar"/>
          <w14:textFill>
            <w14:solidFill>
              <w14:schemeClr w14:val="tx1"/>
            </w14:solidFill>
          </w14:textFill>
        </w:rPr>
        <w:t>基本概况：</w:t>
      </w:r>
    </w:p>
    <w:p>
      <w:pPr>
        <w:spacing w:line="600" w:lineRule="exact"/>
        <w:ind w:firstLine="964" w:firstLineChars="300"/>
        <w:jc w:val="left"/>
        <w:rPr>
          <w:rFonts w:ascii="Arial" w:cs="Arial" w:hAnsi="Arial" w:hint="eastAsia"/>
          <w:b/>
          <w:bCs/>
          <w:color w:val="333333"/>
          <w:sz w:val="30"/>
          <w:szCs w:val="30"/>
        </w:rPr>
      </w:pPr>
      <w:r>
        <w:rPr>
          <w:rFonts w:ascii="黑体" w:cs="宋体" w:eastAsia="黑体" w:hAnsi="黑体" w:hint="eastAsia"/>
          <w:b/>
          <w:color w:themeColor="text1" w:val="000000"/>
          <w:sz w:val="32"/>
          <w:szCs w:val="32"/>
          <w:lang w:bidi="ar"/>
          <w14:textFill>
            <w14:solidFill>
              <w14:schemeClr w14:val="tx1"/>
            </w14:solidFill>
          </w14:textFill>
        </w:rPr>
        <w:t>（一）</w:t>
      </w:r>
      <w:r>
        <w:rPr>
          <w:rFonts w:ascii="黑体" w:cs="宋体" w:eastAsia="黑体" w:hAnsi="黑体"/>
          <w:b/>
          <w:color w:themeColor="text1" w:val="000000"/>
          <w:sz w:val="32"/>
          <w:szCs w:val="32"/>
          <w:lang w:bidi="ar"/>
          <w14:textFill>
            <w14:solidFill>
              <w14:schemeClr w14:val="tx1"/>
            </w14:solidFill>
          </w14:textFill>
        </w:rPr>
        <w:t>部门单位基本情况</w:t>
      </w:r>
      <w:r>
        <w:rPr>
          <w:rFonts w:ascii="Arial" w:cs="Arial" w:hAnsi="Arial" w:hint="eastAsia"/>
          <w:b/>
          <w:bCs/>
          <w:color w:val="333333"/>
          <w:sz w:val="30"/>
          <w:szCs w:val="30"/>
        </w:rPr>
        <w:t>：</w:t>
      </w:r>
    </w:p>
    <w:p>
      <w:pPr>
        <w:spacing w:line="600" w:lineRule="exact"/>
        <w:ind w:firstLine="960" w:firstLineChars="300"/>
        <w:jc w:val="left"/>
        <w:rPr>
          <w:rFonts w:ascii="仿宋_GB2312" w:eastAsia="仿宋_GB2312" w:hAnsi="宋体"/>
          <w:bCs/>
          <w:sz w:val="32"/>
          <w:szCs w:val="32"/>
        </w:rPr>
      </w:pPr>
      <w:r>
        <w:rPr>
          <w:rFonts w:ascii="仿宋_GB2312" w:eastAsia="仿宋_GB2312" w:hAnsi="宋体" w:hint="eastAsia"/>
          <w:bCs/>
          <w:sz w:val="32"/>
          <w:szCs w:val="32"/>
        </w:rPr>
        <w:t>部门单位基本情况</w:t>
        <w:br/>
        <w:t>1、主要职能</w:t>
        <w:br/>
        <w:t>根据自治区党委办公厅、自治区人民政府办公厅《关于新疆维吾尔自治区机构改革方案的实施意见的通知》，我厅主要职能为贯彻落实党中央关于自然资源工作的方针政策和决策部署以及自治区党委工作要求，在履行职责过程中坚持和加强党对自然资源工作的集中统一领导。主要职能是：</w:t>
        <w:br/>
        <w:t>（1）履行全民所有土地、矿产、森林、草原、湿地、水等自然资源资产所有者职间用途管制职责。贯彻执行自然资源和国土空间规划及测绘等法律法规，起草自治区自然资源和国土空间规划及测绘等地方性法规和政府规章草案并监督检查执行情况。</w:t>
        <w:br/>
        <w:t>（2）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指导地县自然资源调查监测评价工作。</w:t>
        <w:br/>
        <w:t>（3）负责自然资源统一确权登记工作。贯彻执行国家各类自然资源和不动产统一确权登记、权籍调查、不动产测绘、争议调处、成果应用的制度、标准、规范。建立健全自然资源和不动产登记信息管理基础平台。负责自治区自然资源和不动产登记资料收集、整理、共享、汇交管理等。会同有关部门提出处理土地、草场等纠纷的配套政策。组织有关部门调查、裁定自治区内土地、草场、矿山、林地、水域等权属纠纷。指导监督全区自然资源和不动产确权登记工作。</w:t>
        <w:br/>
        <w:t>（4）负责自然资源资产有偿使用工作。贯彻执行国家全民所有自然资源资产统计制度，负责自治区全民所有自然资源资产核算。编制自治区全民所有自然资源资产负债表，拟订考核标准。贯彻执行国家全民所有自然资源资产划拨、出让、租赁、作价出资和土地储备政策并拟定自治区有关政策，合理配置自治区全民所有自然资源资产。负责自治区自然资源资产价值评估管理，依法收缴相关资产收益。</w:t>
        <w:br/>
        <w:t>（5）负责自然资源的合理开发利用。组织拟订自治区自然资源发展规划和战略，拟订自然资源开发利用标准并组织实施，建立政府公示自然资源价格体系，组织开展自然资源分等定级价格评估，开展自然资源利用评价考核，指导节约集约利用。负责自治区自然资源市场监管。组织研究自治区自然资源管理涉及宏观调控、区域协调和城乡统筹的政策措施。</w:t>
        <w:br/>
        <w:t>（6）负责建立空间规划体系并监督实施。推进自治区主体功能区战略和制度，组织编制并监督实施国土空间规划和相关专项规划。开展自治区国土空间开发适宜性评价，建立国土空间规划实施监测、评估和预警体系。组织划定自治区生态保护红线、永久基本农田、城镇开发边界等控制线，构建节约资源和保护环境的生产、生活、生态空间布局。建立健全自治区国土空间用途管制制度，研究拟订城乡规划政策并监督实施。组织拟订并实施自治区土地等自然资源年度利用计划。负责自治区土地等国土空间用途转用工作。负责自治区土地征收征用管理。</w:t>
        <w:br/>
        <w:t>（7）负责统筹国土空间生态修复。牵头组织编制自治区国土空间生态修复规划并实施有关生态修复重大工程。负责自治区国土空间综合整治、土地整理复垦、矿山地质环境恢复治理等工作。牵头拟订和实施自治区生态保护补偿制度，拟订合理利用社会资金进行生态修复的政策措施，提出重大备选项目。</w:t>
        <w:br/>
        <w:t>（8）负责组织实施最严格的耕地保护制度。贯彻执行国家耕地保护政策并牵头拟订和实施自治区有关政策，负责耕地数量、质量、生态保护。组织实施自治区耕地保护责任目标考核和永久基本农田特殊保护。完善自治区耕地占补平衡制度，监督占用耕地补偿制度执行情况。</w:t>
        <w:br/>
        <w:t>（9）负责管理地质勘查行业和全区地质工作。编制自治区地质勘查规划并监督检查执行情况。管理自治区级地质勘查项目。组织实施自治区重大地质矿产勘查专项。负责自治区地质灾害预防和治理，监督管理地下水过量开采及引发的地面沉降等地质问题。负责自治区古生物化石的监督管理。</w:t>
        <w:br/>
        <w:t>（10）负责落实综合防灾减灾规划相关要求，组织编制自治区地质灾害防治规划和防护标准并指导实施。组织指导协调和监督自治区地质灾害调查评价及隐患的普查、详查、排查。指导开展群测群防、专业监测和预报预警等工作，指导开展地质灾害工程治理工作。承担自治区地质灾害应急救援的技术支撑工作。</w:t>
        <w:br/>
        <w:t>（11）负责矿产资源管理工作。负责自治区矿产资源储量管理及压覆矿产资源审批。负责自治区矿业权管理。会同有关部门承担自治区保护性开采的特定矿种、优势矿产的调控及相关管理工作。监督指导全区矿产资源合理利用和保护。</w:t>
        <w:br/>
        <w:t>（12）负责测绘地理信息管理工作。负责自治区基础测绘和测绘行业管理。负责自治区测绘资质资格与信用管理，监督管理自治区地理信息安全和市场秩序。负责自治区地理信息公共服务管理。负责自治区测量标志保护。</w:t>
        <w:br/>
        <w:t>（13）推动自然资源领域科技发展。制定并实施自治区自然资源领域科技创新发展和人才培养战略、规划和计划。组织监督实施搜术标准、规程规范。组织实施自治区重大科技工程及创新能力建设，推进自然资源信息化和信息资料的公共服务。组织参与自然资源领域对外交流合作。</w:t>
        <w:br/>
        <w:t>（14）根据授权，对地（州、市）、县（市、区）政府落实党中央、国务院关于自然资源和国土空间规划的重大方针政策、决策部署和自治区党委、自治区人民政府工作要求及法律法规执行情况进行督察。查处自然资源开发利用和国土空间规划及测绘重大违法案件。指导地（州、市）、县（市、区）有关行政执法工作。</w:t>
        <w:br/>
        <w:t>（15）统一领导和管理自治区林业和草原局。</w:t>
        <w:br/>
        <w:t>（16）完成自治区党委、自治区人民政府交办的其他任务。</w:t>
        <w:br/>
        <w:t>（17）职能转变。自治区自然资源厅要落实中央和自治区关于统一行使全民所有自然资源资产所有者职责，统一行使所有国土空间用途管制和生态保护修复职责的要求，强化顶层设计，发挥国土空间规划管控作用，为保护和合理开发利用自然资源提供科学指引。进一步加强自治区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</w:t>
        <w:br/>
        <w:t>2、人员构成</w:t>
        <w:br/>
        <w:t>自治区自然资源厅是自治区人民政府组成部门，为正厅级。自治区自然资源厅贯彻落实党中央关于自然资源工作的方针政策和决策部署以及自治区党委工作要求，在履行职责过程中坚持和加强党对自然资源工作的集中统一领导。</w:t>
        <w:br/>
        <w:t>自治区自然资源厅本级下设25个处室，分别是：机关党委、离退休干部工作处、工会工作委员会、办公室、综合和改革处、法规处、自然资源调查监测处、自然资源确权登记局、自然资源所有者权益处、自然资源开发利用处、国土空间规划局、国土空间用途管制处、国土空间生态修复处、耕地保护监督处、地质勘查管理处、矿业权管理处、矿产资源保护监督处、国土测绘处、地理信息管理处、自然资源督察办公室、执法局、科技外事处、财务处、审计处、人事处。自治区自然资源厅机关编制数187，实有373人，其中：行政在职 173人，同比上年增加1人；退休197人，增加7人；离休3人，同比上年减少1人。</w:t>
        <w:br/>
        <w:t>本部门中，行政单位1家，事业单位19家，纳入自治区自然资源厅2024年部门预算编制范围的下属预算单位包括： </w:t>
        <w:br/>
        <w:t>（1）新疆维吾尔自治区自然资源厅机关 </w:t>
        <w:br/>
        <w:t>（2）新疆维吾尔自治区自然资源规划研究院 </w:t>
        <w:br/>
        <w:t>（3）新疆维吾尔自治区地质环境监测院 </w:t>
        <w:br/>
        <w:t>（4）新疆维吾尔自治区自然资源信息中心（新疆维吾尔自治区自然资源档案 馆） </w:t>
        <w:br/>
        <w:t>（5）新疆维吾尔自治区国土综合整治中心 </w:t>
        <w:br/>
        <w:t>（6）新疆维吾尔自治区自然资源改革发展研究中心 </w:t>
        <w:br/>
        <w:t>（7）新疆维吾尔自治区自然资源厅机关服务中心 </w:t>
        <w:br/>
        <w:t>（8）新疆维吾尔自治区地质成果中心 </w:t>
        <w:br/>
        <w:t>（9）新疆维吾尔自治区自然资源宣传教育中心 </w:t>
        <w:br/>
        <w:t>（10）新疆维吾尔自治区国土资源执法监察总队 </w:t>
        <w:br/>
        <w:t>（11）新疆维吾尔自治区地质勘查管理中心 </w:t>
        <w:br/>
        <w:t>（12）新疆维吾尔自治区不动产登记中心 </w:t>
        <w:br/>
        <w:t>（13）新疆维吾尔自治区第一测绘院 </w:t>
        <w:br/>
        <w:t>（14）新疆维吾尔自治区第二测绘院 </w:t>
        <w:br/>
        <w:t>（15）新疆维吾尔自治区测绘成果中心 </w:t>
        <w:br/>
        <w:t>（16）新疆维吾尔自治区测绘产品质量监督检验站 </w:t>
        <w:br/>
        <w:t>（17）新疆维吾尔自治区测绘科学研究院 </w:t>
        <w:br/>
        <w:t>（18）新疆维吾尔自治区国土空间规划研究中心 </w:t>
        <w:br/>
        <w:t>（19）新疆维吾尔自治区自然资源法律事务中心 </w:t>
        <w:br/>
        <w:t>（20）新疆维吾尔自治区地质勘查质量评价中心 </w:t>
        <w:br/>
        <w:t>自治区自然资源厅系统编制数1,917，实有2,505人，其中：在职1,513人，同比上年减少26人；退休 988人，同比上年增加39人；离休4人，同比上年减少1人。</w:t>
      </w:r>
      <w:bookmarkStart w:id="0" w:name="_Hlk43849111"/>
      <w:bookmarkEnd w:id="0"/>
    </w:p>
    <w:p>
      <w:pPr>
        <w:spacing w:line="600" w:lineRule="exact"/>
        <w:ind w:firstLine="964" w:firstLineChars="300"/>
        <w:jc w:val="left"/>
        <w:rPr>
          <w:rFonts w:ascii="黑体" w:cs="宋体" w:eastAsia="黑体" w:hAnsi="黑体" w:hint="eastAsia"/>
          <w:b/>
          <w:color w:themeColor="text1" w:val="000000"/>
          <w:sz w:val="32"/>
          <w:szCs w:val="32"/>
          <w:lang w:bidi="ar"/>
          <w14:textFill>
            <w14:solidFill>
              <w14:schemeClr w14:val="tx1"/>
            </w14:solidFill>
          </w14:textFill>
        </w:rPr>
      </w:pPr>
      <w:r>
        <w:rPr>
          <w:rFonts w:ascii="黑体" w:cs="宋体" w:eastAsia="黑体" w:hAnsi="黑体" w:hint="eastAsia"/>
          <w:b/>
          <w:color w:themeColor="text1" w:val="000000"/>
          <w:sz w:val="32"/>
          <w:szCs w:val="32"/>
          <w:lang w:bidi="ar"/>
          <w14:textFill>
            <w14:solidFill>
              <w14:schemeClr w14:val="tx1"/>
            </w14:solidFill>
          </w14:textFill>
        </w:rPr>
        <w:t>（二）</w:t>
      </w:r>
      <w:r>
        <w:rPr>
          <w:rFonts w:ascii="黑体" w:cs="宋体" w:eastAsia="黑体" w:hAnsi="黑体"/>
          <w:b/>
          <w:color w:themeColor="text1" w:val="000000"/>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eastAsia="仿宋_GB2312" w:hAnsi="宋体"/>
          <w:bCs/>
          <w:sz w:val="32"/>
          <w:szCs w:val="32"/>
        </w:rPr>
      </w:pPr>
      <w:r>
        <w:rPr>
          <w:rFonts w:ascii="仿宋_GB2312" w:eastAsia="仿宋_GB2312" w:hAnsi="宋体" w:hint="eastAsia"/>
          <w:bCs/>
          <w:sz w:val="32"/>
          <w:szCs w:val="32"/>
        </w:rPr>
        <w:t>年度重点工作（厅本级）</w:t>
        <w:br/>
        <w:t>1、履行两统一职责机关专项项目，计划投入1,875.00万元，为建立完善自然资源管理制度体系，履行好全区自然资源管理职责，组织开展履行两统一职责机关专项。2023年将完成公开出让探矿权41个；同时评估30个采矿权出让收益，加强自治区矿业权市场建设，规范矿业权出让评估管理，确保矿产资源国有权益不受损失。开展1处地表机制层分类细化调查等专项，加强自然资源基础工作。提高资源保障办能力，服务自治区经济高质量发展。</w:t>
        <w:br/>
        <w:t>2、自治区财政出资地质勘查项目，计划投入15,000.00万元， 2023年将完成招投标及设计审查工作，完成项目经费拨款，完成以前年度30个项目成果报告评审，44个地质勘查项目均按设计批复开展各项工作。通过中期检查和野外验收工作，进一步加强项目实施质量监管，数量、质量、时效、效益等指标均能按设置目标完成。2023年基础地质将完成一定调查面积，圈定找矿靶区133个；以铁、锰、铬、铜、金、锑、镍、钴、锂、钽、萤石、稀土等战略性矿产为重点开展调查评价和勘查工作；继续开展缺煤区煤炭勘查，探索油气、清洁能源勘查，实现地质找矿新突破。</w:t>
        <w:br/>
        <w:t>3、矿产资源国情调查成果动态更新与质量监控项目，计划投入300.00万元，将充分运用矿产资源国情调查成果，检查矿产资源储量数据库与动态更新约1800个矿区数据，更新矿产资源储量数据库约800个矿区数据，及依据准确的矿产资源储量数据完成重要矿产资源保障程度、可利用程度等研究，完成项目设计书1份及项目成果报告1份，提升矿产资源储量管理水平。</w:t>
        <w:br/>
        <w:t xml:space="preserve">    4、新疆绿色矿业产业集群发展行动计划与实施方案编制项目，计划投入100.00万元，2023年以收集资料、实地调研为基础，对自治区绿色矿业产业基础、集群发展路径等重点关键问题进行研究，编制自治区绿色矿业集群发展行动计划和实施方案，指导绿色矿业产业集群发展工作。</w:t>
        <w:br/>
        <w:t>5、新疆地质遗迹调查与评价（成果集成与应用研究）项目，计划投入100.00万元，将完成系统收集历年来新疆地质遗迹调查与评价和地质遗迹保护项目资料，完成地质遗迹保护利用现状调研，制作宣传画册1套，宣传短片1部，提升我区地质遗迹的知晓率。</w:t>
      </w:r>
    </w:p>
    <w:p>
      <w:pPr>
        <w:spacing w:line="600" w:lineRule="exact"/>
        <w:ind w:firstLine="964" w:firstLineChars="300"/>
        <w:jc w:val="left"/>
        <w:rPr>
          <w:rFonts w:ascii="黑体" w:cs="宋体" w:eastAsia="黑体" w:hAnsi="黑体" w:hint="eastAsia"/>
          <w:b/>
          <w:color w:themeColor="text1" w:val="000000"/>
          <w:sz w:val="32"/>
          <w:szCs w:val="32"/>
          <w:lang w:bidi="ar"/>
          <w14:textFill>
            <w14:solidFill>
              <w14:schemeClr w14:val="tx1"/>
            </w14:solidFill>
          </w14:textFill>
        </w:rPr>
      </w:pPr>
      <w:r>
        <w:rPr>
          <w:rFonts w:ascii="黑体" w:cs="宋体" w:eastAsia="黑体" w:hAnsi="黑体" w:hint="eastAsia"/>
          <w:b/>
          <w:color w:themeColor="text1" w:val="000000"/>
          <w:sz w:val="32"/>
          <w:szCs w:val="32"/>
          <w:lang w:bidi="ar"/>
          <w14:textFill>
            <w14:solidFill>
              <w14:schemeClr w14:val="tx1"/>
            </w14:solidFill>
          </w14:textFill>
        </w:rPr>
        <w:t>（三）</w:t>
      </w:r>
      <w:r>
        <w:rPr>
          <w:rFonts w:ascii="黑体" w:cs="宋体" w:eastAsia="黑体" w:hAnsi="黑体"/>
          <w:b/>
          <w:color w:themeColor="text1" w:val="000000"/>
          <w:sz w:val="32"/>
          <w:szCs w:val="32"/>
          <w:lang w:bidi="ar"/>
          <w14:textFill>
            <w14:solidFill>
              <w14:schemeClr w14:val="tx1"/>
            </w14:solidFill>
          </w14:textFill>
        </w:rPr>
        <w:t>部门单位整体预算规模及安排情况：</w:t>
      </w:r>
    </w:p>
    <w:p>
      <w:pPr>
        <w:spacing w:line="600" w:lineRule="exact"/>
        <w:ind w:firstLine="960" w:firstLineChars="300"/>
        <w:jc w:val="left"/>
        <w:rPr>
          <w:rFonts w:ascii="仿宋_GB2312" w:eastAsia="仿宋_GB2312" w:hAnsi="宋体" w:hint="eastAsia"/>
          <w:bCs/>
          <w:sz w:val="32"/>
          <w:szCs w:val="32"/>
        </w:rPr>
      </w:pPr>
      <w:r>
        <w:rPr>
          <w:rFonts w:ascii="仿宋_GB2312" w:eastAsia="仿宋_GB2312" w:hAnsi="宋体" w:hint="eastAsia"/>
          <w:bCs/>
          <w:sz w:val="32"/>
          <w:szCs w:val="32"/>
        </w:rPr>
        <w:t>整体预算规模及安排情况</w:t>
        <w:br/>
        <w:t>2023年度本单位总收入86,230.30万元，财政预算安排72,169.97万元，年中追减2,841.27万元，单位其他资金收入11,060.33万元。</w:t>
        <w:br/>
        <w:t>2023年度本单位总支出为79,168.98万元，财政预算安排86,230.30万元，年中追减2,841.27万元，预算执行率为91.81%，其中：</w:t>
        <w:br/>
        <w:t>1、基本支出37,410.15万元，占总支出的47.25％，主要用于本单位机构正常运转、完成日常工作任务而发生的各项支出。基本支出包含工资福利支出、商品和服务支出、对个人和家庭的补助支出等，其中：工资福利支出主要用于在职和离退休人员基本工资、津贴补贴等人员经费。商品和服务支出主要用于办公费、印刷费、水电费、办公设备购置等。对个人和家庭的补助主要用于离退休费、抚恤金、生活补助、医疗费补助。资本性支出主要用于办公设备购置、专用设备。</w:t>
        <w:br/>
        <w:t>2、项目支出37,505.88万元，占总支出的47.37％。其中：财政项目支出39,990.00万元，主要用于构建职责明确、运转顺畅、充满活力、令行禁止的全区自然资源管理体系，全力推动我区自然资源管理工作高起点开局、高标准要求、高质量推进，努力将自然资源优势转化为服务自治区经济高质量发展优势，助推自治区经济高质量发展。</w:t>
        <w:br/>
        <w:t>3、本年度经营支出4,252.95万元，占总支出的5.4%。其中：其他自然资源事务支出4,252.95万元。</w:t>
      </w:r>
    </w:p>
    <w:p>
      <w:pPr>
        <w:numPr>
          <w:ilvl w:val="0"/>
          <w:numId w:val="1"/>
        </w:numPr>
        <w:snapToGrid w:val="0"/>
        <w:spacing w:line="540" w:lineRule="exact"/>
        <w:rPr>
          <w:rFonts w:ascii="黑体" w:cs="宋体" w:eastAsia="黑体" w:hAnsi="黑体"/>
          <w:b/>
          <w:color w:themeColor="text1" w:val="000000"/>
          <w:sz w:val="32"/>
          <w:szCs w:val="32"/>
          <w:lang w:bidi="ar"/>
          <w14:textFill>
            <w14:solidFill>
              <w14:schemeClr w14:val="tx1"/>
            </w14:solidFill>
          </w14:textFill>
        </w:rPr>
      </w:pPr>
      <w:r>
        <w:rPr>
          <w:rFonts w:ascii="黑体" w:cs="宋体" w:eastAsia="黑体" w:hAnsi="黑体" w:hint="eastAsia"/>
          <w:b/>
          <w:color w:themeColor="text1" w:val="000000"/>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eastAsia="仿宋_GB2312" w:hAnsi="宋体"/>
          <w:bCs/>
          <w:sz w:val="32"/>
          <w:szCs w:val="32"/>
        </w:rPr>
      </w:pPr>
      <w:r>
        <w:rPr>
          <w:rFonts w:ascii="仿宋_GB2312" w:eastAsia="仿宋_GB2312" w:hAnsi="宋体" w:hint="eastAsia"/>
          <w:bCs/>
          <w:sz w:val="32"/>
          <w:szCs w:val="32"/>
        </w:rPr>
        <w:t>预算编制方面：我单位严格按照财政部门预算编制与预算调整的工作要求，在预算编制、分配依据否充分的条件下，切实做好“先定目标再编预算”，确保预算分配结果合理。同时按照要求，部门预决算及整体绩效在自然资源厅门户网站公开，广泛接受社会监督。</w:t>
        <w:br/>
        <w:t>预算支出方面：我部门按照财政要求基本支出分月度申报资金使用计划，由财政部门按照进度每月按期拨付，人员支出按照工资计划发放工资；依照自然资源厅部门《行政事业单位会计制度相关规定》相关规定和自然资源厅部门《财政财务规章》规定流程，资金支出按照我内控体系中设定的流程申报审批进行；项目支出属于政府采购的，按照按照局自然资源厅部门《采购与招标管理办法》组织人员制定采购计划，按照财政局采购部门批复，进行公开招标、邀请招标等方式进行；属于非政府采购的项目，按照“三重一大”制度规定，重大项目支出上党组会研究决定。</w:t>
        <w:br/>
        <w:t>（一）基本支出管理和使用情况</w:t>
        <w:br/>
        <w:t>1、基本支出和使用情况</w:t>
        <w:br/>
        <w:t>2023年基本支出预算安排32,124.90万元，实际到位37,410.15万元，实际支出37,410.15万元，占总支出的47.25％，其中：工资福利支出31,434.87万元、商品和服务支出3,223.34万元、对个人和家庭的补助2,726.74万元，主要用于在职人员的工资、日常办公费、离退休、医疗补助等支出。资本性支出25.20万元。</w:t>
        <w:br/>
        <w:t>2023年基本支出比上年35,304.9万元增加2,105.25万元，上升5.96%，支出上升的主要原因是2023年基建项目支出增加、年中人员经费追加导致支出增加等。</w:t>
        <w:br/>
        <w:t>基本支出严格按照财务管理制度执行。人员工资由相关部门逐个审核，按月申报及发放。基本公用经费主要用于支付单位日常的办公费、邮电费、差旅费、维修（护）费、劳务费、车辆运行维护费等。公务用车运行维护费主要用于单位车辆加油、维修及购买车辆保险。</w:t>
        <w:br/>
        <w:t>2、“三公”经费支出情况</w:t>
        <w:br/>
        <w:t>2023年一般公共预算“三公”经费预算安排170.26万元，其中：因公出国（境）费0.00万元，公务用车购置及运行维护费160.61万元，公务接待费9.65万元。</w:t>
        <w:br/>
        <w:t>实际支出168.07万元，其中：因公出国（境）费0.00万元，公务用车购置及运行维护费160.00万元，公务接待费8.08万元。</w:t>
        <w:br/>
        <w:t>（二）专项资金支出情况</w:t>
        <w:br/>
        <w:t>2023年专项项目年初预算46,489.52万元，实际到位32,145.25 万元，全年支出31,998.73万元，资金执行率99.54%，占总支出的40.42％。</w:t>
        <w:br/>
        <w:t>（三）专项资金使用管理情况</w:t>
        <w:br/>
        <w:t>我单位专项资金的使用与管理部门均为专项资金的监督部门，有权有责任对专项资金的审批与使用进行监督，定期、不定期对专项资金的使用情况进行抽查或全面检查，并就具体情况向单位领导报告。对检查中出现的问题进行分析和归类的基础上提出整改、完善意见，保证专项资金的使用到位、合理。专项资金项目按申请计划推进，按计划完成项目任务，达到申请预算报告中预期的阶段性各项技术指标及社会效益，同时厅管理部门开展验收工作，对项目进行专项评价及结算。保证资金专款专用。</w:t>
      </w:r>
    </w:p>
    <w:p>
      <w:pPr>
        <w:numPr>
          <w:ilvl w:val="0"/>
          <w:numId w:val="1"/>
        </w:numPr>
        <w:snapToGrid w:val="0"/>
        <w:spacing w:line="540" w:lineRule="exact"/>
        <w:rPr>
          <w:rFonts w:ascii="黑体" w:cs="宋体" w:eastAsia="黑体" w:hAnsi="黑体"/>
          <w:b/>
          <w:color w:themeColor="text1" w:val="000000"/>
          <w:sz w:val="32"/>
          <w:szCs w:val="32"/>
          <w:lang w:bidi="ar"/>
          <w14:textFill>
            <w14:solidFill>
              <w14:schemeClr w14:val="tx1"/>
            </w14:solidFill>
          </w14:textFill>
        </w:rPr>
      </w:pPr>
      <w:r>
        <w:rPr>
          <w:rFonts w:ascii="黑体" w:cs="宋体" w:eastAsia="黑体" w:hAnsi="黑体" w:hint="eastAsia"/>
          <w:b/>
          <w:color w:themeColor="text1" w:val="000000"/>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eastAsia="仿宋_GB2312" w:hAnsi="宋体"/>
          <w:b/>
          <w:sz w:val="32"/>
          <w:szCs w:val="32"/>
        </w:rPr>
      </w:pPr>
      <w:r>
        <w:rPr>
          <w:rFonts w:ascii="黑体" w:cs="宋体" w:eastAsia="黑体" w:hAnsi="黑体" w:hint="eastAsia"/>
          <w:bCs/>
          <w:color w:val="333333"/>
          <w:sz w:val="32"/>
          <w:szCs w:val="32"/>
          <w:lang w:bidi="ar"/>
        </w:rPr>
        <w:t xml:space="preserve"> </w:t>
      </w:r>
      <w:r>
        <w:rPr>
          <w:rFonts w:ascii="仿宋_GB2312" w:eastAsia="仿宋_GB2312" w:hAnsi="宋体" w:hint="eastAsia"/>
          <w:bCs/>
          <w:sz w:val="32"/>
          <w:szCs w:val="32"/>
        </w:rPr>
        <w:t>“绿色矿山产业集群项目矿山实地调查数”指标：预期指标值为&gt;=8个，实际完成指标值为9个，指标完成率为100%；</w:t>
        <w:br/>
        <w:t>“国土空间总体规划、重大项目技术审查”指标：预期指标值为&gt;=50个，实际完成指标值为94个，指标完成率为100%；</w:t>
        <w:br/>
        <w:t>“地质勘查野外原始地址资料检查数量”指标：预期指标值为&gt;=44项，实际完成指标值为49项，指标完成率为100%；</w:t>
        <w:br/>
        <w:t>“探、采矿权 矿权出让收益及使用费收入”指标：预期指标值为&gt;=200亿元实际完成指标值为205.07亿元，指标完成率为100%；</w:t>
        <w:br/>
        <w:t>“调查废弃矿山和采坑数数量”指标：预期指标值为&gt;=200个，实际完成指标值为312个，指标完成率为100%。</w:t>
      </w:r>
    </w:p>
    <w:p>
      <w:pPr>
        <w:numPr>
          <w:ilvl w:val="0"/>
          <w:numId w:val="1"/>
        </w:numPr>
        <w:snapToGrid w:val="0"/>
        <w:spacing w:line="540" w:lineRule="exact"/>
        <w:rPr>
          <w:rFonts w:ascii="黑体" w:cs="宋体" w:eastAsia="黑体" w:hAnsi="黑体"/>
          <w:b/>
          <w:color w:themeColor="text1" w:val="000000"/>
          <w:sz w:val="32"/>
          <w:szCs w:val="32"/>
          <w:lang w:bidi="ar"/>
          <w14:textFill>
            <w14:solidFill>
              <w14:schemeClr w14:val="tx1"/>
            </w14:solidFill>
          </w14:textFill>
        </w:rPr>
      </w:pPr>
      <w:r>
        <w:rPr>
          <w:rFonts w:ascii="黑体" w:cs="宋体" w:eastAsia="黑体" w:hAnsi="黑体" w:hint="eastAsia"/>
          <w:b/>
          <w:color w:themeColor="text1" w:val="000000"/>
          <w:sz w:val="32"/>
          <w:szCs w:val="32"/>
          <w:lang w:bidi="ar"/>
          <w14:textFill>
            <w14:solidFill>
              <w14:schemeClr w14:val="tx1"/>
            </w14:solidFill>
          </w14:textFill>
        </w:rPr>
        <w:t>评价结论：</w:t>
      </w:r>
    </w:p>
    <w:p>
      <w:pPr>
        <w:spacing w:line="600" w:lineRule="exact"/>
        <w:ind w:firstLine="960" w:firstLineChars="300"/>
        <w:jc w:val="left"/>
        <w:rPr>
          <w:rFonts w:ascii="仿宋_GB2312" w:eastAsia="仿宋_GB2312" w:hAnsi="宋体"/>
          <w:bCs/>
          <w:sz w:val="32"/>
          <w:szCs w:val="32"/>
        </w:rPr>
      </w:pPr>
      <w:r>
        <w:rPr>
          <w:rFonts w:ascii="仿宋_GB2312" w:eastAsia="仿宋_GB2312" w:hAnsi="宋体" w:hint="eastAsia"/>
          <w:bCs/>
          <w:sz w:val="32"/>
          <w:szCs w:val="32"/>
        </w:rPr>
        <w:t>经评价，本部门达到了年初设立的绩效目标，在实施过程中取得了良好的成效，具体表现在：我单位严格遵守《会计法》、《预算法》、《行政单位财务规则》等法律和有关财政财务规章，规范财政资金管理，量入为出，统筹兼顾，突出重点，讲究实效，防范风险，合理使用各项资金，确保了我单位预算管理的成效，全年预算支出整体受控。</w:t>
        <w:br/>
        <w:t>2023年部门支出的有效性主要体现在我单位各项工作成效上，在自治区党委、自治区人民政府的正确领导下,在不断优化自然资源业务办事流程和服务时限，组织、协调有关地州有关部门开展自然资源工作。负责对自治区本级贯彻落实党中央关于自然资源工作的方针政策和决策部署以及自治区党委工作要求，在履行职责过程中坚持和加强党对自然资源工作的集中统一领导。提升自然资源工作服务能力和各类政务服务事项办理能力，持续为群众提供政府公共服务。</w:t>
      </w:r>
    </w:p>
    <w:p>
      <w:pPr>
        <w:numPr>
          <w:ilvl w:val="0"/>
          <w:numId w:val="1"/>
        </w:numPr>
        <w:snapToGrid w:val="0"/>
        <w:spacing w:line="540" w:lineRule="exact"/>
        <w:rPr>
          <w:rFonts w:ascii="黑体" w:cs="宋体" w:eastAsia="黑体" w:hAnsi="黑体"/>
          <w:b/>
          <w:color w:themeColor="text1" w:val="000000"/>
          <w:sz w:val="32"/>
          <w:szCs w:val="32"/>
          <w:lang w:bidi="ar"/>
          <w14:textFill>
            <w14:solidFill>
              <w14:schemeClr w14:val="tx1"/>
            </w14:solidFill>
          </w14:textFill>
        </w:rPr>
      </w:pPr>
      <w:r>
        <w:rPr>
          <w:rFonts w:ascii="黑体" w:cs="宋体" w:eastAsia="黑体" w:hAnsi="黑体" w:hint="eastAsia"/>
          <w:b/>
          <w:color w:themeColor="text1" w:val="000000"/>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eastAsia="仿宋_GB2312" w:hAnsi="宋体"/>
          <w:bCs/>
          <w:sz w:val="32"/>
          <w:szCs w:val="32"/>
        </w:rPr>
      </w:pPr>
      <w:r>
        <w:rPr>
          <w:rFonts w:ascii="仿宋_GB2312" w:eastAsia="仿宋_GB2312" w:hAnsi="宋体" w:hint="eastAsia"/>
          <w:bCs/>
          <w:sz w:val="32"/>
          <w:szCs w:val="32"/>
        </w:rPr>
        <w:t>1、绩效指标的明确性、可衡量性、相关性还需进一步提升。预算精细化管理还需完善，预算编制管理水平仍有进一步提升的空间。</w:t>
        <w:br/>
        <w:t>2、部分业务人员绩效管理意识有待增强，未能全面深入认识理解绩效管理工作的意义。绩效管理经验不足，预算绩效管理工作有待进一步落实。</w:t>
      </w:r>
    </w:p>
    <w:p>
      <w:pPr>
        <w:numPr>
          <w:ilvl w:val="0"/>
          <w:numId w:val="1"/>
        </w:numPr>
        <w:snapToGrid w:val="0"/>
        <w:spacing w:line="540" w:lineRule="exact"/>
        <w:rPr>
          <w:rFonts w:ascii="黑体" w:cs="宋体" w:eastAsia="黑体" w:hAnsi="黑体"/>
          <w:b/>
          <w:color w:themeColor="text1" w:val="000000"/>
          <w:sz w:val="32"/>
          <w:szCs w:val="32"/>
          <w:lang w:bidi="ar"/>
          <w14:textFill>
            <w14:solidFill>
              <w14:schemeClr w14:val="tx1"/>
            </w14:solidFill>
          </w14:textFill>
        </w:rPr>
      </w:pPr>
      <w:r>
        <w:rPr>
          <w:rFonts w:ascii="黑体" w:cs="宋体" w:eastAsia="黑体" w:hAnsi="黑体" w:hint="eastAsia"/>
          <w:b/>
          <w:color w:themeColor="text1" w:val="000000"/>
          <w:sz w:val="32"/>
          <w:szCs w:val="32"/>
          <w:lang w:bidi="ar"/>
          <w14:textFill>
            <w14:solidFill>
              <w14:schemeClr w14:val="tx1"/>
            </w14:solidFill>
          </w14:textFill>
        </w:rPr>
        <w:t>改进措施和建议：</w:t>
      </w:r>
    </w:p>
    <w:p>
      <w:pPr>
        <w:spacing w:line="600" w:lineRule="exact"/>
        <w:ind w:firstLine="960" w:firstLineChars="300"/>
        <w:jc w:val="left"/>
        <w:rPr>
          <w:rFonts w:ascii="仿宋_GB2312" w:eastAsia="仿宋_GB2312" w:hAnsi="宋体"/>
          <w:bCs/>
          <w:sz w:val="32"/>
          <w:szCs w:val="32"/>
        </w:rPr>
      </w:pPr>
      <w:r>
        <w:rPr>
          <w:rFonts w:ascii="仿宋_GB2312" w:eastAsia="仿宋_GB2312" w:hAnsi="宋体" w:hint="eastAsia"/>
          <w:bCs/>
          <w:sz w:val="32"/>
          <w:szCs w:val="32"/>
        </w:rPr>
        <w:t>（一）改进措施</w:t>
        <w:br/>
        <w:t>1、继续完善绩效指标、绩效管理相关工作制度，提高整体绩效目标质量。提升预算精细化管理水平。</w:t>
        <w:br/>
        <w:t>2、继续加大绩效工作宣传力度，强化绩效理念。</w:t>
        <w:br/>
        <w:t>（二）建议</w:t>
        <w:br/>
        <w:t>1、加强预算绩效目标管理工作。明确预算项目绩效目标编制要求，分类别建立科学合理、细化量化、可比可测预算绩效指标体系，突出结果导向，重点考核实绩。</w:t>
        <w:br/>
        <w:t>2、加强绩效业务学习及培训，提高业务人员绩效管理意识，通过强化专业培训、学习考察、业务交流等措施，帮助和促进本单位现有人员提高绩效管理业务水平、实际工作能力。进一步加强预算绩效管理工作，优化项目支出绩效指标体系，完善预算绩效管理制度，有效推动我单位下一年度预算绩效管理工作常态化、规范化。</w:t>
      </w:r>
    </w:p>
    <w:p/>
    <w:sectPr>
      <w:pgSz w:h="16838" w:w="11906"/>
      <w:pgMar w:bottom="1440" w:footer="992" w:gutter="0" w:header="851" w:left="1080" w:right="1080"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hanging="720" w:left="1368"/>
      </w:pPr>
      <w:rPr>
        <w:rFonts w:hint="default"/>
      </w:rPr>
    </w:lvl>
    <w:lvl w:ilvl="1" w:tentative="0">
      <w:start w:val="1"/>
      <w:numFmt w:val="lowerLetter"/>
      <w:lvlText w:val="%2)"/>
      <w:lvlJc w:val="left"/>
      <w:pPr>
        <w:ind w:hanging="420" w:left="1488"/>
      </w:pPr>
    </w:lvl>
    <w:lvl w:ilvl="2" w:tentative="0">
      <w:start w:val="1"/>
      <w:numFmt w:val="lowerRoman"/>
      <w:lvlText w:val="%3."/>
      <w:lvlJc w:val="right"/>
      <w:pPr>
        <w:ind w:hanging="420" w:left="1908"/>
      </w:pPr>
    </w:lvl>
    <w:lvl w:ilvl="3" w:tentative="0">
      <w:start w:val="1"/>
      <w:numFmt w:val="decimal"/>
      <w:lvlText w:val="%4."/>
      <w:lvlJc w:val="left"/>
      <w:pPr>
        <w:ind w:hanging="420" w:left="2328"/>
      </w:pPr>
    </w:lvl>
    <w:lvl w:ilvl="4" w:tentative="0">
      <w:start w:val="1"/>
      <w:numFmt w:val="lowerLetter"/>
      <w:lvlText w:val="%5)"/>
      <w:lvlJc w:val="left"/>
      <w:pPr>
        <w:ind w:hanging="420" w:left="2748"/>
      </w:pPr>
    </w:lvl>
    <w:lvl w:ilvl="5" w:tentative="0">
      <w:start w:val="1"/>
      <w:numFmt w:val="lowerRoman"/>
      <w:lvlText w:val="%6."/>
      <w:lvlJc w:val="right"/>
      <w:pPr>
        <w:ind w:hanging="420" w:left="3168"/>
      </w:pPr>
    </w:lvl>
    <w:lvl w:ilvl="6" w:tentative="0">
      <w:start w:val="1"/>
      <w:numFmt w:val="decimal"/>
      <w:lvlText w:val="%7."/>
      <w:lvlJc w:val="left"/>
      <w:pPr>
        <w:ind w:hanging="420" w:left="3588"/>
      </w:pPr>
    </w:lvl>
    <w:lvl w:ilvl="7" w:tentative="0">
      <w:start w:val="1"/>
      <w:numFmt w:val="lowerLetter"/>
      <w:lvlText w:val="%8)"/>
      <w:lvlJc w:val="left"/>
      <w:pPr>
        <w:ind w:hanging="420" w:left="4008"/>
      </w:pPr>
    </w:lvl>
    <w:lvl w:ilvl="8" w:tentative="0">
      <w:start w:val="1"/>
      <w:numFmt w:val="lowerRoman"/>
      <w:lvlText w:val="%9."/>
      <w:lvlJc w:val="right"/>
      <w:pPr>
        <w:ind w:hanging="420" w:left="4428"/>
      </w:pPr>
    </w:lvl>
  </w:abstractNum>
  <w:num w:numId="1">
    <w:abstractNumId w:val="0"/>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heme="minorHAnsi" w:cstheme="minorBidi" w:eastAsiaTheme="minorEastAsia" w:hAnsiTheme="minorHAnsi"/>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qFormat="1" w:semiHidden="0" w:uiPriority="99"/>
    <w:lsdException w:name="footer" w:qFormat="1" w:semiHidden="0" w:uiPriority="99"/>
    <w:lsdException w:name="index heading" w:uiPriority="99"/>
    <w:lsdException w:name="caption" w:qFormat="1" w:uiPriority="35"/>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semiHidden="0" w:uiPriority="10" w:unhideWhenUsed="0"/>
    <w:lsdException w:name="Closing" w:uiPriority="99"/>
    <w:lsdException w:name="Signature" w:uiPriority="99"/>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semiHidden="0" w:uiPriority="11" w:unhideWhenUsed="0"/>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semiHidden="0" w:uiPriority="0" w:unhideWhenUsed="0"/>
    <w:lsdException w:name="Emphasis" w:qFormat="1" w:semiHidden="0" w:uiPriority="20" w:unhideWhenUsed="0"/>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39" w:unhideWhenUsed="0"/>
    <w:lsdException w:name="Table Theme"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pPr>
      <w:widowControl w:val="0"/>
      <w:jc w:val="both"/>
    </w:pPr>
    <w:rPr>
      <w:rFonts w:ascii="Times New Roman" w:cs="Times New Roman" w:eastAsia="宋体" w:hAnsi="Times New Roman"/>
      <w:kern w:val="2"/>
      <w:sz w:val="21"/>
      <w:szCs w:val="24"/>
      <w:lang w:bidi="ar-SA" w:eastAsia="zh-CN" w:val="en-US"/>
    </w:rPr>
  </w:style>
  <w:style w:default="1" w:styleId="5" w:type="character">
    <w:name w:val="Default Paragraph Font"/>
    <w:semiHidden/>
    <w:unhideWhenUsed/>
    <w:uiPriority w:val="1"/>
  </w:style>
  <w:style w:default="1" w:styleId="4" w:type="table">
    <w:name w:val="Normal Table"/>
    <w:semiHidden/>
    <w:unhideWhenUsed/>
    <w:uiPriority w:val="99"/>
    <w:tblPr>
      <w:tblCellMar>
        <w:top w:type="dxa" w:w="0"/>
        <w:left w:type="dxa" w:w="108"/>
        <w:bottom w:type="dxa" w:w="0"/>
        <w:right w:type="dxa" w:w="108"/>
      </w:tblCellMar>
    </w:tblPr>
  </w:style>
  <w:style w:styleId="2" w:type="paragraph">
    <w:name w:val="footer"/>
    <w:basedOn w:val="1"/>
    <w:link w:val="8"/>
    <w:unhideWhenUsed/>
    <w:qFormat/>
    <w:uiPriority w:val="99"/>
    <w:pPr>
      <w:tabs>
        <w:tab w:pos="4153" w:val="center"/>
        <w:tab w:pos="8306" w:val="right"/>
      </w:tabs>
      <w:snapToGrid w:val="0"/>
      <w:jc w:val="left"/>
    </w:pPr>
    <w:rPr>
      <w:sz w:val="18"/>
      <w:szCs w:val="18"/>
    </w:rPr>
  </w:style>
  <w:style w:styleId="3" w:type="paragraph">
    <w:name w:val="header"/>
    <w:basedOn w:val="1"/>
    <w:link w:val="7"/>
    <w:unhideWhenUsed/>
    <w:qFormat/>
    <w:uiPriority w:val="99"/>
    <w:pPr>
      <w:pBdr>
        <w:bottom w:color="auto" w:space="1" w:sz="6" w:val="single"/>
      </w:pBdr>
      <w:tabs>
        <w:tab w:pos="4153" w:val="center"/>
        <w:tab w:pos="8306" w:val="right"/>
      </w:tabs>
      <w:snapToGrid w:val="0"/>
      <w:jc w:val="center"/>
    </w:pPr>
    <w:rPr>
      <w:sz w:val="18"/>
      <w:szCs w:val="18"/>
    </w:rPr>
  </w:style>
  <w:style w:styleId="6" w:type="character">
    <w:name w:val="Strong"/>
    <w:basedOn w:val="5"/>
    <w:qFormat/>
    <w:uiPriority w:val="0"/>
    <w:rPr>
      <w:b/>
      <w:bCs/>
    </w:rPr>
  </w:style>
  <w:style w:customStyle="1" w:styleId="7" w:type="character">
    <w:name w:val="页眉 字符"/>
    <w:basedOn w:val="5"/>
    <w:link w:val="3"/>
    <w:qFormat/>
    <w:uiPriority w:val="99"/>
    <w:rPr>
      <w:sz w:val="18"/>
      <w:szCs w:val="18"/>
    </w:rPr>
  </w:style>
  <w:style w:customStyle="1" w:styleId="8" w:type="character">
    <w:name w:val="页脚 字符"/>
    <w:basedOn w:val="5"/>
    <w:link w:val="2"/>
    <w:qFormat/>
    <w:uiPriority w:val="99"/>
    <w:rPr>
      <w:sz w:val="18"/>
      <w:szCs w:val="18"/>
    </w:rPr>
  </w:style>
  <w:style w:styleId="9" w:type="paragraph">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2052-12.1.0.16250</vt:lpwstr>
  </property>
  <property fmtid="{D5CDD505-2E9C-101B-9397-08002B2CF9AE}" name="ICV" pid="3">
    <vt:lpwstr>4E2A216151A24EE5A190066F518526B7</vt:lpwstr>
  </property>
</Properties>
</file>