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rPr>
          <w:rFonts w:hint="eastAsia" w:ascii="仿宋" w:hAnsi="仿宋" w:eastAsia="仿宋" w:cs="仿宋"/>
          <w:bCs/>
          <w:sz w:val="32"/>
          <w:szCs w:val="32"/>
        </w:rPr>
      </w:pPr>
    </w:p>
    <w:p>
      <w:pPr>
        <w:spacing w:line="570" w:lineRule="exact"/>
        <w:rPr>
          <w:rFonts w:hint="eastAsia" w:ascii="仿宋" w:hAnsi="仿宋" w:eastAsia="仿宋" w:cs="仿宋"/>
          <w:bCs/>
          <w:sz w:val="32"/>
          <w:szCs w:val="32"/>
        </w:rPr>
      </w:pPr>
    </w:p>
    <w:p>
      <w:pPr>
        <w:spacing w:line="570" w:lineRule="exact"/>
        <w:rPr>
          <w:rFonts w:hint="eastAsia" w:ascii="仿宋" w:hAnsi="仿宋" w:eastAsia="仿宋" w:cs="仿宋"/>
          <w:bCs/>
          <w:sz w:val="32"/>
          <w:szCs w:val="32"/>
        </w:rPr>
      </w:pPr>
    </w:p>
    <w:p>
      <w:pPr>
        <w:spacing w:line="570" w:lineRule="exact"/>
        <w:rPr>
          <w:rFonts w:hint="eastAsia" w:ascii="仿宋" w:hAnsi="仿宋" w:eastAsia="仿宋" w:cs="仿宋"/>
          <w:bCs/>
          <w:sz w:val="32"/>
          <w:szCs w:val="32"/>
        </w:rPr>
      </w:pPr>
    </w:p>
    <w:p>
      <w:pPr>
        <w:keepNext w:val="0"/>
        <w:keepLines w:val="0"/>
        <w:pageBreakBefore w:val="0"/>
        <w:kinsoku/>
        <w:wordWrap/>
        <w:overflowPunct/>
        <w:topLinePunct w:val="0"/>
        <w:autoSpaceDE/>
        <w:autoSpaceDN/>
        <w:bidi w:val="0"/>
        <w:adjustRightInd/>
        <w:snapToGrid/>
        <w:spacing w:line="560" w:lineRule="exact"/>
        <w:jc w:val="center"/>
        <w:rPr>
          <w:rFonts w:hint="eastAsia" w:ascii="仿宋" w:hAnsi="仿宋" w:eastAsia="仿宋" w:cs="仿宋"/>
          <w:bCs/>
          <w:kern w:val="0"/>
          <w:sz w:val="28"/>
          <w:szCs w:val="28"/>
        </w:rPr>
      </w:pPr>
      <w:r>
        <w:rPr>
          <w:rFonts w:hint="eastAsia" w:ascii="仿宋" w:hAnsi="仿宋" w:eastAsia="仿宋" w:cs="仿宋"/>
          <w:b/>
          <w:sz w:val="36"/>
          <w:szCs w:val="36"/>
          <w:highlight w:val="none"/>
        </w:rPr>
        <w:t>项目支出绩效评价报告（2023年度）</w:t>
      </w:r>
    </w:p>
    <w:p>
      <w:pPr>
        <w:spacing w:line="570" w:lineRule="exact"/>
        <w:jc w:val="center"/>
        <w:rPr>
          <w:rFonts w:hint="eastAsia" w:ascii="仿宋" w:hAnsi="仿宋" w:eastAsia="仿宋" w:cs="仿宋"/>
          <w:bCs/>
          <w:sz w:val="32"/>
          <w:szCs w:val="32"/>
        </w:rPr>
      </w:pPr>
    </w:p>
    <w:p>
      <w:pPr>
        <w:spacing w:line="570" w:lineRule="exact"/>
        <w:rPr>
          <w:rFonts w:hint="eastAsia" w:ascii="仿宋" w:hAnsi="仿宋" w:eastAsia="仿宋" w:cs="仿宋"/>
          <w:bCs/>
          <w:sz w:val="32"/>
          <w:szCs w:val="32"/>
        </w:rPr>
      </w:pPr>
    </w:p>
    <w:p>
      <w:pPr>
        <w:spacing w:line="570" w:lineRule="exact"/>
        <w:jc w:val="center"/>
        <w:rPr>
          <w:rFonts w:hint="eastAsia" w:ascii="仿宋" w:hAnsi="仿宋" w:eastAsia="仿宋" w:cs="仿宋"/>
          <w:bCs/>
          <w:sz w:val="32"/>
          <w:szCs w:val="32"/>
        </w:rPr>
      </w:pPr>
    </w:p>
    <w:p>
      <w:pPr>
        <w:spacing w:line="570" w:lineRule="exact"/>
        <w:rPr>
          <w:rFonts w:hint="eastAsia" w:ascii="仿宋" w:hAnsi="仿宋" w:eastAsia="仿宋" w:cs="仿宋"/>
          <w:bCs/>
          <w:sz w:val="32"/>
          <w:szCs w:val="32"/>
        </w:rPr>
      </w:pPr>
    </w:p>
    <w:p>
      <w:pPr>
        <w:spacing w:line="570" w:lineRule="exact"/>
        <w:jc w:val="center"/>
        <w:rPr>
          <w:rFonts w:hint="eastAsia" w:ascii="仿宋" w:hAnsi="仿宋" w:eastAsia="仿宋" w:cs="仿宋"/>
          <w:bCs/>
          <w:sz w:val="32"/>
          <w:szCs w:val="32"/>
        </w:rPr>
      </w:pPr>
    </w:p>
    <w:p>
      <w:pPr>
        <w:spacing w:line="570" w:lineRule="exact"/>
        <w:jc w:val="center"/>
        <w:rPr>
          <w:rFonts w:hint="eastAsia" w:ascii="仿宋" w:hAnsi="仿宋" w:eastAsia="仿宋" w:cs="仿宋"/>
          <w:bCs/>
          <w:sz w:val="32"/>
          <w:szCs w:val="32"/>
        </w:rPr>
      </w:pPr>
    </w:p>
    <w:p>
      <w:pPr>
        <w:spacing w:line="570" w:lineRule="exact"/>
        <w:jc w:val="center"/>
        <w:rPr>
          <w:rFonts w:hint="eastAsia" w:ascii="仿宋" w:hAnsi="仿宋" w:eastAsia="仿宋" w:cs="仿宋"/>
          <w:bCs/>
          <w:sz w:val="32"/>
          <w:szCs w:val="32"/>
        </w:rPr>
      </w:pPr>
    </w:p>
    <w:p>
      <w:pPr>
        <w:spacing w:line="570" w:lineRule="exact"/>
        <w:jc w:val="center"/>
        <w:rPr>
          <w:rFonts w:hint="eastAsia" w:ascii="仿宋" w:hAnsi="仿宋" w:eastAsia="仿宋" w:cs="仿宋"/>
          <w:bCs/>
          <w:sz w:val="32"/>
          <w:szCs w:val="32"/>
        </w:rPr>
      </w:pPr>
    </w:p>
    <w:p>
      <w:pPr>
        <w:spacing w:line="570" w:lineRule="exact"/>
        <w:jc w:val="center"/>
        <w:rPr>
          <w:rFonts w:hint="eastAsia" w:ascii="仿宋" w:hAnsi="仿宋" w:eastAsia="仿宋" w:cs="仿宋"/>
          <w:bCs/>
          <w:sz w:val="32"/>
          <w:szCs w:val="32"/>
        </w:rPr>
      </w:pPr>
    </w:p>
    <w:p>
      <w:pPr>
        <w:spacing w:line="570" w:lineRule="exact"/>
        <w:rPr>
          <w:rFonts w:hint="eastAsia" w:ascii="仿宋" w:hAnsi="仿宋" w:eastAsia="仿宋" w:cs="仿宋"/>
          <w:bCs/>
          <w:sz w:val="32"/>
          <w:szCs w:val="32"/>
        </w:rPr>
      </w:pPr>
    </w:p>
    <w:p>
      <w:pPr>
        <w:spacing w:line="480" w:lineRule="auto"/>
        <w:ind w:firstLine="640"/>
        <w:jc w:val="left"/>
        <w:rPr>
          <w:rFonts w:hint="eastAsia" w:ascii="仿宋" w:hAnsi="仿宋" w:eastAsia="仿宋" w:cs="仿宋"/>
          <w:sz w:val="32"/>
          <w:szCs w:val="32"/>
        </w:rPr>
      </w:pPr>
      <w:r>
        <w:rPr>
          <w:rFonts w:hint="eastAsia" w:ascii="仿宋" w:hAnsi="仿宋" w:eastAsia="仿宋" w:cs="仿宋"/>
          <w:sz w:val="32"/>
          <w:szCs w:val="32"/>
        </w:rPr>
        <w:t>项目名称：新疆地质环境调查监测评价项目</w:t>
      </w:r>
    </w:p>
    <w:p>
      <w:pPr>
        <w:spacing w:line="480" w:lineRule="auto"/>
        <w:ind w:firstLine="640"/>
        <w:jc w:val="left"/>
        <w:rPr>
          <w:rFonts w:ascii="仿宋" w:hAnsi="仿宋" w:eastAsia="仿宋" w:cs="仿宋"/>
          <w:sz w:val="32"/>
          <w:szCs w:val="32"/>
        </w:rPr>
      </w:pPr>
      <w:r>
        <w:rPr>
          <w:rFonts w:hint="eastAsia" w:ascii="仿宋" w:hAnsi="仿宋" w:eastAsia="仿宋" w:cs="仿宋"/>
          <w:sz w:val="32"/>
          <w:szCs w:val="32"/>
        </w:rPr>
        <w:t>实施单位：新疆维吾尔自治区地质环境监测院</w:t>
      </w:r>
    </w:p>
    <w:p>
      <w:pPr>
        <w:spacing w:line="480" w:lineRule="auto"/>
        <w:ind w:firstLine="640"/>
        <w:jc w:val="left"/>
        <w:rPr>
          <w:rFonts w:hint="eastAsia" w:ascii="仿宋" w:hAnsi="仿宋" w:eastAsia="仿宋" w:cs="仿宋"/>
          <w:sz w:val="32"/>
          <w:szCs w:val="32"/>
        </w:rPr>
      </w:pPr>
      <w:r>
        <w:rPr>
          <w:rFonts w:hint="eastAsia" w:ascii="仿宋" w:hAnsi="仿宋" w:eastAsia="仿宋" w:cs="仿宋"/>
          <w:sz w:val="32"/>
          <w:szCs w:val="32"/>
        </w:rPr>
        <w:t>主管部门：新疆维吾尔自治区自然资源厅</w:t>
      </w:r>
    </w:p>
    <w:p>
      <w:pPr>
        <w:spacing w:line="480" w:lineRule="auto"/>
        <w:ind w:firstLine="640"/>
        <w:jc w:val="left"/>
        <w:rPr>
          <w:rFonts w:hint="eastAsia" w:ascii="仿宋" w:hAnsi="仿宋" w:eastAsia="仿宋" w:cs="仿宋"/>
          <w:sz w:val="32"/>
          <w:szCs w:val="32"/>
        </w:rPr>
      </w:pPr>
      <w:r>
        <w:rPr>
          <w:rFonts w:hint="eastAsia" w:ascii="仿宋" w:hAnsi="仿宋" w:eastAsia="仿宋" w:cs="仿宋"/>
          <w:sz w:val="32"/>
          <w:szCs w:val="32"/>
        </w:rPr>
        <w:t>项目负责人：</w:t>
      </w:r>
    </w:p>
    <w:p>
      <w:pPr>
        <w:spacing w:line="480" w:lineRule="auto"/>
        <w:ind w:firstLine="640"/>
        <w:jc w:val="left"/>
        <w:rPr>
          <w:rFonts w:hint="eastAsia" w:ascii="仿宋" w:hAnsi="仿宋" w:eastAsia="仿宋" w:cs="仿宋"/>
          <w:sz w:val="32"/>
          <w:szCs w:val="32"/>
        </w:rPr>
      </w:pPr>
      <w:r>
        <w:rPr>
          <w:rFonts w:hint="eastAsia" w:ascii="仿宋" w:hAnsi="仿宋" w:eastAsia="仿宋" w:cs="仿宋"/>
          <w:sz w:val="32"/>
          <w:szCs w:val="32"/>
        </w:rPr>
        <w:t>填报时间：2024年3月20日</w:t>
      </w:r>
      <w:r>
        <w:br w:type="page"/>
      </w:r>
    </w:p>
    <w:p>
      <w:pPr>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一、基本情况</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（一）项目概况</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1.项目背景</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本项目遵循财政部《项目支出绩效评价管理办法》（财预〔2020〕10号）和自治区财政厅《自治区财政支出绩效评价管理暂行办法》（新财预〔2018〕189号）等相关政策文件与规定，旨在评价新疆地质环境调查监测评价项目实施前期、过程及效果，评价财政预算资金使用的效率及效益。根据我院“三定”方案职责要求，承担全区地质环境的调研、评价和监测，以及监测数据资料的汇总、分析、处理和预测预报等工作，其主要职责包括水文地质与水资源、地质灾害及国土空间修复工作的调查、监测及研究工作。作为自然资源厅所属一类事业单位，每年承担自治区财政下达的地质灾害防治、地下水动态监测和矿山生态修复等公益性项目，有效支撑了自治区自然资源系统“两统一”职责。</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通过实施地质环境调查监测评价项目，进一步提高我区地质灾害隐患排查、监测预警和综合防治能力，促进自治区地质灾害防治工作有效开展；为建立全疆统一的水资源调查监测评价体系、宏观调配地下水资源和科学有序规划地下水资源调查提供保障和依据；为矿山企业有效实施矿山地质环境恢复治理和土地复垦的提供技术依据，为自然资源管理部门实施矿山地质环境监管和部署开展矿山生态修复关键领域和重大问题相关工作提供技术服务；有效支撑自治区自然资源“两统一”职责和强化自然资源要素保障，服务我区自然资源高质量发展。</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2.主要内容及实施情况</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（1）主要内容</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新疆地质环境调查监测评价（2023年）工作包括有地质灾害调查监测和防治技术服务、地下水动态监测评价、矿山生态修复和地质遗迹调查研究等专题任务。</w:t>
      </w:r>
      <w:bookmarkStart w:id="0" w:name="_Hlk111286705"/>
      <w:bookmarkEnd w:id="0"/>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①地质灾害调查监测和防治技术服务年度工作任务有：</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汛期重要地质灾害防治工作指导重点县（市）20个；</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制作和发布汛期地质灾害气象风险预警产品184期，关键节点时期形成地质灾害气象风险研判专报。</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地质灾害专业监测站点年度多要素监测的运行维护2次。</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实施巴州地下水开采区的地面沉降调查5000平方千米。</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自治区地质灾害信息系统、地质灾害应急平台和网络年度运行维护12次。</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②地下水动态监测评价年度工作任务有：</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新疆地下水监测网中131个地下水监测井年度运行维护，数据分析与录入；</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采集和测试地下水水样61组；</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③矿山生态修复和地质遗迹调查研究年度工作任务有：</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 xml:space="preserve">完成年度矿山地质环境保护与土地复垦情况“双随机 一公开”监督检查技术支撑任务； </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完成年度内自治区自然资源厅发证到期矿山《矿山地质环境保护与土地复垦方案》的组织评审。</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④办公场所租赁年度工作任务有：</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支付办公场所年度租金。</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（2）实施情况</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截至2023年12月，项目已经完成实际设立的目标，项目在实施过程中严格按照目标设立的各阶段任务进行开展工作，在前期立项过程中严格把质量关，建立安全防护机制，保证项目实施各阶段安全顺利进行。</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2023年度项目总投资750万元，其中：财政本级资金750万元。项目实际支出750万元，支出率为100%。</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3.项目实施主体</w:t>
      </w:r>
    </w:p>
    <w:p>
      <w:pPr>
        <w:widowControl/>
        <w:spacing w:line="480" w:lineRule="exact"/>
        <w:ind w:firstLine="544"/>
        <w:jc w:val="both"/>
        <w:rPr>
          <w:rFonts w:hint="eastAsia" w:ascii="仿宋" w:hAnsi="仿宋" w:eastAsia="仿宋" w:cs="仿宋"/>
          <w:sz w:val="28"/>
          <w:szCs w:val="28"/>
        </w:rPr>
      </w:pPr>
      <w:r>
        <w:rPr>
          <w:rFonts w:hint="eastAsia" w:ascii="仿宋" w:hAnsi="仿宋" w:eastAsia="仿宋" w:cs="仿宋"/>
          <w:spacing w:val="-4"/>
          <w:sz w:val="28"/>
          <w:szCs w:val="28"/>
        </w:rPr>
        <w:t>项目实施主体为新疆地质环境监测院，</w:t>
      </w:r>
      <w:r>
        <w:rPr>
          <w:rFonts w:hint="eastAsia" w:ascii="仿宋" w:hAnsi="仿宋" w:eastAsia="仿宋" w:cs="仿宋"/>
          <w:bCs/>
          <w:sz w:val="28"/>
          <w:szCs w:val="28"/>
        </w:rPr>
        <w:t>主要职能是：</w:t>
      </w:r>
      <w:r>
        <w:rPr>
          <w:rFonts w:hint="eastAsia" w:ascii="仿宋" w:hAnsi="仿宋" w:eastAsia="仿宋" w:cs="仿宋"/>
          <w:sz w:val="28"/>
          <w:szCs w:val="28"/>
        </w:rPr>
        <w:t>包括水文地质与水资源、地质灾害及国土空间修复工作的调查、监测及研究工作。作为自治区自然资源厅所属一类事业单位，每年承担自治区财政下达的相关公益性项目，有效的支撑了自然资源系统“两统一”职责。</w:t>
      </w:r>
    </w:p>
    <w:p>
      <w:pPr>
        <w:widowControl/>
        <w:spacing w:line="480" w:lineRule="exact"/>
        <w:ind w:firstLine="544"/>
        <w:jc w:val="both"/>
        <w:rPr>
          <w:rFonts w:hint="eastAsia" w:ascii="仿宋" w:hAnsi="仿宋" w:eastAsia="仿宋" w:cs="仿宋"/>
          <w:sz w:val="28"/>
          <w:szCs w:val="28"/>
        </w:rPr>
      </w:pPr>
      <w:r>
        <w:rPr>
          <w:rFonts w:hint="eastAsia" w:ascii="仿宋" w:hAnsi="仿宋" w:eastAsia="仿宋" w:cs="仿宋"/>
          <w:sz w:val="28"/>
          <w:szCs w:val="28"/>
        </w:rPr>
        <w:t>编制人数</w:t>
      </w:r>
      <w:r>
        <w:rPr>
          <w:rFonts w:hint="eastAsia" w:ascii="仿宋" w:hAnsi="仿宋" w:eastAsia="仿宋" w:cs="仿宋"/>
          <w:sz w:val="28"/>
          <w:szCs w:val="28"/>
          <w:lang w:val="en-US" w:eastAsia="zh-CN"/>
        </w:rPr>
        <w:t>57</w:t>
      </w:r>
      <w:r>
        <w:rPr>
          <w:rFonts w:hint="eastAsia" w:ascii="仿宋" w:hAnsi="仿宋" w:eastAsia="仿宋" w:cs="仿宋"/>
          <w:sz w:val="28"/>
          <w:szCs w:val="28"/>
        </w:rPr>
        <w:t>人，其中：行政人员编制</w:t>
      </w:r>
      <w:r>
        <w:rPr>
          <w:rFonts w:hint="eastAsia" w:ascii="仿宋" w:hAnsi="仿宋" w:eastAsia="仿宋" w:cs="仿宋"/>
          <w:sz w:val="28"/>
          <w:szCs w:val="28"/>
          <w:lang w:val="en-US" w:eastAsia="zh-CN"/>
        </w:rPr>
        <w:t>0</w:t>
      </w:r>
      <w:r>
        <w:rPr>
          <w:rFonts w:hint="eastAsia" w:ascii="仿宋" w:hAnsi="仿宋" w:eastAsia="仿宋" w:cs="仿宋"/>
          <w:sz w:val="28"/>
          <w:szCs w:val="28"/>
        </w:rPr>
        <w:t>人、工勤</w:t>
      </w:r>
      <w:r>
        <w:rPr>
          <w:rFonts w:hint="eastAsia" w:ascii="仿宋" w:hAnsi="仿宋" w:eastAsia="仿宋" w:cs="仿宋"/>
          <w:sz w:val="28"/>
          <w:szCs w:val="28"/>
          <w:lang w:val="en-US" w:eastAsia="zh-CN"/>
        </w:rPr>
        <w:t>0</w:t>
      </w:r>
      <w:r>
        <w:rPr>
          <w:rFonts w:hint="eastAsia" w:ascii="仿宋" w:hAnsi="仿宋" w:eastAsia="仿宋" w:cs="仿宋"/>
          <w:sz w:val="28"/>
          <w:szCs w:val="28"/>
        </w:rPr>
        <w:t>人、参公</w:t>
      </w:r>
      <w:r>
        <w:rPr>
          <w:rFonts w:hint="eastAsia" w:ascii="仿宋" w:hAnsi="仿宋" w:eastAsia="仿宋" w:cs="仿宋"/>
          <w:sz w:val="28"/>
          <w:szCs w:val="28"/>
          <w:lang w:val="en-US" w:eastAsia="zh-CN"/>
        </w:rPr>
        <w:t>0</w:t>
      </w:r>
      <w:r>
        <w:rPr>
          <w:rFonts w:hint="eastAsia" w:ascii="仿宋" w:hAnsi="仿宋" w:eastAsia="仿宋" w:cs="仿宋"/>
          <w:sz w:val="28"/>
          <w:szCs w:val="28"/>
        </w:rPr>
        <w:t>人、事业编制</w:t>
      </w:r>
      <w:r>
        <w:rPr>
          <w:rFonts w:hint="eastAsia" w:ascii="仿宋" w:hAnsi="仿宋" w:eastAsia="仿宋" w:cs="仿宋"/>
          <w:sz w:val="28"/>
          <w:szCs w:val="28"/>
          <w:lang w:val="en-US" w:eastAsia="zh-CN"/>
        </w:rPr>
        <w:t>57</w:t>
      </w:r>
      <w:r>
        <w:rPr>
          <w:rFonts w:hint="eastAsia" w:ascii="仿宋" w:hAnsi="仿宋" w:eastAsia="仿宋" w:cs="仿宋"/>
          <w:sz w:val="28"/>
          <w:szCs w:val="28"/>
        </w:rPr>
        <w:t>人。实有在职人数</w:t>
      </w:r>
      <w:r>
        <w:rPr>
          <w:rFonts w:hint="eastAsia" w:ascii="仿宋" w:hAnsi="仿宋" w:eastAsia="仿宋" w:cs="仿宋"/>
          <w:sz w:val="28"/>
          <w:szCs w:val="28"/>
          <w:lang w:val="en-US" w:eastAsia="zh-CN"/>
        </w:rPr>
        <w:t>48</w:t>
      </w:r>
      <w:r>
        <w:rPr>
          <w:rFonts w:hint="eastAsia" w:ascii="仿宋" w:hAnsi="仿宋" w:eastAsia="仿宋" w:cs="仿宋"/>
          <w:sz w:val="28"/>
          <w:szCs w:val="28"/>
        </w:rPr>
        <w:t>人，其中：行政在职</w:t>
      </w:r>
      <w:r>
        <w:rPr>
          <w:rFonts w:hint="eastAsia" w:ascii="仿宋" w:hAnsi="仿宋" w:eastAsia="仿宋" w:cs="仿宋"/>
          <w:sz w:val="28"/>
          <w:szCs w:val="28"/>
          <w:lang w:val="en-US" w:eastAsia="zh-CN"/>
        </w:rPr>
        <w:t>0</w:t>
      </w:r>
      <w:r>
        <w:rPr>
          <w:rFonts w:hint="eastAsia" w:ascii="仿宋" w:hAnsi="仿宋" w:eastAsia="仿宋" w:cs="仿宋"/>
          <w:sz w:val="28"/>
          <w:szCs w:val="28"/>
        </w:rPr>
        <w:t>人、工勤</w:t>
      </w:r>
      <w:r>
        <w:rPr>
          <w:rFonts w:hint="eastAsia" w:ascii="仿宋" w:hAnsi="仿宋" w:eastAsia="仿宋" w:cs="仿宋"/>
          <w:sz w:val="28"/>
          <w:szCs w:val="28"/>
          <w:lang w:val="en-US" w:eastAsia="zh-CN"/>
        </w:rPr>
        <w:t>0</w:t>
      </w:r>
      <w:r>
        <w:rPr>
          <w:rFonts w:hint="eastAsia" w:ascii="仿宋" w:hAnsi="仿宋" w:eastAsia="仿宋" w:cs="仿宋"/>
          <w:sz w:val="28"/>
          <w:szCs w:val="28"/>
        </w:rPr>
        <w:t>人、参公</w:t>
      </w:r>
      <w:r>
        <w:rPr>
          <w:rFonts w:hint="eastAsia" w:ascii="仿宋" w:hAnsi="仿宋" w:eastAsia="仿宋" w:cs="仿宋"/>
          <w:sz w:val="28"/>
          <w:szCs w:val="28"/>
          <w:lang w:val="en-US" w:eastAsia="zh-CN"/>
        </w:rPr>
        <w:t>0</w:t>
      </w:r>
      <w:r>
        <w:rPr>
          <w:rFonts w:hint="eastAsia" w:ascii="仿宋" w:hAnsi="仿宋" w:eastAsia="仿宋" w:cs="仿宋"/>
          <w:sz w:val="28"/>
          <w:szCs w:val="28"/>
        </w:rPr>
        <w:t>人、事业在职</w:t>
      </w:r>
      <w:r>
        <w:rPr>
          <w:rFonts w:hint="eastAsia" w:ascii="仿宋" w:hAnsi="仿宋" w:eastAsia="仿宋" w:cs="仿宋"/>
          <w:sz w:val="28"/>
          <w:szCs w:val="28"/>
          <w:lang w:val="en-US" w:eastAsia="zh-CN"/>
        </w:rPr>
        <w:t>48</w:t>
      </w:r>
      <w:r>
        <w:rPr>
          <w:rFonts w:hint="eastAsia" w:ascii="仿宋" w:hAnsi="仿宋" w:eastAsia="仿宋" w:cs="仿宋"/>
          <w:sz w:val="28"/>
          <w:szCs w:val="28"/>
        </w:rPr>
        <w:t>人。离退休人员</w:t>
      </w:r>
      <w:r>
        <w:rPr>
          <w:rFonts w:hint="eastAsia" w:ascii="仿宋" w:hAnsi="仿宋" w:eastAsia="仿宋" w:cs="仿宋"/>
          <w:sz w:val="28"/>
          <w:szCs w:val="28"/>
          <w:lang w:val="en-US" w:eastAsia="zh-CN"/>
        </w:rPr>
        <w:t>29</w:t>
      </w:r>
      <w:r>
        <w:rPr>
          <w:rFonts w:hint="eastAsia" w:ascii="仿宋" w:hAnsi="仿宋" w:eastAsia="仿宋" w:cs="仿宋"/>
          <w:sz w:val="28"/>
          <w:szCs w:val="28"/>
        </w:rPr>
        <w:t>人，其中：行政退休人员</w:t>
      </w:r>
      <w:r>
        <w:rPr>
          <w:rFonts w:hint="eastAsia" w:ascii="仿宋" w:hAnsi="仿宋" w:eastAsia="仿宋" w:cs="仿宋"/>
          <w:sz w:val="28"/>
          <w:szCs w:val="28"/>
          <w:lang w:val="en-US" w:eastAsia="zh-CN"/>
        </w:rPr>
        <w:t>0</w:t>
      </w:r>
      <w:r>
        <w:rPr>
          <w:rFonts w:hint="eastAsia" w:ascii="仿宋" w:hAnsi="仿宋" w:eastAsia="仿宋" w:cs="仿宋"/>
          <w:sz w:val="28"/>
          <w:szCs w:val="28"/>
        </w:rPr>
        <w:t>、事业退休</w:t>
      </w:r>
      <w:r>
        <w:rPr>
          <w:rFonts w:hint="eastAsia" w:ascii="仿宋" w:hAnsi="仿宋" w:eastAsia="仿宋" w:cs="仿宋"/>
          <w:sz w:val="28"/>
          <w:szCs w:val="28"/>
          <w:lang w:val="en-US" w:eastAsia="zh-CN"/>
        </w:rPr>
        <w:t>29</w:t>
      </w:r>
      <w:r>
        <w:rPr>
          <w:rFonts w:hint="eastAsia" w:ascii="仿宋" w:hAnsi="仿宋" w:eastAsia="仿宋" w:cs="仿宋"/>
          <w:sz w:val="28"/>
          <w:szCs w:val="28"/>
        </w:rPr>
        <w:t>人，</w:t>
      </w:r>
      <w:r>
        <w:rPr>
          <w:rFonts w:hint="eastAsia" w:ascii="仿宋" w:hAnsi="仿宋" w:eastAsia="仿宋" w:cs="仿宋"/>
          <w:sz w:val="28"/>
          <w:szCs w:val="28"/>
          <w:lang w:val="en-US" w:eastAsia="zh-CN"/>
        </w:rPr>
        <w:t>离休0人</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line="480" w:lineRule="exact"/>
        <w:ind w:left="0" w:firstLine="546"/>
        <w:textAlignment w:val="auto"/>
        <w:rPr>
          <w:rFonts w:hint="eastAsia" w:ascii="仿宋" w:hAnsi="仿宋" w:eastAsia="仿宋" w:cs="仿宋"/>
          <w:spacing w:val="-4"/>
          <w:sz w:val="28"/>
          <w:szCs w:val="28"/>
        </w:rPr>
      </w:pPr>
      <w:r>
        <w:rPr>
          <w:rFonts w:hint="eastAsia" w:ascii="仿宋" w:hAnsi="仿宋" w:eastAsia="仿宋" w:cs="仿宋"/>
          <w:spacing w:val="-4"/>
          <w:sz w:val="28"/>
          <w:szCs w:val="28"/>
        </w:rPr>
        <w:t>4.资金投入和使用情况</w:t>
      </w:r>
    </w:p>
    <w:p>
      <w:pPr>
        <w:keepNext w:val="0"/>
        <w:keepLines w:val="0"/>
        <w:pageBreakBefore w:val="0"/>
        <w:widowControl w:val="0"/>
        <w:kinsoku/>
        <w:wordWrap/>
        <w:overflowPunct/>
        <w:topLinePunct w:val="0"/>
        <w:autoSpaceDE/>
        <w:autoSpaceDN/>
        <w:bidi w:val="0"/>
        <w:adjustRightInd/>
        <w:snapToGrid/>
        <w:spacing w:line="480" w:lineRule="exact"/>
        <w:ind w:left="0" w:firstLine="546"/>
        <w:textAlignment w:val="auto"/>
        <w:rPr>
          <w:rFonts w:hint="eastAsia" w:ascii="仿宋" w:hAnsi="仿宋" w:eastAsia="仿宋" w:cs="仿宋"/>
          <w:spacing w:val="-4"/>
          <w:sz w:val="28"/>
          <w:szCs w:val="28"/>
        </w:rPr>
      </w:pPr>
      <w:r>
        <w:rPr>
          <w:rFonts w:hint="eastAsia" w:ascii="仿宋" w:hAnsi="仿宋" w:eastAsia="仿宋" w:cs="仿宋"/>
          <w:spacing w:val="-4"/>
          <w:sz w:val="28"/>
          <w:szCs w:val="28"/>
        </w:rPr>
        <w:t>（1）资金投入情况</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该项目年初预算数750万元，全年预算数750万元，实际总投入750万元，该项目资金已全部落实到位，资金来源为财政资金。</w:t>
      </w:r>
    </w:p>
    <w:p>
      <w:pPr>
        <w:keepNext w:val="0"/>
        <w:keepLines w:val="0"/>
        <w:pageBreakBefore w:val="0"/>
        <w:widowControl w:val="0"/>
        <w:kinsoku/>
        <w:wordWrap/>
        <w:overflowPunct/>
        <w:topLinePunct w:val="0"/>
        <w:autoSpaceDE/>
        <w:autoSpaceDN/>
        <w:bidi w:val="0"/>
        <w:adjustRightInd/>
        <w:snapToGrid/>
        <w:spacing w:line="480" w:lineRule="exact"/>
        <w:ind w:left="0" w:firstLine="546"/>
        <w:textAlignment w:val="auto"/>
        <w:rPr>
          <w:rFonts w:hint="eastAsia" w:ascii="仿宋" w:hAnsi="仿宋" w:eastAsia="仿宋" w:cs="仿宋"/>
          <w:spacing w:val="-4"/>
          <w:sz w:val="28"/>
          <w:szCs w:val="28"/>
        </w:rPr>
      </w:pPr>
      <w:r>
        <w:rPr>
          <w:rFonts w:hint="eastAsia" w:ascii="仿宋" w:hAnsi="仿宋" w:eastAsia="仿宋" w:cs="仿宋"/>
          <w:spacing w:val="-4"/>
          <w:sz w:val="28"/>
          <w:szCs w:val="28"/>
        </w:rPr>
        <w:t>（2）资金使用情况</w:t>
      </w:r>
      <w:bookmarkStart w:id="1" w:name="page10"/>
      <w:bookmarkEnd w:id="1"/>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pacing w:val="-4"/>
          <w:sz w:val="28"/>
          <w:szCs w:val="28"/>
        </w:rPr>
      </w:pPr>
      <w:r>
        <w:rPr>
          <w:rFonts w:hint="eastAsia" w:ascii="仿宋" w:hAnsi="仿宋" w:eastAsia="仿宋" w:cs="仿宋"/>
          <w:sz w:val="28"/>
          <w:szCs w:val="28"/>
        </w:rPr>
        <w:t>该项目年初预算数750万元，全年预算数750万元，全年执行数750万元，预算执行率为100%，主要用于：新疆地质环境调查监测评价（2023年）项目实施。</w:t>
      </w:r>
    </w:p>
    <w:p>
      <w:pPr>
        <w:keepNext w:val="0"/>
        <w:keepLines w:val="0"/>
        <w:pageBreakBefore w:val="0"/>
        <w:widowControl w:val="0"/>
        <w:kinsoku/>
        <w:wordWrap/>
        <w:overflowPunct/>
        <w:topLinePunct w:val="0"/>
        <w:autoSpaceDE/>
        <w:autoSpaceDN/>
        <w:bidi w:val="0"/>
        <w:adjustRightInd/>
        <w:snapToGrid/>
        <w:spacing w:line="480" w:lineRule="exact"/>
        <w:ind w:left="0" w:firstLine="546"/>
        <w:textAlignment w:val="auto"/>
        <w:rPr>
          <w:rFonts w:hint="eastAsia" w:ascii="仿宋" w:hAnsi="仿宋" w:eastAsia="仿宋" w:cs="仿宋"/>
          <w:spacing w:val="-4"/>
          <w:sz w:val="28"/>
          <w:szCs w:val="28"/>
        </w:rPr>
      </w:pPr>
      <w:r>
        <w:rPr>
          <w:rFonts w:hint="eastAsia" w:ascii="仿宋" w:hAnsi="仿宋" w:eastAsia="仿宋" w:cs="仿宋"/>
          <w:spacing w:val="-4"/>
          <w:sz w:val="28"/>
          <w:szCs w:val="28"/>
        </w:rPr>
        <w:t>（二）项目绩效目标</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项目绩效目标包括项目绩效总目标和阶段性目标。</w:t>
      </w:r>
    </w:p>
    <w:p>
      <w:pPr>
        <w:keepNext w:val="0"/>
        <w:keepLines w:val="0"/>
        <w:pageBreakBefore w:val="0"/>
        <w:widowControl w:val="0"/>
        <w:kinsoku/>
        <w:wordWrap/>
        <w:overflowPunct/>
        <w:topLinePunct w:val="0"/>
        <w:autoSpaceDE/>
        <w:autoSpaceDN/>
        <w:bidi w:val="0"/>
        <w:adjustRightInd/>
        <w:snapToGrid/>
        <w:spacing w:line="480" w:lineRule="exact"/>
        <w:ind w:left="0" w:firstLine="546"/>
        <w:textAlignment w:val="auto"/>
        <w:rPr>
          <w:rFonts w:hint="eastAsia" w:ascii="仿宋" w:hAnsi="仿宋" w:eastAsia="仿宋" w:cs="仿宋"/>
          <w:spacing w:val="-4"/>
          <w:sz w:val="28"/>
          <w:szCs w:val="28"/>
        </w:rPr>
      </w:pPr>
      <w:r>
        <w:rPr>
          <w:rFonts w:hint="eastAsia" w:ascii="仿宋" w:hAnsi="仿宋" w:eastAsia="仿宋" w:cs="仿宋"/>
          <w:spacing w:val="-4"/>
          <w:sz w:val="28"/>
          <w:szCs w:val="28"/>
        </w:rPr>
        <w:t>1.项目绩效总目标</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1）汛期重要地质灾害防治工作指导重点县（市）数量不少于20个，发布地质灾害气象风险预警产品184期，专业地质灾害监测站运行维护4个，地面沉降调查面积5000平方千米，保障地质灾害信息系统正常运转，通过地质灾害调查监测和防治技术服务工作的开展，进一步提高我区地质灾害隐患排查、专业监测和群专结合监测的监测预警能力，为自治区地质灾害防治工作提供技术支撑。</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（2）完成131眼地下水监测井的运行维护工作，完成61组地下水水质样品采集测试工作，通过对地下水水位及水质的连续监测，提升我区地下水资源监测能力。</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3）编制矿山生态修复标准研究报告1份，“双随机、一公开”检查矿山55个，组织评审《矿山地质环境保护与土地复垦方案》数量30个，通过梳理新疆现有及历史遗留的典型矿山现状调查工作任务，提高我区矿山生态环境保护修复能力。</w:t>
      </w:r>
    </w:p>
    <w:p>
      <w:pPr>
        <w:keepNext w:val="0"/>
        <w:keepLines w:val="0"/>
        <w:pageBreakBefore w:val="0"/>
        <w:widowControl w:val="0"/>
        <w:kinsoku/>
        <w:wordWrap/>
        <w:overflowPunct/>
        <w:topLinePunct w:val="0"/>
        <w:autoSpaceDE/>
        <w:autoSpaceDN/>
        <w:bidi w:val="0"/>
        <w:adjustRightInd/>
        <w:snapToGrid/>
        <w:spacing w:line="480" w:lineRule="exact"/>
        <w:ind w:left="0" w:firstLine="546"/>
        <w:textAlignment w:val="auto"/>
        <w:rPr>
          <w:rFonts w:hint="eastAsia" w:ascii="仿宋" w:hAnsi="仿宋" w:eastAsia="仿宋" w:cs="仿宋"/>
          <w:spacing w:val="-4"/>
          <w:sz w:val="28"/>
          <w:szCs w:val="28"/>
        </w:rPr>
      </w:pPr>
      <w:r>
        <w:rPr>
          <w:rFonts w:hint="eastAsia" w:ascii="仿宋" w:hAnsi="仿宋" w:eastAsia="仿宋" w:cs="仿宋"/>
          <w:spacing w:val="-4"/>
          <w:sz w:val="28"/>
          <w:szCs w:val="28"/>
        </w:rPr>
        <w:t>2.阶段性目标</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textAlignment w:val="auto"/>
        <w:rPr>
          <w:rFonts w:hint="eastAsia" w:ascii="仿宋" w:hAnsi="仿宋" w:eastAsia="仿宋" w:cs="仿宋"/>
          <w:spacing w:val="-4"/>
          <w:sz w:val="28"/>
          <w:szCs w:val="28"/>
        </w:rPr>
      </w:pPr>
      <w:r>
        <w:rPr>
          <w:rFonts w:hint="eastAsia" w:ascii="仿宋" w:hAnsi="仿宋" w:eastAsia="仿宋" w:cs="仿宋"/>
          <w:sz w:val="28"/>
          <w:szCs w:val="28"/>
        </w:rPr>
        <w:t>（1）</w:t>
      </w:r>
      <w:r>
        <w:rPr>
          <w:rFonts w:hint="eastAsia" w:ascii="仿宋" w:hAnsi="仿宋" w:eastAsia="仿宋" w:cs="仿宋"/>
          <w:spacing w:val="-4"/>
          <w:sz w:val="28"/>
          <w:szCs w:val="28"/>
        </w:rPr>
        <w:t>项目产出目标</w:t>
      </w:r>
    </w:p>
    <w:p>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①数量指标</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“地下水监测井运行维护数量”指标，预期指标值为≥131口；</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“地下水水质样品采集及检测数量”指标，预期指标值为≥61组；</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“汛期重要地质灾害防治工作指导重点县（市）数量”指标，预期指标值为≥20个；</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“制作地质灾害气象风险预警产品”指标，预期指标值为≥184期；</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“地质灾害专业监测站野外维护次数”指标，预期指标值为≥2次；</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 xml:space="preserve">“地下水开采引发的地面沉降调查面积”指标，预期指标值为≥5000平方千米； </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““双随机、一公开”检查矿山数量”指标，预期指标值为≥55个；</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“组织评审《矿山地质环境保护与土地复垦方案》数量”指标，预期指标值为≥30个；</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bCs/>
          <w:sz w:val="28"/>
          <w:szCs w:val="28"/>
        </w:rPr>
      </w:pPr>
      <w:r>
        <w:rPr>
          <w:rFonts w:ascii="仿宋" w:hAnsi="仿宋" w:eastAsia="仿宋" w:cs="仿宋"/>
          <w:sz w:val="28"/>
          <w:szCs w:val="28"/>
        </w:rPr>
        <w:t>“</w:t>
      </w:r>
      <w:r>
        <w:rPr>
          <w:rFonts w:hint="eastAsia" w:ascii="仿宋" w:hAnsi="仿宋" w:eastAsia="仿宋" w:cs="仿宋"/>
          <w:sz w:val="28"/>
          <w:szCs w:val="28"/>
        </w:rPr>
        <w:t>硬件、系统维护次数</w:t>
      </w:r>
      <w:r>
        <w:rPr>
          <w:rFonts w:ascii="仿宋" w:hAnsi="仿宋" w:eastAsia="仿宋" w:cs="仿宋"/>
          <w:sz w:val="28"/>
          <w:szCs w:val="28"/>
        </w:rPr>
        <w:t>”</w:t>
      </w:r>
      <w:r>
        <w:rPr>
          <w:rFonts w:hint="eastAsia" w:ascii="仿宋" w:hAnsi="仿宋" w:eastAsia="仿宋" w:cs="仿宋"/>
          <w:sz w:val="28"/>
          <w:szCs w:val="28"/>
        </w:rPr>
        <w:t>指标，预期指标值为≥12次；</w:t>
      </w:r>
    </w:p>
    <w:p>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②质量指标</w:t>
      </w:r>
    </w:p>
    <w:p>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“系统故障率”</w:t>
      </w:r>
      <w:r>
        <w:rPr>
          <w:rFonts w:hint="eastAsia" w:ascii="仿宋" w:hAnsi="仿宋" w:eastAsia="仿宋" w:cs="仿宋"/>
          <w:sz w:val="28"/>
        </w:rPr>
        <w:t>指标，预期指标值为</w:t>
      </w:r>
      <w:r>
        <w:rPr>
          <w:rFonts w:hint="eastAsia" w:ascii="仿宋" w:hAnsi="仿宋" w:eastAsia="仿宋" w:cs="仿宋"/>
          <w:bCs/>
          <w:sz w:val="28"/>
        </w:rPr>
        <w:t>≤15%；</w:t>
      </w:r>
    </w:p>
    <w:p>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“地下水监测数据合格率”</w:t>
      </w:r>
      <w:r>
        <w:rPr>
          <w:rFonts w:hint="eastAsia" w:ascii="仿宋" w:hAnsi="仿宋" w:eastAsia="仿宋" w:cs="仿宋"/>
          <w:sz w:val="28"/>
        </w:rPr>
        <w:t>指标，预期指标值为</w:t>
      </w:r>
      <w:r>
        <w:rPr>
          <w:rFonts w:hint="eastAsia" w:ascii="仿宋" w:hAnsi="仿宋" w:eastAsia="仿宋" w:cs="仿宋"/>
          <w:bCs/>
          <w:sz w:val="28"/>
        </w:rPr>
        <w:t>≥80%；</w:t>
      </w:r>
    </w:p>
    <w:p>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“制作地质灾害气象风险预警产品合格率”</w:t>
      </w:r>
      <w:r>
        <w:rPr>
          <w:rFonts w:hint="eastAsia" w:ascii="仿宋" w:hAnsi="仿宋" w:eastAsia="仿宋" w:cs="仿宋"/>
          <w:sz w:val="28"/>
        </w:rPr>
        <w:t>指标，预期指标值为=100%</w:t>
      </w:r>
      <w:r>
        <w:rPr>
          <w:rFonts w:hint="eastAsia" w:ascii="仿宋" w:hAnsi="仿宋" w:eastAsia="仿宋" w:cs="仿宋"/>
          <w:bCs/>
          <w:sz w:val="28"/>
        </w:rPr>
        <w:t>；</w:t>
      </w:r>
    </w:p>
    <w:p>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③时效指标</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“地质灾害气象风险预警产品按时完成时间”指标，预期指标值为100%；</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“汛期重要地质灾害防治工作指导重点县（市）完成时间”指标，预期指标值为2023年11月30日前；</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“系统网络故障修复处理时间”指标，预期指标值为≤3小时；</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“地下水监测井维护完成时间”指标，预期指标值为2023年11月30日前；</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szCs w:val="28"/>
        </w:rPr>
      </w:pPr>
      <w:r>
        <w:rPr>
          <w:rFonts w:hint="eastAsia" w:ascii="仿宋" w:hAnsi="仿宋" w:eastAsia="仿宋" w:cs="仿宋"/>
          <w:sz w:val="28"/>
          <w:szCs w:val="28"/>
        </w:rPr>
        <w:t>““双随机，一公开”检查矿山完成时间”指标，预期指标值为2023年11月30日前；</w:t>
      </w:r>
    </w:p>
    <w:p>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④成本指标</w:t>
      </w:r>
    </w:p>
    <w:p>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“地下水监测井及监测设备运行维护”</w:t>
      </w:r>
      <w:r>
        <w:rPr>
          <w:rFonts w:hint="eastAsia" w:ascii="仿宋" w:hAnsi="仿宋" w:eastAsia="仿宋" w:cs="仿宋"/>
          <w:sz w:val="28"/>
        </w:rPr>
        <w:t>指标，预期指标值为≤</w:t>
      </w:r>
      <w:r>
        <w:rPr>
          <w:rFonts w:hint="eastAsia" w:ascii="仿宋" w:hAnsi="仿宋" w:eastAsia="仿宋" w:cs="仿宋"/>
          <w:bCs/>
          <w:sz w:val="28"/>
        </w:rPr>
        <w:t>175万元；</w:t>
      </w:r>
    </w:p>
    <w:p>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“地质灾害调查监测和防治技术服务”</w:t>
      </w:r>
      <w:r>
        <w:rPr>
          <w:rFonts w:hint="eastAsia" w:ascii="仿宋" w:hAnsi="仿宋" w:eastAsia="仿宋" w:cs="仿宋"/>
          <w:sz w:val="28"/>
        </w:rPr>
        <w:t>指标，预期指标值为≤</w:t>
      </w:r>
      <w:r>
        <w:rPr>
          <w:rFonts w:hint="eastAsia" w:ascii="仿宋" w:hAnsi="仿宋" w:eastAsia="仿宋" w:cs="仿宋"/>
          <w:bCs/>
          <w:sz w:val="28"/>
        </w:rPr>
        <w:t>250万元；</w:t>
      </w:r>
    </w:p>
    <w:p>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“矿山生态修复研究及矿山保护方案评审”</w:t>
      </w:r>
      <w:r>
        <w:rPr>
          <w:rFonts w:hint="eastAsia" w:ascii="仿宋" w:hAnsi="仿宋" w:eastAsia="仿宋" w:cs="仿宋"/>
          <w:sz w:val="28"/>
        </w:rPr>
        <w:t>指标，预期指标值为≤</w:t>
      </w:r>
      <w:r>
        <w:rPr>
          <w:rFonts w:hint="eastAsia" w:ascii="仿宋" w:hAnsi="仿宋" w:eastAsia="仿宋" w:cs="仿宋"/>
          <w:bCs/>
          <w:sz w:val="28"/>
        </w:rPr>
        <w:t>285万元。</w:t>
      </w:r>
    </w:p>
    <w:p>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（2）项目效益目标</w:t>
      </w:r>
    </w:p>
    <w:p>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①社会效益指标</w:t>
      </w:r>
    </w:p>
    <w:p>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“提高我区地质灾害防治能力”</w:t>
      </w:r>
      <w:r>
        <w:rPr>
          <w:rFonts w:hint="eastAsia" w:ascii="仿宋" w:hAnsi="仿宋" w:eastAsia="仿宋" w:cs="仿宋"/>
          <w:sz w:val="28"/>
        </w:rPr>
        <w:t>指标，预期指标值为</w:t>
      </w:r>
      <w:r>
        <w:rPr>
          <w:rFonts w:hint="eastAsia" w:ascii="仿宋" w:hAnsi="仿宋" w:eastAsia="仿宋" w:cs="仿宋"/>
          <w:bCs/>
          <w:sz w:val="28"/>
        </w:rPr>
        <w:t>有效提高；</w:t>
      </w:r>
    </w:p>
    <w:p>
      <w:pPr>
        <w:pStyle w:val="28"/>
        <w:keepNext w:val="0"/>
        <w:keepLines w:val="0"/>
        <w:pageBreakBefore w:val="0"/>
        <w:widowControl w:val="0"/>
        <w:kinsoku/>
        <w:wordWrap/>
        <w:overflowPunct/>
        <w:topLinePunct w:val="0"/>
        <w:autoSpaceDE/>
        <w:autoSpaceDN/>
        <w:bidi w:val="0"/>
        <w:adjustRightInd/>
        <w:snapToGrid/>
        <w:spacing w:line="480" w:lineRule="exact"/>
        <w:ind w:left="0" w:firstLine="0"/>
        <w:textAlignment w:val="auto"/>
        <w:rPr>
          <w:rFonts w:hint="eastAsia" w:ascii="仿宋" w:hAnsi="仿宋" w:eastAsia="仿宋" w:cs="仿宋"/>
          <w:bCs/>
          <w:sz w:val="28"/>
        </w:rPr>
      </w:pPr>
      <w:r>
        <w:rPr>
          <w:rFonts w:hint="eastAsia" w:ascii="仿宋" w:hAnsi="仿宋" w:eastAsia="仿宋" w:cs="仿宋"/>
          <w:bCs/>
          <w:sz w:val="28"/>
        </w:rPr>
        <w:t>“提升我区地下水资源监测能力”</w:t>
      </w:r>
      <w:r>
        <w:rPr>
          <w:rFonts w:hint="eastAsia" w:ascii="仿宋" w:hAnsi="仿宋" w:eastAsia="仿宋" w:cs="仿宋"/>
          <w:sz w:val="28"/>
        </w:rPr>
        <w:t>指标，预期指标值为</w:t>
      </w:r>
      <w:r>
        <w:rPr>
          <w:rFonts w:hint="eastAsia" w:ascii="仿宋" w:hAnsi="仿宋" w:eastAsia="仿宋" w:cs="仿宋"/>
          <w:bCs/>
          <w:sz w:val="28"/>
        </w:rPr>
        <w:t>有效提升。</w:t>
      </w:r>
    </w:p>
    <w:p>
      <w:pPr>
        <w:pStyle w:val="28"/>
        <w:keepNext w:val="0"/>
        <w:keepLines w:val="0"/>
        <w:pageBreakBefore w:val="0"/>
        <w:widowControl w:val="0"/>
        <w:kinsoku/>
        <w:wordWrap/>
        <w:overflowPunct/>
        <w:topLinePunct w:val="0"/>
        <w:autoSpaceDE/>
        <w:autoSpaceDN/>
        <w:bidi w:val="0"/>
        <w:adjustRightInd/>
        <w:snapToGrid/>
        <w:spacing w:line="480" w:lineRule="exact"/>
        <w:ind w:left="0" w:firstLine="560" w:firstLineChars="200"/>
        <w:textAlignment w:val="auto"/>
        <w:rPr>
          <w:rFonts w:hint="eastAsia" w:ascii="仿宋" w:hAnsi="仿宋" w:eastAsia="仿宋" w:cs="仿宋"/>
          <w:bCs/>
          <w:sz w:val="28"/>
        </w:rPr>
      </w:pPr>
      <w:r>
        <w:rPr>
          <w:rFonts w:hint="eastAsia" w:ascii="仿宋" w:hAnsi="仿宋" w:eastAsia="仿宋" w:cs="仿宋"/>
          <w:bCs/>
          <w:sz w:val="28"/>
        </w:rPr>
        <w:t>②生态效益指标</w:t>
      </w:r>
    </w:p>
    <w:p>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“提高我区矿山生态环境保护修复能力”</w:t>
      </w:r>
      <w:r>
        <w:rPr>
          <w:rFonts w:hint="eastAsia" w:ascii="仿宋" w:hAnsi="仿宋" w:eastAsia="仿宋" w:cs="仿宋"/>
          <w:sz w:val="28"/>
        </w:rPr>
        <w:t>指标，预期指标值为</w:t>
      </w:r>
      <w:r>
        <w:rPr>
          <w:rFonts w:hint="eastAsia" w:ascii="仿宋" w:hAnsi="仿宋" w:eastAsia="仿宋" w:cs="仿宋"/>
          <w:bCs/>
          <w:sz w:val="28"/>
        </w:rPr>
        <w:t>持续提高。</w:t>
      </w:r>
    </w:p>
    <w:p>
      <w:pPr>
        <w:ind w:firstLine="643"/>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二、绩效评价工作开展情况</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（一）绩效评价目的、对象和范围。</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1.绩效评价目的</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1"/>
        </w:numPr>
        <w:spacing w:line="480" w:lineRule="exact"/>
        <w:ind w:left="0" w:firstLine="560"/>
        <w:rPr>
          <w:rFonts w:hint="eastAsia" w:ascii="仿宋" w:hAnsi="仿宋" w:eastAsia="仿宋" w:cs="仿宋"/>
          <w:sz w:val="28"/>
          <w:szCs w:val="28"/>
        </w:rPr>
      </w:pPr>
      <w:r>
        <w:rPr>
          <w:rFonts w:hint="eastAsia" w:ascii="仿宋" w:hAnsi="仿宋" w:eastAsia="仿宋" w:cs="仿宋"/>
          <w:sz w:val="28"/>
          <w:szCs w:val="28"/>
        </w:rPr>
        <w:t>项目在实施前向项目负责人提供财政支出绩效方面的资金管理信息，促进项目支出严格按照资金管理规定进行。</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（2）项目绩效管理财政支出运行提供及时、有效的信息。</w:t>
      </w:r>
    </w:p>
    <w:p>
      <w:pPr>
        <w:spacing w:line="480" w:lineRule="exact"/>
        <w:ind w:firstLine="560"/>
        <w:rPr>
          <w:rFonts w:hint="eastAsia" w:ascii="仿宋" w:hAnsi="仿宋" w:eastAsia="仿宋" w:cs="仿宋"/>
          <w:spacing w:val="-4"/>
          <w:sz w:val="28"/>
          <w:szCs w:val="28"/>
        </w:rPr>
      </w:pPr>
      <w:r>
        <w:rPr>
          <w:rFonts w:hint="eastAsia" w:ascii="仿宋" w:hAnsi="仿宋" w:eastAsia="仿宋" w:cs="仿宋"/>
          <w:sz w:val="28"/>
          <w:szCs w:val="28"/>
        </w:rPr>
        <w:t>综合来看，通过开展有效的财政支出绩效评价管理，达到改进预算管理、控制节约成本，提高预算资金使用效益的目的。</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2.绩效评价对象</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新疆地质环境调查监测评价（2023年）项目所包含的全部项目建设内容。</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3.绩效评价范围</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本次评价从项目决策（包括绩效目标、决策过程）、项目管理（包括项目资金、项目实施）、项目产出（包括项目产出数量、产出质量、产出时效和产出成本）和项目效益四个维度对新疆地质环境调查监测评价（2023年）项目进行评价，评价核心为专项资金的支出完成情况和效果。</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（二）绩效评价原则、评价指标体系、评价方法、评价标准。</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1.绩效评价原则</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本次项目绩效评价遵循以下基本原则：</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（1）科学公正。绩效评价应当运用科学合理的方法，按照规范的程序，对项目绩效进行客观、公正的反映。</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（2）统筹兼顾。单位自评、部门评价和财政评价应职责明确，各有侧重，相互衔接。单位自评应由项目单位自主实施，即“谁支出、谁自评”。部门评价和财政评价应在单位自评的基础上开展。</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（3）激励约束。绩效评价结果应与预算安排、政策调整、改进管理实质性挂钩，体现奖优罚劣和激励相容导向，有效要安排、低效要压减、无效要问责。</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（4）公开透明。绩效评价结果应依法依规公开，并自觉接受社会监督。</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2.绩效评价指标体系</w:t>
      </w:r>
    </w:p>
    <w:p>
      <w:pPr>
        <w:pStyle w:val="28"/>
        <w:spacing w:line="560" w:lineRule="exact"/>
        <w:ind w:firstLine="560"/>
        <w:rPr>
          <w:rFonts w:hint="eastAsia" w:ascii="仿宋" w:hAnsi="仿宋" w:eastAsia="仿宋" w:cs="仿宋"/>
          <w:bCs/>
          <w:sz w:val="28"/>
        </w:rPr>
      </w:pPr>
      <w:r>
        <w:rPr>
          <w:rFonts w:hint="eastAsia" w:ascii="仿宋" w:hAnsi="仿宋" w:eastAsia="仿宋" w:cs="仿宋"/>
          <w:bCs/>
          <w:sz w:val="28"/>
        </w:rP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p>
    <w:p>
      <w:pPr>
        <w:pStyle w:val="28"/>
        <w:spacing w:line="560" w:lineRule="exact"/>
        <w:ind w:firstLine="0"/>
        <w:rPr>
          <w:rFonts w:hint="eastAsia" w:ascii="仿宋" w:hAnsi="仿宋" w:eastAsia="仿宋" w:cs="仿宋"/>
          <w:bCs/>
          <w:sz w:val="28"/>
        </w:rPr>
      </w:pPr>
      <w:r>
        <w:rPr>
          <w:rFonts w:hint="eastAsia" w:ascii="仿宋" w:hAnsi="仿宋" w:eastAsia="仿宋" w:cs="仿宋"/>
          <w:bCs/>
          <w:sz w:val="28"/>
        </w:rPr>
        <w:t>　　一级指标为：决策、过程、产出、效益。</w:t>
      </w:r>
    </w:p>
    <w:p>
      <w:pPr>
        <w:pStyle w:val="28"/>
        <w:spacing w:line="560" w:lineRule="exact"/>
        <w:ind w:firstLine="0"/>
        <w:rPr>
          <w:rFonts w:hint="eastAsia" w:ascii="仿宋" w:hAnsi="仿宋" w:eastAsia="仿宋" w:cs="仿宋"/>
          <w:bCs/>
          <w:sz w:val="28"/>
        </w:rPr>
      </w:pPr>
      <w:r>
        <w:rPr>
          <w:rFonts w:hint="eastAsia" w:ascii="仿宋" w:hAnsi="仿宋" w:eastAsia="仿宋" w:cs="仿宋"/>
          <w:bCs/>
          <w:sz w:val="28"/>
        </w:rPr>
        <w:t>　　二级指标为：项目立项、绩效目标、资金投入、资金管理、组织实施、产出数量、产出质量、产出时效、产出成本、项目效益。</w:t>
      </w:r>
    </w:p>
    <w:p>
      <w:pPr>
        <w:pStyle w:val="28"/>
        <w:spacing w:line="560" w:lineRule="exact"/>
        <w:ind w:firstLine="0"/>
        <w:rPr>
          <w:rFonts w:hint="eastAsia" w:ascii="仿宋" w:hAnsi="仿宋" w:eastAsia="仿宋" w:cs="仿宋"/>
          <w:sz w:val="28"/>
        </w:rPr>
      </w:pPr>
      <w:r>
        <w:rPr>
          <w:rFonts w:hint="eastAsia" w:ascii="仿宋" w:hAnsi="仿宋" w:eastAsia="仿宋" w:cs="仿宋"/>
          <w:bCs/>
          <w:sz w:val="28"/>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Fonts w:hint="eastAsia" w:ascii="仿宋" w:hAnsi="仿宋" w:eastAsia="仿宋" w:cs="仿宋"/>
          <w:spacing w:val="17"/>
          <w:sz w:val="28"/>
        </w:rPr>
        <w:t>。</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3.绩效评价方法</w:t>
      </w:r>
    </w:p>
    <w:p>
      <w:pPr>
        <w:spacing w:line="480" w:lineRule="exact"/>
        <w:ind w:firstLine="628"/>
        <w:rPr>
          <w:rFonts w:hint="eastAsia" w:ascii="仿宋" w:hAnsi="仿宋" w:eastAsia="仿宋" w:cs="仿宋"/>
          <w:spacing w:val="17"/>
          <w:sz w:val="28"/>
          <w:szCs w:val="28"/>
        </w:rPr>
      </w:pPr>
      <w:r>
        <w:rPr>
          <w:rFonts w:hint="eastAsia" w:ascii="仿宋" w:hAnsi="仿宋" w:eastAsia="仿宋" w:cs="仿宋"/>
          <w:spacing w:val="17"/>
          <w:sz w:val="28"/>
          <w:szCs w:val="28"/>
        </w:rPr>
        <w:t>绩效评价从项目决策、项目过程、项目产出、项目效益四个维度进行评价。评价对象为项目目标实施情况，评价核心为资金的支出完成情况和项目的产出效益。</w:t>
      </w:r>
    </w:p>
    <w:p>
      <w:pPr>
        <w:spacing w:line="480" w:lineRule="exact"/>
        <w:ind w:firstLine="628"/>
        <w:rPr>
          <w:rFonts w:hint="eastAsia" w:ascii="仿宋" w:hAnsi="仿宋" w:eastAsia="仿宋" w:cs="仿宋"/>
          <w:spacing w:val="17"/>
          <w:sz w:val="28"/>
          <w:szCs w:val="28"/>
        </w:rPr>
      </w:pPr>
      <w:r>
        <w:rPr>
          <w:rFonts w:hint="eastAsia" w:ascii="仿宋" w:hAnsi="仿宋" w:eastAsia="仿宋" w:cs="仿宋"/>
          <w:spacing w:val="17"/>
          <w:sz w:val="28"/>
          <w:szCs w:val="28"/>
        </w:rPr>
        <w:t>本次评价指标中，既有定性指标又有定量指标，各类指标因考核内容不同和客观标准不同存在较大差异，因此核定具体指标时采用了不同方法，具体评价方法如下：</w:t>
      </w:r>
    </w:p>
    <w:p>
      <w:pPr>
        <w:spacing w:line="480" w:lineRule="exact"/>
        <w:ind w:firstLine="628"/>
        <w:rPr>
          <w:rFonts w:hint="eastAsia" w:ascii="仿宋" w:hAnsi="仿宋" w:eastAsia="仿宋" w:cs="仿宋"/>
          <w:spacing w:val="17"/>
          <w:sz w:val="28"/>
          <w:szCs w:val="28"/>
        </w:rPr>
      </w:pPr>
      <w:r>
        <w:rPr>
          <w:rFonts w:hint="eastAsia" w:ascii="仿宋" w:hAnsi="仿宋" w:eastAsia="仿宋" w:cs="仿宋"/>
          <w:spacing w:val="17"/>
          <w:sz w:val="28"/>
          <w:szCs w:val="28"/>
        </w:rPr>
        <w:t>（1）比较法</w:t>
      </w:r>
    </w:p>
    <w:p>
      <w:pPr>
        <w:spacing w:line="480" w:lineRule="exact"/>
        <w:ind w:firstLine="628"/>
        <w:rPr>
          <w:rFonts w:hint="eastAsia" w:ascii="仿宋" w:hAnsi="仿宋" w:eastAsia="仿宋" w:cs="仿宋"/>
          <w:spacing w:val="17"/>
          <w:sz w:val="28"/>
          <w:szCs w:val="28"/>
        </w:rPr>
      </w:pPr>
      <w:r>
        <w:rPr>
          <w:rFonts w:hint="eastAsia" w:ascii="仿宋" w:hAnsi="仿宋" w:eastAsia="仿宋" w:cs="仿宋"/>
          <w:spacing w:val="17"/>
          <w:sz w:val="28"/>
          <w:szCs w:val="28"/>
        </w:rPr>
        <w:t>通过对绩效目标与实施效果、历史与当期情况，综合分析绩效目标实现程度。对项目最终验收情况与年度绩效目标对比、预算资金执行情况等相关因素进行比较。</w:t>
      </w:r>
    </w:p>
    <w:p>
      <w:pPr>
        <w:spacing w:line="480" w:lineRule="exact"/>
        <w:ind w:firstLine="628"/>
        <w:rPr>
          <w:rFonts w:hint="eastAsia" w:ascii="仿宋" w:hAnsi="仿宋" w:eastAsia="仿宋" w:cs="仿宋"/>
          <w:spacing w:val="17"/>
          <w:sz w:val="28"/>
          <w:szCs w:val="28"/>
        </w:rPr>
      </w:pPr>
      <w:r>
        <w:rPr>
          <w:rFonts w:hint="eastAsia" w:ascii="仿宋" w:hAnsi="仿宋" w:eastAsia="仿宋" w:cs="仿宋"/>
          <w:spacing w:val="17"/>
          <w:sz w:val="28"/>
          <w:szCs w:val="28"/>
        </w:rPr>
        <w:t>（2）因素分析法</w:t>
      </w:r>
    </w:p>
    <w:p>
      <w:pPr>
        <w:spacing w:line="480" w:lineRule="exact"/>
        <w:ind w:firstLine="628"/>
        <w:rPr>
          <w:rFonts w:hint="eastAsia" w:ascii="仿宋" w:hAnsi="仿宋" w:eastAsia="仿宋" w:cs="仿宋"/>
          <w:spacing w:val="17"/>
          <w:sz w:val="28"/>
          <w:szCs w:val="28"/>
        </w:rPr>
      </w:pPr>
      <w:r>
        <w:rPr>
          <w:rFonts w:hint="eastAsia" w:ascii="仿宋" w:hAnsi="仿宋" w:eastAsia="仿宋" w:cs="仿宋"/>
          <w:spacing w:val="17"/>
          <w:sz w:val="28"/>
          <w:szCs w:val="28"/>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4.评价标准</w:t>
      </w:r>
    </w:p>
    <w:p>
      <w:pPr>
        <w:spacing w:line="480" w:lineRule="exact"/>
        <w:ind w:firstLine="628"/>
        <w:rPr>
          <w:rFonts w:hint="eastAsia" w:ascii="仿宋" w:hAnsi="仿宋" w:eastAsia="仿宋" w:cs="仿宋"/>
          <w:sz w:val="28"/>
          <w:szCs w:val="28"/>
        </w:rPr>
      </w:pPr>
      <w:r>
        <w:rPr>
          <w:rFonts w:hint="eastAsia" w:ascii="仿宋" w:hAnsi="仿宋" w:eastAsia="仿宋" w:cs="仿宋"/>
          <w:spacing w:val="17"/>
          <w:sz w:val="28"/>
          <w:szCs w:val="28"/>
        </w:rPr>
        <w:t>绩效评价标准通常包括计划标准、行业标准、历史标准等，用于对绩效指标完成情况进行比较。本次评价主要采用了历史标准、其他标准和预算支出标准。</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（三）绩效评价工作过程。</w:t>
      </w:r>
    </w:p>
    <w:p>
      <w:pPr>
        <w:pStyle w:val="28"/>
        <w:spacing w:line="560" w:lineRule="exact"/>
        <w:ind w:firstLine="560"/>
        <w:rPr>
          <w:rFonts w:hint="eastAsia" w:ascii="仿宋" w:hAnsi="仿宋" w:eastAsia="仿宋" w:cs="仿宋"/>
          <w:sz w:val="28"/>
        </w:rPr>
      </w:pPr>
      <w:r>
        <w:rPr>
          <w:rFonts w:hint="eastAsia" w:ascii="仿宋" w:hAnsi="仿宋" w:eastAsia="仿宋" w:cs="仿宋"/>
          <w:sz w:val="28"/>
        </w:rPr>
        <w:t>本次评价设计了评价方案、评价指标体系，通过资料分析、调研、访谈满意度调查等方式形成评价结论，在与项目单位沟通后确定评价意见，并出具评价报告。</w:t>
      </w:r>
    </w:p>
    <w:p>
      <w:pPr>
        <w:pStyle w:val="28"/>
        <w:spacing w:line="560" w:lineRule="exact"/>
        <w:ind w:firstLine="0"/>
        <w:rPr>
          <w:rFonts w:hint="eastAsia" w:ascii="仿宋" w:hAnsi="仿宋" w:eastAsia="仿宋" w:cs="仿宋"/>
          <w:sz w:val="28"/>
        </w:rPr>
      </w:pPr>
      <w:r>
        <w:rPr>
          <w:rFonts w:hint="eastAsia" w:ascii="仿宋" w:hAnsi="仿宋" w:eastAsia="仿宋" w:cs="仿宋"/>
          <w:sz w:val="28"/>
        </w:rPr>
        <w:t>　　第一阶段：前期准备。认真学习相关要求与规定，成立绩效评价工作组，作为绩效评价工作具体实施机构。成员构成如下：</w:t>
      </w:r>
    </w:p>
    <w:p>
      <w:pPr>
        <w:pStyle w:val="28"/>
        <w:spacing w:line="560" w:lineRule="exact"/>
        <w:ind w:firstLine="0"/>
        <w:rPr>
          <w:rFonts w:hint="eastAsia" w:ascii="仿宋" w:hAnsi="仿宋" w:eastAsia="仿宋" w:cs="仿宋"/>
          <w:color w:val="auto"/>
          <w:sz w:val="28"/>
          <w:highlight w:val="none"/>
        </w:rPr>
      </w:pPr>
      <w:r>
        <w:rPr>
          <w:rFonts w:hint="eastAsia" w:ascii="仿宋" w:hAnsi="仿宋" w:eastAsia="仿宋" w:cs="仿宋"/>
          <w:color w:val="FF0000"/>
          <w:sz w:val="28"/>
        </w:rPr>
        <w:t>　</w:t>
      </w:r>
      <w:r>
        <w:rPr>
          <w:rFonts w:hint="eastAsia" w:ascii="仿宋" w:hAnsi="仿宋" w:eastAsia="仿宋" w:cs="仿宋"/>
          <w:color w:val="auto"/>
          <w:sz w:val="28"/>
          <w:highlight w:val="none"/>
        </w:rPr>
        <w:t>　</w:t>
      </w:r>
      <w:r>
        <w:rPr>
          <w:rFonts w:hint="eastAsia" w:ascii="仿宋" w:hAnsi="仿宋" w:eastAsia="仿宋" w:cs="仿宋"/>
          <w:color w:val="auto"/>
          <w:sz w:val="28"/>
          <w:szCs w:val="28"/>
          <w:highlight w:val="none"/>
          <w:lang w:val="en-US" w:eastAsia="zh-CN"/>
        </w:rPr>
        <w:t>阿地力·阿不拉</w:t>
      </w:r>
      <w:r>
        <w:rPr>
          <w:rFonts w:hint="eastAsia" w:ascii="仿宋" w:hAnsi="仿宋" w:eastAsia="仿宋" w:cs="仿宋"/>
          <w:color w:val="auto"/>
          <w:sz w:val="28"/>
          <w:szCs w:val="28"/>
          <w:highlight w:val="none"/>
        </w:rPr>
        <w:t>任评价组组长，职务为</w:t>
      </w:r>
      <w:r>
        <w:rPr>
          <w:rFonts w:hint="eastAsia" w:ascii="仿宋" w:hAnsi="仿宋" w:eastAsia="仿宋" w:cs="仿宋"/>
          <w:color w:val="auto"/>
          <w:sz w:val="28"/>
          <w:szCs w:val="28"/>
          <w:highlight w:val="none"/>
          <w:lang w:val="en-US" w:eastAsia="zh-CN"/>
        </w:rPr>
        <w:t>党总支书记、院长</w:t>
      </w:r>
      <w:r>
        <w:rPr>
          <w:rFonts w:hint="eastAsia" w:ascii="仿宋" w:hAnsi="仿宋" w:eastAsia="仿宋" w:cs="仿宋"/>
          <w:color w:val="auto"/>
          <w:sz w:val="28"/>
          <w:highlight w:val="none"/>
        </w:rPr>
        <w:t>，绩效评价工作职责为负责全盘工作。</w:t>
      </w:r>
    </w:p>
    <w:p>
      <w:pPr>
        <w:pStyle w:val="28"/>
        <w:spacing w:line="560" w:lineRule="exact"/>
        <w:ind w:firstLine="0"/>
        <w:rPr>
          <w:rFonts w:hint="eastAsia" w:ascii="仿宋" w:hAnsi="仿宋" w:eastAsia="仿宋" w:cs="仿宋"/>
          <w:color w:val="auto"/>
          <w:sz w:val="28"/>
        </w:rPr>
      </w:pPr>
      <w:r>
        <w:rPr>
          <w:rFonts w:hint="eastAsia" w:ascii="仿宋" w:hAnsi="仿宋" w:eastAsia="仿宋" w:cs="仿宋"/>
          <w:color w:val="auto"/>
          <w:sz w:val="28"/>
        </w:rPr>
        <w:t>　　</w:t>
      </w:r>
      <w:r>
        <w:rPr>
          <w:rFonts w:hint="eastAsia" w:ascii="仿宋" w:hAnsi="仿宋" w:eastAsia="仿宋" w:cs="仿宋"/>
          <w:color w:val="auto"/>
          <w:sz w:val="28"/>
          <w:szCs w:val="28"/>
          <w:highlight w:val="none"/>
          <w:lang w:val="en-US" w:eastAsia="zh-CN"/>
        </w:rPr>
        <w:t>乔华、王占和</w:t>
      </w:r>
      <w:r>
        <w:rPr>
          <w:rFonts w:hint="eastAsia" w:ascii="仿宋" w:hAnsi="仿宋" w:eastAsia="仿宋" w:cs="仿宋"/>
          <w:color w:val="auto"/>
          <w:sz w:val="28"/>
        </w:rPr>
        <w:t>任评价组副组长，绩效评价工作职责为对项目实施情况进行实地调查。</w:t>
      </w:r>
    </w:p>
    <w:p>
      <w:pPr>
        <w:pStyle w:val="28"/>
        <w:spacing w:line="560" w:lineRule="exact"/>
        <w:ind w:firstLine="0"/>
        <w:rPr>
          <w:rFonts w:hint="eastAsia" w:ascii="仿宋" w:hAnsi="仿宋" w:eastAsia="仿宋" w:cs="仿宋"/>
          <w:color w:val="auto"/>
          <w:sz w:val="28"/>
        </w:rPr>
      </w:pPr>
      <w:r>
        <w:rPr>
          <w:rFonts w:hint="eastAsia" w:ascii="仿宋" w:hAnsi="仿宋" w:eastAsia="仿宋" w:cs="仿宋"/>
          <w:color w:val="auto"/>
        </w:rPr>
        <w:t>　</w:t>
      </w:r>
      <w:r>
        <w:rPr>
          <w:rFonts w:hint="eastAsia" w:ascii="仿宋" w:hAnsi="仿宋" w:eastAsia="仿宋" w:cs="仿宋"/>
          <w:color w:val="auto"/>
          <w:lang w:val="en-US" w:eastAsia="zh-CN"/>
        </w:rPr>
        <w:t xml:space="preserve">   </w:t>
      </w:r>
      <w:r>
        <w:rPr>
          <w:rFonts w:hint="eastAsia" w:ascii="仿宋" w:hAnsi="仿宋" w:eastAsia="仿宋" w:cs="仿宋"/>
          <w:color w:val="auto"/>
          <w:sz w:val="28"/>
          <w:lang w:val="en-US" w:eastAsia="zh-CN"/>
        </w:rPr>
        <w:t>苏潇、魏贤程、吕东、王旭奎、夏红艳、贺强、朱建华、陈静、孙强</w:t>
      </w:r>
      <w:r>
        <w:rPr>
          <w:rFonts w:hint="eastAsia" w:ascii="仿宋" w:hAnsi="仿宋" w:eastAsia="仿宋" w:cs="仿宋"/>
          <w:color w:val="auto"/>
          <w:sz w:val="28"/>
        </w:rPr>
        <w:t>任评价组成员，绩效评价工作职责为负责资料审核等工作。</w:t>
      </w:r>
    </w:p>
    <w:p>
      <w:pPr>
        <w:pStyle w:val="28"/>
        <w:spacing w:line="560" w:lineRule="exact"/>
        <w:ind w:firstLine="0"/>
        <w:rPr>
          <w:rFonts w:hint="eastAsia" w:ascii="仿宋" w:hAnsi="仿宋" w:eastAsia="仿宋" w:cs="仿宋"/>
          <w:sz w:val="28"/>
        </w:rPr>
      </w:pPr>
      <w:r>
        <w:rPr>
          <w:rFonts w:hint="eastAsia" w:ascii="仿宋" w:hAnsi="仿宋" w:eastAsia="仿宋" w:cs="仿宋"/>
          <w:sz w:val="28"/>
        </w:rPr>
        <w:t>　　第二阶段：组织实施。经评价组通过实地调研等方式，采用综合分析法对项目的决策、管理、绩效进行的综合评价分析。</w:t>
      </w:r>
    </w:p>
    <w:p>
      <w:pPr>
        <w:pStyle w:val="28"/>
        <w:spacing w:line="560" w:lineRule="exact"/>
        <w:ind w:firstLine="0"/>
        <w:rPr>
          <w:rFonts w:hint="eastAsia" w:ascii="仿宋" w:hAnsi="仿宋" w:eastAsia="仿宋" w:cs="仿宋"/>
          <w:sz w:val="28"/>
        </w:rPr>
      </w:pPr>
      <w:r>
        <w:rPr>
          <w:rFonts w:hint="eastAsia" w:ascii="仿宋" w:hAnsi="仿宋" w:eastAsia="仿宋" w:cs="仿宋"/>
          <w:sz w:val="28"/>
        </w:rPr>
        <w:t>　　第三阶段：分析评价。首先按照指标体系进行定量、定性分析。其次开展量化打分、综合评价工作，形成初步评价结论。最后归纳整体项目情况与存在问题，撰写部门绩效评价报告。</w:t>
      </w:r>
    </w:p>
    <w:p>
      <w:pPr>
        <w:pStyle w:val="28"/>
        <w:spacing w:line="560" w:lineRule="exact"/>
        <w:ind w:firstLine="0"/>
        <w:rPr>
          <w:rFonts w:hint="eastAsia" w:ascii="仿宋" w:hAnsi="仿宋" w:eastAsia="仿宋" w:cs="仿宋"/>
          <w:sz w:val="28"/>
        </w:rPr>
      </w:pPr>
      <w:bookmarkStart w:id="2" w:name="_Toc2618"/>
      <w:bookmarkEnd w:id="2"/>
      <w:r>
        <w:rPr>
          <w:rFonts w:hint="eastAsia" w:ascii="仿宋" w:hAnsi="仿宋" w:eastAsia="仿宋" w:cs="仿宋"/>
          <w:sz w:val="28"/>
        </w:rPr>
        <w:t>　　第四阶段：撰写与提交评价报告</w:t>
      </w:r>
    </w:p>
    <w:p>
      <w:pPr>
        <w:pStyle w:val="28"/>
        <w:spacing w:line="560" w:lineRule="exact"/>
        <w:ind w:firstLine="0"/>
        <w:rPr>
          <w:rFonts w:hint="eastAsia" w:ascii="仿宋" w:hAnsi="仿宋" w:eastAsia="仿宋" w:cs="仿宋"/>
          <w:sz w:val="28"/>
        </w:rPr>
      </w:pPr>
      <w:r>
        <w:rPr>
          <w:rFonts w:hint="eastAsia" w:ascii="仿宋" w:hAnsi="仿宋" w:eastAsia="仿宋" w:cs="仿宋"/>
          <w:sz w:val="28"/>
        </w:rPr>
        <w:t>　　项目撰写绩效评价报告，按照财政局大平台绩效系统中统一格式和文本框架撰写绩效评价报告。</w:t>
      </w:r>
    </w:p>
    <w:p>
      <w:pPr>
        <w:pStyle w:val="28"/>
        <w:spacing w:line="560" w:lineRule="exact"/>
        <w:ind w:firstLine="0"/>
        <w:rPr>
          <w:rFonts w:hint="eastAsia" w:ascii="仿宋" w:hAnsi="仿宋" w:eastAsia="仿宋" w:cs="仿宋"/>
          <w:sz w:val="28"/>
        </w:rPr>
      </w:pPr>
      <w:bookmarkStart w:id="3" w:name="_Toc5055"/>
      <w:bookmarkEnd w:id="3"/>
      <w:r>
        <w:rPr>
          <w:rFonts w:hint="eastAsia" w:ascii="仿宋" w:hAnsi="仿宋" w:eastAsia="仿宋" w:cs="仿宋"/>
          <w:sz w:val="28"/>
        </w:rPr>
        <w:t>　　第五阶段：归集档案</w:t>
      </w:r>
    </w:p>
    <w:p>
      <w:pPr>
        <w:numPr>
          <w:ilvl w:val="0"/>
          <w:numId w:val="0"/>
        </w:num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建立和落实档案管理制度，将项目相关资料存档，包括但不限于：评价项目基本情况和相关文件、评价实施方案、项目支付资料等相关档案。</w:t>
      </w:r>
    </w:p>
    <w:p>
      <w:pPr>
        <w:ind w:firstLine="643"/>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三、综合评价情况及评价结论</w:t>
      </w:r>
    </w:p>
    <w:p>
      <w:pPr>
        <w:pStyle w:val="28"/>
        <w:rPr>
          <w:rFonts w:hint="eastAsia" w:ascii="仿宋" w:hAnsi="仿宋" w:eastAsia="仿宋" w:cs="仿宋"/>
        </w:rPr>
      </w:pPr>
      <w:bookmarkStart w:id="4" w:name="_Toc68364665"/>
      <w:bookmarkEnd w:id="4"/>
      <w:r>
        <w:rPr>
          <w:rFonts w:hint="eastAsia" w:ascii="仿宋" w:hAnsi="仿宋" w:eastAsia="仿宋" w:cs="仿宋"/>
        </w:rPr>
        <w:t>　</w:t>
      </w:r>
      <w:r>
        <w:rPr>
          <w:rFonts w:hint="eastAsia" w:ascii="仿宋" w:hAnsi="仿宋" w:eastAsia="仿宋" w:cs="仿宋"/>
          <w:spacing w:val="-4"/>
          <w:kern w:val="1"/>
          <w:sz w:val="28"/>
          <w:szCs w:val="28"/>
          <w:lang w:val="en-US" w:eastAsia="zh-CN" w:bidi="ar-SA"/>
        </w:rPr>
        <w:t>　（一）综合评价情况</w:t>
      </w:r>
    </w:p>
    <w:p>
      <w:pPr>
        <w:pStyle w:val="28"/>
        <w:keepNext w:val="0"/>
        <w:keepLines w:val="0"/>
        <w:pageBreakBefore w:val="0"/>
        <w:widowControl w:val="0"/>
        <w:kinsoku/>
        <w:wordWrap/>
        <w:overflowPunct/>
        <w:topLinePunct w:val="0"/>
        <w:autoSpaceDE/>
        <w:autoSpaceDN/>
        <w:bidi w:val="0"/>
        <w:adjustRightInd/>
        <w:snapToGrid/>
        <w:spacing w:line="480" w:lineRule="exact"/>
        <w:ind w:firstLine="0"/>
        <w:textAlignment w:val="auto"/>
        <w:rPr>
          <w:rFonts w:hint="eastAsia" w:ascii="仿宋" w:hAnsi="仿宋" w:eastAsia="仿宋" w:cs="仿宋"/>
          <w:sz w:val="28"/>
        </w:rPr>
      </w:pPr>
      <w:r>
        <w:rPr>
          <w:rFonts w:hint="eastAsia" w:ascii="仿宋" w:hAnsi="仿宋" w:eastAsia="仿宋" w:cs="仿宋"/>
          <w:sz w:val="28"/>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szCs w:val="28"/>
        </w:rPr>
      </w:pPr>
      <w:r>
        <w:rPr>
          <w:rFonts w:hint="eastAsia" w:ascii="仿宋" w:hAnsi="仿宋" w:eastAsia="仿宋" w:cs="仿宋"/>
          <w:sz w:val="28"/>
          <w:szCs w:val="28"/>
        </w:rPr>
        <w:t>评价组对照项目绩效评价指标体系，从决策、过程、产出和效益四个维度，通过数据采集、实地调研和问卷访谈等方式，对新疆地质环境调查监测评价（2023年）项目进行客观评价，最终评分结果：总得分为 100分，属于“优”。其中，项目决策类指标得分为20分。项目过程类指标得分为20分。项目产出类指标得分为40分。项目效益类指标得分为20分。</w:t>
      </w:r>
    </w:p>
    <w:p>
      <w:pPr>
        <w:pStyle w:val="28"/>
        <w:keepNext w:val="0"/>
        <w:keepLines w:val="0"/>
        <w:pageBreakBefore w:val="0"/>
        <w:widowControl w:val="0"/>
        <w:kinsoku/>
        <w:wordWrap/>
        <w:overflowPunct/>
        <w:topLinePunct w:val="0"/>
        <w:autoSpaceDE/>
        <w:autoSpaceDN/>
        <w:bidi w:val="0"/>
        <w:adjustRightInd/>
        <w:snapToGrid/>
        <w:spacing w:line="480" w:lineRule="exact"/>
        <w:ind w:firstLine="562"/>
        <w:textAlignment w:val="auto"/>
        <w:rPr>
          <w:rFonts w:hint="eastAsia" w:ascii="仿宋" w:hAnsi="仿宋" w:eastAsia="仿宋" w:cs="仿宋"/>
          <w:b/>
          <w:bCs/>
          <w:sz w:val="28"/>
        </w:rPr>
      </w:pPr>
      <w:r>
        <w:rPr>
          <w:rFonts w:hint="eastAsia" w:ascii="仿宋" w:hAnsi="仿宋" w:eastAsia="仿宋" w:cs="仿宋"/>
          <w:b/>
          <w:bCs/>
          <w:sz w:val="28"/>
        </w:rPr>
        <w:t>（二）综合评价结论</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szCs w:val="28"/>
        </w:rPr>
      </w:pPr>
      <w:r>
        <w:rPr>
          <w:rFonts w:hint="eastAsia" w:ascii="仿宋" w:hAnsi="仿宋" w:eastAsia="仿宋" w:cs="仿宋"/>
          <w:sz w:val="28"/>
          <w:szCs w:val="28"/>
        </w:rPr>
        <w:t>经评价，本项目达到了年初设立的绩效目标，在实施过程中取得了良好的成效，具体表现在：通过实施地质环境调查监测评价项目，进一步提高我区地质灾害隐患排查、监测预警和综合防治能力，促进自治区地质灾害防治工作有效开展；为建立全疆统一的水资源调查监测评价体系、宏观调配地下水资源和科学有序规划地下水资源调查提供保障和依据；为矿山企业有效实施矿山地质环境恢复治理和土地复垦的提供技术依据，为自然资源管理部门实施矿山地质环境监管和部署开展矿山生态修复关键领域和重大问题相关工作提供技术服务；有效支撑自治区自然资源“两统一”职责和强化自然资源要素保障，服务我区自然资源高质量发展。</w:t>
      </w:r>
    </w:p>
    <w:p>
      <w:pPr>
        <w:ind w:firstLine="643"/>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四、绩效评价指标分析</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（一）项目决策情况</w:t>
      </w:r>
    </w:p>
    <w:p>
      <w:pPr>
        <w:spacing w:line="560" w:lineRule="exact"/>
        <w:contextualSpacing/>
        <w:rPr>
          <w:rFonts w:hint="eastAsia" w:ascii="仿宋" w:hAnsi="仿宋" w:eastAsia="仿宋" w:cs="仿宋"/>
          <w:sz w:val="28"/>
          <w:szCs w:val="28"/>
        </w:rPr>
      </w:pPr>
      <w:r>
        <w:rPr>
          <w:rFonts w:hint="eastAsia" w:ascii="仿宋" w:hAnsi="仿宋" w:eastAsia="仿宋" w:cs="仿宋"/>
          <w:sz w:val="28"/>
          <w:szCs w:val="28"/>
        </w:rPr>
        <w:t>　　项目决策类指标包括项目立项、绩效目标和资金投入三方面的内容，由6个三级指标构成，权重分为 20 分，实际得分20分，得分率为100%。</w:t>
      </w:r>
    </w:p>
    <w:p>
      <w:pPr>
        <w:spacing w:line="560" w:lineRule="exact"/>
        <w:rPr>
          <w:rFonts w:hint="eastAsia" w:ascii="仿宋" w:hAnsi="仿宋" w:eastAsia="仿宋" w:cs="仿宋"/>
          <w:sz w:val="28"/>
          <w:szCs w:val="28"/>
        </w:rPr>
      </w:pPr>
      <w:r>
        <w:rPr>
          <w:rFonts w:hint="eastAsia" w:ascii="仿宋" w:hAnsi="仿宋" w:eastAsia="仿宋" w:cs="仿宋"/>
          <w:b/>
          <w:bCs/>
          <w:sz w:val="28"/>
          <w:szCs w:val="28"/>
        </w:rPr>
        <w:t>　　（1）立项依据充分性：</w:t>
      </w:r>
      <w:r>
        <w:rPr>
          <w:rFonts w:hint="eastAsia" w:ascii="仿宋" w:hAnsi="仿宋" w:eastAsia="仿宋" w:cs="仿宋"/>
          <w:sz w:val="28"/>
          <w:szCs w:val="28"/>
        </w:rPr>
        <w:t>《</w:t>
      </w:r>
      <w:r>
        <w:rPr>
          <w:rFonts w:hint="eastAsia" w:ascii="仿宋" w:hAnsi="仿宋" w:eastAsia="仿宋" w:cs="仿宋"/>
          <w:sz w:val="28"/>
          <w:szCs w:val="28"/>
          <w:lang w:val="en-US" w:eastAsia="zh-CN"/>
        </w:rPr>
        <w:t>关于批复自治区本级2024年部门预算的通知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财预</w:t>
      </w:r>
      <w:r>
        <w:rPr>
          <w:rFonts w:hint="eastAsia" w:ascii="仿宋" w:hAnsi="仿宋" w:eastAsia="仿宋" w:cs="仿宋"/>
          <w:sz w:val="28"/>
          <w:szCs w:val="28"/>
        </w:rPr>
        <w:t>〔20</w:t>
      </w:r>
      <w:r>
        <w:rPr>
          <w:rFonts w:hint="eastAsia" w:ascii="仿宋" w:hAnsi="仿宋" w:eastAsia="仿宋" w:cs="仿宋"/>
          <w:sz w:val="28"/>
          <w:szCs w:val="28"/>
          <w:lang w:val="en-US" w:eastAsia="zh-CN"/>
        </w:rPr>
        <w:t>24</w:t>
      </w:r>
      <w:r>
        <w:rPr>
          <w:rFonts w:hint="eastAsia" w:ascii="仿宋" w:hAnsi="仿宋" w:eastAsia="仿宋" w:cs="仿宋"/>
          <w:sz w:val="28"/>
          <w:szCs w:val="28"/>
        </w:rPr>
        <w:t>〕</w:t>
      </w:r>
      <w:r>
        <w:rPr>
          <w:rFonts w:hint="eastAsia" w:ascii="仿宋" w:hAnsi="仿宋" w:eastAsia="仿宋" w:cs="仿宋"/>
          <w:sz w:val="28"/>
          <w:szCs w:val="28"/>
          <w:lang w:val="en-US" w:eastAsia="zh-CN"/>
        </w:rPr>
        <w:t>1</w:t>
      </w:r>
      <w:r>
        <w:rPr>
          <w:rFonts w:hint="eastAsia" w:ascii="仿宋" w:hAnsi="仿宋" w:eastAsia="仿宋" w:cs="仿宋"/>
          <w:sz w:val="28"/>
          <w:szCs w:val="28"/>
        </w:rPr>
        <w:t>号）、《关于</w:t>
      </w:r>
      <w:r>
        <w:rPr>
          <w:rFonts w:hint="eastAsia" w:ascii="仿宋" w:hAnsi="仿宋" w:eastAsia="仿宋" w:cs="仿宋"/>
          <w:sz w:val="28"/>
          <w:szCs w:val="28"/>
          <w:lang w:val="en-US" w:eastAsia="zh-CN"/>
        </w:rPr>
        <w:t>批复2024年直属单位预算的通知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自然资函</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w:t>
      </w:r>
      <w:r>
        <w:rPr>
          <w:rFonts w:hint="eastAsia" w:ascii="仿宋" w:hAnsi="仿宋" w:eastAsia="仿宋" w:cs="仿宋"/>
          <w:sz w:val="28"/>
          <w:szCs w:val="28"/>
          <w:lang w:val="en-US" w:eastAsia="zh-CN"/>
        </w:rPr>
        <w:t>46</w:t>
      </w:r>
      <w:r>
        <w:rPr>
          <w:rFonts w:hint="eastAsia" w:ascii="仿宋" w:hAnsi="仿宋" w:eastAsia="仿宋" w:cs="仿宋"/>
          <w:sz w:val="28"/>
          <w:szCs w:val="28"/>
        </w:rPr>
        <w:t>号并结合新疆维吾尔自治区地质环境监测院职责组织实施。围绕新疆维吾尔自治区地质环境监测院年度工作重点和工作计划制定经费预算，根据评分标准，该指标不扣分，得3分。</w:t>
      </w:r>
    </w:p>
    <w:p>
      <w:pPr>
        <w:spacing w:line="560" w:lineRule="exact"/>
        <w:rPr>
          <w:rFonts w:hint="eastAsia" w:ascii="仿宋" w:hAnsi="仿宋" w:eastAsia="仿宋" w:cs="仿宋"/>
          <w:sz w:val="28"/>
          <w:szCs w:val="28"/>
        </w:rPr>
      </w:pPr>
      <w:r>
        <w:rPr>
          <w:rFonts w:hint="eastAsia" w:ascii="仿宋" w:hAnsi="仿宋" w:eastAsia="仿宋" w:cs="仿宋"/>
          <w:b/>
          <w:bCs/>
          <w:sz w:val="28"/>
          <w:szCs w:val="28"/>
        </w:rPr>
        <w:t>　　（2）立项程序规范性：</w:t>
      </w:r>
      <w:r>
        <w:rPr>
          <w:rFonts w:hint="eastAsia" w:ascii="仿宋" w:hAnsi="仿宋" w:eastAsia="仿宋" w:cs="仿宋"/>
          <w:sz w:val="28"/>
          <w:szCs w:val="28"/>
        </w:rPr>
        <w:t>根据决策依据编制工作计划和经费预算，经过与新疆维吾尔自治区地质环境监测院财经领导小组进行沟通、筛选确定经费预算计划，上</w:t>
      </w:r>
      <w:r>
        <w:rPr>
          <w:rFonts w:hint="eastAsia" w:ascii="仿宋" w:hAnsi="仿宋" w:eastAsia="仿宋" w:cs="仿宋"/>
          <w:sz w:val="28"/>
          <w:szCs w:val="28"/>
          <w:lang w:val="en-US" w:eastAsia="zh-CN"/>
        </w:rPr>
        <w:t>院党总支扩大</w:t>
      </w:r>
      <w:bookmarkStart w:id="5" w:name="_GoBack"/>
      <w:bookmarkEnd w:id="5"/>
      <w:r>
        <w:rPr>
          <w:rFonts w:hint="eastAsia" w:ascii="仿宋" w:hAnsi="仿宋" w:eastAsia="仿宋" w:cs="仿宋"/>
          <w:sz w:val="28"/>
          <w:szCs w:val="28"/>
        </w:rPr>
        <w:t>会研究确定最终预算方案，根据评分标准，该指标不扣分，得2分。</w:t>
      </w:r>
    </w:p>
    <w:p>
      <w:pPr>
        <w:spacing w:line="560" w:lineRule="exact"/>
        <w:rPr>
          <w:rFonts w:hint="eastAsia" w:ascii="仿宋" w:hAnsi="仿宋" w:eastAsia="仿宋" w:cs="仿宋"/>
          <w:sz w:val="28"/>
          <w:szCs w:val="28"/>
        </w:rPr>
      </w:pPr>
      <w:r>
        <w:rPr>
          <w:rFonts w:hint="eastAsia" w:ascii="仿宋" w:hAnsi="仿宋" w:eastAsia="仿宋" w:cs="仿宋"/>
          <w:b/>
          <w:bCs/>
          <w:sz w:val="28"/>
          <w:szCs w:val="28"/>
        </w:rPr>
        <w:t>　　（3）绩效目标合理性</w:t>
      </w:r>
      <w:r>
        <w:rPr>
          <w:rFonts w:hint="eastAsia" w:ascii="仿宋" w:hAnsi="仿宋" w:eastAsia="仿宋" w:cs="仿宋"/>
          <w:sz w:val="28"/>
          <w:szCs w:val="28"/>
        </w:rPr>
        <w:t>：制定了实施方案，明确了总体思路及目标、并对任务进行了详细分解，对目标进行了细化，根据评分标准，该指标不扣分，得3分。</w:t>
      </w:r>
    </w:p>
    <w:p>
      <w:pPr>
        <w:spacing w:line="560" w:lineRule="exact"/>
        <w:rPr>
          <w:rFonts w:hint="eastAsia" w:ascii="仿宋" w:hAnsi="仿宋" w:eastAsia="仿宋" w:cs="仿宋"/>
          <w:sz w:val="28"/>
          <w:szCs w:val="28"/>
        </w:rPr>
      </w:pPr>
      <w:r>
        <w:rPr>
          <w:rFonts w:hint="eastAsia" w:ascii="仿宋" w:hAnsi="仿宋" w:eastAsia="仿宋" w:cs="仿宋"/>
          <w:b/>
          <w:bCs/>
          <w:sz w:val="28"/>
          <w:szCs w:val="28"/>
        </w:rPr>
        <w:t>　　（4）绩效指标明确性：</w:t>
      </w:r>
      <w:r>
        <w:rPr>
          <w:rFonts w:hint="eastAsia" w:ascii="仿宋" w:hAnsi="仿宋" w:eastAsia="仿宋" w:cs="仿宋"/>
          <w:sz w:val="28"/>
          <w:szCs w:val="28"/>
        </w:rPr>
        <w:t>将项目绩效目标细化分解为具体的绩效指标，根据评分标准，该指标不扣分，得2分。</w:t>
      </w:r>
    </w:p>
    <w:p>
      <w:pPr>
        <w:spacing w:line="560" w:lineRule="exact"/>
        <w:rPr>
          <w:rFonts w:hint="eastAsia" w:ascii="仿宋" w:hAnsi="仿宋" w:eastAsia="仿宋" w:cs="仿宋"/>
          <w:sz w:val="28"/>
          <w:szCs w:val="28"/>
        </w:rPr>
      </w:pPr>
      <w:r>
        <w:rPr>
          <w:rFonts w:hint="eastAsia" w:ascii="仿宋" w:hAnsi="仿宋" w:eastAsia="仿宋" w:cs="仿宋"/>
          <w:b/>
          <w:bCs/>
          <w:sz w:val="28"/>
          <w:szCs w:val="28"/>
        </w:rPr>
        <w:t>　　（5）预算编制科学性：</w:t>
      </w:r>
      <w:r>
        <w:rPr>
          <w:rFonts w:hint="eastAsia" w:ascii="仿宋" w:hAnsi="仿宋" w:eastAsia="仿宋" w:cs="仿宋"/>
          <w:sz w:val="28"/>
          <w:szCs w:val="28"/>
        </w:rPr>
        <w:t>预算编制经经过自治区《</w:t>
      </w:r>
      <w:r>
        <w:rPr>
          <w:rFonts w:hint="eastAsia" w:ascii="仿宋" w:hAnsi="仿宋" w:eastAsia="仿宋" w:cs="仿宋"/>
          <w:sz w:val="28"/>
          <w:szCs w:val="28"/>
          <w:lang w:val="en-US" w:eastAsia="zh-CN"/>
        </w:rPr>
        <w:t>关于批复自治区本级2024年部门预算的通知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财预</w:t>
      </w:r>
      <w:r>
        <w:rPr>
          <w:rFonts w:hint="eastAsia" w:ascii="仿宋" w:hAnsi="仿宋" w:eastAsia="仿宋" w:cs="仿宋"/>
          <w:sz w:val="28"/>
          <w:szCs w:val="28"/>
        </w:rPr>
        <w:t>〔20</w:t>
      </w:r>
      <w:r>
        <w:rPr>
          <w:rFonts w:hint="eastAsia" w:ascii="仿宋" w:hAnsi="仿宋" w:eastAsia="仿宋" w:cs="仿宋"/>
          <w:sz w:val="28"/>
          <w:szCs w:val="28"/>
          <w:lang w:val="en-US" w:eastAsia="zh-CN"/>
        </w:rPr>
        <w:t>24</w:t>
      </w:r>
      <w:r>
        <w:rPr>
          <w:rFonts w:hint="eastAsia" w:ascii="仿宋" w:hAnsi="仿宋" w:eastAsia="仿宋" w:cs="仿宋"/>
          <w:sz w:val="28"/>
          <w:szCs w:val="28"/>
        </w:rPr>
        <w:t>〕</w:t>
      </w:r>
      <w:r>
        <w:rPr>
          <w:rFonts w:hint="eastAsia" w:ascii="仿宋" w:hAnsi="仿宋" w:eastAsia="仿宋" w:cs="仿宋"/>
          <w:sz w:val="28"/>
          <w:szCs w:val="28"/>
          <w:lang w:val="en-US" w:eastAsia="zh-CN"/>
        </w:rPr>
        <w:t>1</w:t>
      </w:r>
      <w:r>
        <w:rPr>
          <w:rFonts w:hint="eastAsia" w:ascii="仿宋" w:hAnsi="仿宋" w:eastAsia="仿宋" w:cs="仿宋"/>
          <w:sz w:val="28"/>
          <w:szCs w:val="28"/>
        </w:rPr>
        <w:t>号）、《关于</w:t>
      </w:r>
      <w:r>
        <w:rPr>
          <w:rFonts w:hint="eastAsia" w:ascii="仿宋" w:hAnsi="仿宋" w:eastAsia="仿宋" w:cs="仿宋"/>
          <w:sz w:val="28"/>
          <w:szCs w:val="28"/>
          <w:lang w:val="en-US" w:eastAsia="zh-CN"/>
        </w:rPr>
        <w:t>批复2024年直属单位预算的通知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自然资函</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w:t>
      </w:r>
      <w:r>
        <w:rPr>
          <w:rFonts w:hint="eastAsia" w:ascii="仿宋" w:hAnsi="仿宋" w:eastAsia="仿宋" w:cs="仿宋"/>
          <w:sz w:val="28"/>
          <w:szCs w:val="28"/>
          <w:lang w:val="en-US" w:eastAsia="zh-CN"/>
        </w:rPr>
        <w:t>46</w:t>
      </w:r>
      <w:r>
        <w:rPr>
          <w:rFonts w:hint="eastAsia" w:ascii="仿宋" w:hAnsi="仿宋" w:eastAsia="仿宋" w:cs="仿宋"/>
          <w:sz w:val="28"/>
          <w:szCs w:val="28"/>
        </w:rPr>
        <w:t>号下拨，实际完成内容与项目内容匹配，项目投资额与工作任务相匹配，根据评分标准，该指标不扣分，得5分。</w:t>
      </w:r>
    </w:p>
    <w:p>
      <w:pPr>
        <w:spacing w:line="560" w:lineRule="exact"/>
        <w:rPr>
          <w:rFonts w:hint="eastAsia" w:ascii="仿宋" w:hAnsi="仿宋" w:eastAsia="仿宋" w:cs="仿宋"/>
          <w:sz w:val="28"/>
          <w:szCs w:val="28"/>
        </w:rPr>
      </w:pPr>
      <w:r>
        <w:rPr>
          <w:rFonts w:hint="eastAsia" w:ascii="仿宋" w:hAnsi="仿宋" w:eastAsia="仿宋" w:cs="仿宋"/>
          <w:b/>
          <w:bCs/>
          <w:sz w:val="28"/>
          <w:szCs w:val="28"/>
        </w:rPr>
        <w:t>　　（6）资金分配合理性：</w:t>
      </w:r>
      <w:r>
        <w:rPr>
          <w:rFonts w:hint="eastAsia" w:ascii="仿宋" w:hAnsi="仿宋" w:eastAsia="仿宋" w:cs="仿宋"/>
          <w:sz w:val="28"/>
          <w:szCs w:val="28"/>
        </w:rPr>
        <w:t>资金分配按照</w:t>
      </w:r>
      <w:r>
        <w:rPr>
          <w:rFonts w:hint="eastAsia" w:ascii="仿宋" w:hAnsi="仿宋" w:eastAsia="仿宋" w:cs="仿宋"/>
          <w:color w:val="auto"/>
          <w:sz w:val="28"/>
          <w:szCs w:val="28"/>
          <w:highlight w:val="none"/>
          <w:lang w:val="zh-CN" w:eastAsia="zh-CN"/>
        </w:rPr>
        <w:t>《</w:t>
      </w:r>
      <w:r>
        <w:rPr>
          <w:rFonts w:hint="eastAsia" w:ascii="仿宋" w:hAnsi="仿宋" w:eastAsia="仿宋" w:cs="仿宋"/>
          <w:color w:val="auto"/>
          <w:sz w:val="28"/>
          <w:szCs w:val="28"/>
          <w:highlight w:val="none"/>
          <w:lang w:val="en-US" w:eastAsia="zh-CN"/>
        </w:rPr>
        <w:t>关于部分厅属事业单位三定方案的批复</w:t>
      </w:r>
      <w:r>
        <w:rPr>
          <w:rFonts w:hint="eastAsia" w:ascii="仿宋" w:hAnsi="仿宋" w:eastAsia="仿宋" w:cs="仿宋"/>
          <w:color w:val="auto"/>
          <w:sz w:val="28"/>
          <w:szCs w:val="28"/>
          <w:highlight w:val="none"/>
          <w:lang w:val="zh-CN" w:eastAsia="zh-CN"/>
        </w:rPr>
        <w:t>》（新</w:t>
      </w:r>
      <w:r>
        <w:rPr>
          <w:rFonts w:hint="eastAsia" w:ascii="仿宋" w:hAnsi="仿宋" w:eastAsia="仿宋" w:cs="仿宋"/>
          <w:color w:val="auto"/>
          <w:sz w:val="28"/>
          <w:szCs w:val="28"/>
          <w:highlight w:val="none"/>
          <w:lang w:val="en-US" w:eastAsia="zh-CN"/>
        </w:rPr>
        <w:t>自然资函</w:t>
      </w:r>
      <w:r>
        <w:rPr>
          <w:rFonts w:hint="eastAsia" w:ascii="仿宋" w:hAnsi="仿宋" w:eastAsia="仿宋" w:cs="仿宋"/>
          <w:color w:val="auto"/>
          <w:sz w:val="28"/>
          <w:szCs w:val="28"/>
          <w:highlight w:val="none"/>
          <w:lang w:val="zh-CN" w:eastAsia="zh-CN"/>
        </w:rPr>
        <w:t>〔201</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val="zh-CN" w:eastAsia="zh-CN"/>
        </w:rPr>
        <w:t>〕</w:t>
      </w:r>
      <w:r>
        <w:rPr>
          <w:rFonts w:hint="eastAsia" w:ascii="仿宋" w:hAnsi="仿宋" w:eastAsia="仿宋" w:cs="仿宋"/>
          <w:color w:val="auto"/>
          <w:sz w:val="28"/>
          <w:szCs w:val="28"/>
          <w:highlight w:val="none"/>
          <w:lang w:val="en-US" w:eastAsia="zh-CN"/>
        </w:rPr>
        <w:t>103</w:t>
      </w:r>
      <w:r>
        <w:rPr>
          <w:rFonts w:hint="eastAsia" w:ascii="仿宋" w:hAnsi="仿宋" w:eastAsia="仿宋" w:cs="仿宋"/>
          <w:color w:val="auto"/>
          <w:sz w:val="28"/>
          <w:szCs w:val="28"/>
          <w:highlight w:val="none"/>
          <w:lang w:val="zh-CN" w:eastAsia="zh-CN"/>
        </w:rPr>
        <w:t>号）、</w:t>
      </w:r>
      <w:r>
        <w:rPr>
          <w:rFonts w:hint="eastAsia" w:ascii="仿宋" w:hAnsi="仿宋" w:eastAsia="仿宋" w:cs="仿宋"/>
          <w:color w:val="auto"/>
          <w:sz w:val="28"/>
          <w:szCs w:val="28"/>
          <w:highlight w:val="none"/>
        </w:rPr>
        <w:t>自治区《</w:t>
      </w:r>
      <w:r>
        <w:rPr>
          <w:rFonts w:hint="eastAsia" w:ascii="仿宋" w:hAnsi="仿宋" w:eastAsia="仿宋" w:cs="仿宋"/>
          <w:color w:val="auto"/>
          <w:sz w:val="28"/>
          <w:szCs w:val="28"/>
          <w:highlight w:val="none"/>
          <w:lang w:val="en-US" w:eastAsia="zh-CN"/>
        </w:rPr>
        <w:t>关于批复自治区本级2024年部门预算的通知</w:t>
      </w:r>
      <w:r>
        <w:rPr>
          <w:rFonts w:hint="eastAsia" w:ascii="仿宋" w:hAnsi="仿宋" w:eastAsia="仿宋" w:cs="仿宋"/>
          <w:color w:val="auto"/>
          <w:sz w:val="28"/>
          <w:szCs w:val="28"/>
          <w:highlight w:val="none"/>
        </w:rPr>
        <w:t>》（新</w:t>
      </w:r>
      <w:r>
        <w:rPr>
          <w:rFonts w:hint="eastAsia" w:ascii="仿宋" w:hAnsi="仿宋" w:eastAsia="仿宋" w:cs="仿宋"/>
          <w:color w:val="auto"/>
          <w:sz w:val="28"/>
          <w:szCs w:val="28"/>
          <w:highlight w:val="none"/>
          <w:lang w:val="en-US" w:eastAsia="zh-CN"/>
        </w:rPr>
        <w:t>财预</w:t>
      </w:r>
      <w:r>
        <w:rPr>
          <w:rFonts w:hint="eastAsia" w:ascii="仿宋" w:hAnsi="仿宋" w:eastAsia="仿宋" w:cs="仿宋"/>
          <w:color w:val="auto"/>
          <w:sz w:val="28"/>
          <w:szCs w:val="28"/>
          <w:highlight w:val="none"/>
        </w:rPr>
        <w:t>〔20</w:t>
      </w:r>
      <w:r>
        <w:rPr>
          <w:rFonts w:hint="eastAsia" w:ascii="仿宋" w:hAnsi="仿宋" w:eastAsia="仿宋" w:cs="仿宋"/>
          <w:color w:val="auto"/>
          <w:sz w:val="28"/>
          <w:szCs w:val="28"/>
          <w:highlight w:val="none"/>
          <w:lang w:val="en-US" w:eastAsia="zh-CN"/>
        </w:rPr>
        <w:t>24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号）</w:t>
      </w:r>
      <w:r>
        <w:rPr>
          <w:rFonts w:hint="eastAsia" w:ascii="仿宋" w:hAnsi="仿宋" w:eastAsia="仿宋" w:cs="仿宋"/>
          <w:color w:val="auto"/>
          <w:sz w:val="28"/>
          <w:szCs w:val="28"/>
          <w:highlight w:val="none"/>
          <w:lang w:val="en-US" w:eastAsia="zh-CN"/>
        </w:rPr>
        <w:t>及</w:t>
      </w:r>
      <w:r>
        <w:rPr>
          <w:rFonts w:hint="eastAsia" w:ascii="仿宋" w:hAnsi="仿宋" w:eastAsia="仿宋" w:cs="仿宋"/>
          <w:color w:val="auto"/>
          <w:sz w:val="28"/>
          <w:szCs w:val="28"/>
          <w:highlight w:val="none"/>
        </w:rPr>
        <w:t>《关于</w:t>
      </w:r>
      <w:r>
        <w:rPr>
          <w:rFonts w:hint="eastAsia" w:ascii="仿宋" w:hAnsi="仿宋" w:eastAsia="仿宋" w:cs="仿宋"/>
          <w:color w:val="auto"/>
          <w:sz w:val="28"/>
          <w:szCs w:val="28"/>
          <w:highlight w:val="none"/>
          <w:lang w:val="en-US" w:eastAsia="zh-CN"/>
        </w:rPr>
        <w:t>批复2024年直属单位预算的通知</w:t>
      </w:r>
      <w:r>
        <w:rPr>
          <w:rFonts w:hint="eastAsia" w:ascii="仿宋" w:hAnsi="仿宋" w:eastAsia="仿宋" w:cs="仿宋"/>
          <w:color w:val="auto"/>
          <w:sz w:val="28"/>
          <w:szCs w:val="28"/>
          <w:highlight w:val="none"/>
        </w:rPr>
        <w:t>》新</w:t>
      </w:r>
      <w:r>
        <w:rPr>
          <w:rFonts w:hint="eastAsia" w:ascii="仿宋" w:hAnsi="仿宋" w:eastAsia="仿宋" w:cs="仿宋"/>
          <w:color w:val="auto"/>
          <w:sz w:val="28"/>
          <w:szCs w:val="28"/>
          <w:highlight w:val="none"/>
          <w:lang w:val="en-US" w:eastAsia="zh-CN"/>
        </w:rPr>
        <w:t>自然资函</w:t>
      </w:r>
      <w:r>
        <w:rPr>
          <w:rFonts w:hint="eastAsia" w:ascii="仿宋" w:hAnsi="仿宋" w:eastAsia="仿宋" w:cs="仿宋"/>
          <w:color w:val="auto"/>
          <w:sz w:val="28"/>
          <w:szCs w:val="28"/>
          <w:highlight w:val="none"/>
        </w:rPr>
        <w:t>〔202</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46</w:t>
      </w:r>
      <w:r>
        <w:rPr>
          <w:rFonts w:hint="eastAsia" w:ascii="仿宋" w:hAnsi="仿宋" w:eastAsia="仿宋" w:cs="仿宋"/>
          <w:color w:val="auto"/>
          <w:sz w:val="28"/>
          <w:szCs w:val="28"/>
          <w:highlight w:val="none"/>
        </w:rPr>
        <w:t>号</w:t>
      </w:r>
      <w:r>
        <w:rPr>
          <w:rFonts w:hint="eastAsia" w:ascii="仿宋" w:hAnsi="仿宋" w:eastAsia="仿宋" w:cs="仿宋"/>
          <w:color w:val="auto"/>
          <w:sz w:val="28"/>
          <w:szCs w:val="28"/>
          <w:highlight w:val="none"/>
          <w:lang w:val="en-US" w:eastAsia="zh-CN"/>
        </w:rPr>
        <w:t>文件</w:t>
      </w:r>
      <w:r>
        <w:rPr>
          <w:rFonts w:hint="eastAsia" w:ascii="仿宋" w:hAnsi="仿宋" w:eastAsia="仿宋" w:cs="仿宋"/>
          <w:sz w:val="28"/>
          <w:szCs w:val="28"/>
        </w:rPr>
        <w:t>要求，资金分配与实际相适应，根据评分标准，该指标不扣分，得5分。</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（二）项目过程情况</w:t>
      </w:r>
    </w:p>
    <w:p>
      <w:pPr>
        <w:spacing w:line="560" w:lineRule="exact"/>
        <w:rPr>
          <w:rFonts w:hint="eastAsia" w:ascii="仿宋" w:hAnsi="仿宋" w:eastAsia="仿宋" w:cs="仿宋"/>
          <w:sz w:val="28"/>
          <w:szCs w:val="28"/>
        </w:rPr>
      </w:pPr>
      <w:r>
        <w:rPr>
          <w:rFonts w:hint="eastAsia" w:ascii="仿宋" w:hAnsi="仿宋" w:eastAsia="仿宋" w:cs="仿宋"/>
          <w:sz w:val="28"/>
          <w:szCs w:val="28"/>
        </w:rPr>
        <w:t>　　项目过程类指标包括资金管理和组织实施两方面的内容，由 5个三级指标构成，权重分为20分，实际得分20 分，得分率为100%。</w:t>
      </w:r>
    </w:p>
    <w:p>
      <w:pPr>
        <w:numPr>
          <w:ilvl w:val="0"/>
          <w:numId w:val="0"/>
        </w:numPr>
        <w:spacing w:line="560" w:lineRule="exact"/>
        <w:rPr>
          <w:rFonts w:hint="eastAsia" w:ascii="仿宋" w:hAnsi="仿宋" w:eastAsia="仿宋" w:cs="仿宋"/>
          <w:sz w:val="28"/>
          <w:szCs w:val="28"/>
        </w:rPr>
      </w:pPr>
      <w:r>
        <w:rPr>
          <w:rFonts w:hint="eastAsia" w:ascii="仿宋" w:hAnsi="仿宋" w:eastAsia="仿宋" w:cs="仿宋"/>
          <w:b/>
          <w:bCs/>
          <w:sz w:val="28"/>
          <w:szCs w:val="28"/>
        </w:rPr>
        <w:t>　　（1）资金到位率：</w:t>
      </w:r>
      <w:r>
        <w:rPr>
          <w:rFonts w:hint="eastAsia" w:ascii="仿宋" w:hAnsi="仿宋" w:eastAsia="仿宋" w:cs="仿宋"/>
          <w:sz w:val="28"/>
          <w:szCs w:val="28"/>
        </w:rPr>
        <w:t xml:space="preserve">该项目总投资750万元，实际到位资金750万元，其中当年财政拨款750万元，财政资金足额拨付到位，根据评分标准，该指标不扣分，得5分。   </w:t>
      </w:r>
    </w:p>
    <w:p>
      <w:pPr>
        <w:numPr>
          <w:ilvl w:val="0"/>
          <w:numId w:val="0"/>
        </w:numPr>
        <w:tabs>
          <w:tab w:val="right" w:leader="dot" w:pos="8296"/>
        </w:tabs>
        <w:spacing w:before="120" w:after="120" w:line="560" w:lineRule="exact"/>
        <w:jc w:val="left"/>
        <w:rPr>
          <w:rFonts w:hint="eastAsia" w:ascii="仿宋" w:hAnsi="仿宋" w:eastAsia="仿宋" w:cs="仿宋"/>
          <w:sz w:val="28"/>
          <w:szCs w:val="28"/>
        </w:rPr>
      </w:pPr>
      <w:r>
        <w:rPr>
          <w:rFonts w:hint="eastAsia" w:ascii="仿宋" w:hAnsi="仿宋" w:eastAsia="仿宋" w:cs="仿宋"/>
          <w:b/>
          <w:bCs/>
          <w:sz w:val="28"/>
          <w:szCs w:val="28"/>
        </w:rPr>
        <w:t>　　（2）预算执行率：</w:t>
      </w:r>
      <w:r>
        <w:rPr>
          <w:rFonts w:hint="eastAsia" w:ascii="仿宋" w:hAnsi="仿宋" w:eastAsia="仿宋" w:cs="仿宋"/>
          <w:sz w:val="28"/>
          <w:szCs w:val="28"/>
        </w:rPr>
        <w:t>本项目申请预算金额为750万元，预算批复实际下达金额为750万元，截至 2023年 12 月 31日，资金执行750万元，资金执行率100.00%。项目资金支出总体能够按照预算执行，根据评分标准，该指标不扣分，得5分。</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bCs/>
          <w:sz w:val="28"/>
          <w:szCs w:val="28"/>
        </w:rPr>
      </w:pPr>
      <w:r>
        <w:rPr>
          <w:rFonts w:hint="eastAsia" w:ascii="仿宋" w:hAnsi="仿宋" w:eastAsia="仿宋" w:cs="仿宋"/>
          <w:b/>
          <w:bCs/>
          <w:sz w:val="28"/>
          <w:szCs w:val="28"/>
        </w:rPr>
        <w:t>　　（3）资金使用合规性：</w:t>
      </w:r>
      <w:r>
        <w:rPr>
          <w:rFonts w:hint="eastAsia" w:ascii="仿宋" w:hAnsi="仿宋" w:eastAsia="仿宋" w:cs="仿宋"/>
          <w:sz w:val="28"/>
          <w:szCs w:val="28"/>
        </w:rPr>
        <w:t>根据《</w:t>
      </w:r>
      <w:r>
        <w:rPr>
          <w:rFonts w:hint="eastAsia" w:ascii="仿宋" w:hAnsi="仿宋" w:eastAsia="仿宋" w:cs="仿宋"/>
          <w:sz w:val="28"/>
          <w:szCs w:val="28"/>
          <w:lang w:val="en-US" w:eastAsia="zh-CN"/>
        </w:rPr>
        <w:t>关于批复自治区本级2024年部门预算的通知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财预</w:t>
      </w:r>
      <w:r>
        <w:rPr>
          <w:rFonts w:hint="eastAsia" w:ascii="仿宋" w:hAnsi="仿宋" w:eastAsia="仿宋" w:cs="仿宋"/>
          <w:sz w:val="28"/>
          <w:szCs w:val="28"/>
        </w:rPr>
        <w:t>〔20</w:t>
      </w:r>
      <w:r>
        <w:rPr>
          <w:rFonts w:hint="eastAsia" w:ascii="仿宋" w:hAnsi="仿宋" w:eastAsia="仿宋" w:cs="仿宋"/>
          <w:sz w:val="28"/>
          <w:szCs w:val="28"/>
          <w:lang w:val="en-US" w:eastAsia="zh-CN"/>
        </w:rPr>
        <w:t>24</w:t>
      </w:r>
      <w:r>
        <w:rPr>
          <w:rFonts w:hint="eastAsia" w:ascii="仿宋" w:hAnsi="仿宋" w:eastAsia="仿宋" w:cs="仿宋"/>
          <w:sz w:val="28"/>
          <w:szCs w:val="28"/>
        </w:rPr>
        <w:t>〕</w:t>
      </w:r>
      <w:r>
        <w:rPr>
          <w:rFonts w:hint="eastAsia" w:ascii="仿宋" w:hAnsi="仿宋" w:eastAsia="仿宋" w:cs="仿宋"/>
          <w:sz w:val="28"/>
          <w:szCs w:val="28"/>
          <w:lang w:val="en-US" w:eastAsia="zh-CN"/>
        </w:rPr>
        <w:t>1</w:t>
      </w:r>
      <w:r>
        <w:rPr>
          <w:rFonts w:hint="eastAsia" w:ascii="仿宋" w:hAnsi="仿宋" w:eastAsia="仿宋" w:cs="仿宋"/>
          <w:sz w:val="28"/>
          <w:szCs w:val="28"/>
        </w:rPr>
        <w:t>号）、《关于</w:t>
      </w:r>
      <w:r>
        <w:rPr>
          <w:rFonts w:hint="eastAsia" w:ascii="仿宋" w:hAnsi="仿宋" w:eastAsia="仿宋" w:cs="仿宋"/>
          <w:sz w:val="28"/>
          <w:szCs w:val="28"/>
          <w:lang w:val="en-US" w:eastAsia="zh-CN"/>
        </w:rPr>
        <w:t>批复2024年直属单位预算的通知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自然资函</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w:t>
      </w:r>
      <w:r>
        <w:rPr>
          <w:rFonts w:hint="eastAsia" w:ascii="仿宋" w:hAnsi="仿宋" w:eastAsia="仿宋" w:cs="仿宋"/>
          <w:sz w:val="28"/>
          <w:szCs w:val="28"/>
          <w:lang w:val="en-US" w:eastAsia="zh-CN"/>
        </w:rPr>
        <w:t>46</w:t>
      </w:r>
      <w:r>
        <w:rPr>
          <w:rFonts w:hint="eastAsia" w:ascii="仿宋" w:hAnsi="仿宋" w:eastAsia="仿宋" w:cs="仿宋"/>
          <w:sz w:val="28"/>
          <w:szCs w:val="28"/>
        </w:rPr>
        <w:t>号符合预算批复规定用途，不存在截留、挤占、挪用、虚列支出等情况，未发现违规使用情况，根据评分标准，该指标不扣分，得5分。</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b/>
          <w:bCs/>
          <w:sz w:val="28"/>
          <w:szCs w:val="28"/>
        </w:rPr>
        <w:t>　　（4）管理制度健全性：</w:t>
      </w:r>
      <w:r>
        <w:rPr>
          <w:rFonts w:hint="eastAsia" w:ascii="仿宋" w:hAnsi="仿宋" w:eastAsia="仿宋" w:cs="仿宋"/>
          <w:sz w:val="28"/>
          <w:szCs w:val="28"/>
        </w:rPr>
        <w:t>该项目严格按照《新疆维吾尔自治区地质环境监测院财务制度》及地质环境监测资金相关的制度和管理规定实施，对财政专项资金进行严格管理，基本做到了专款专用，根据评分标准，该指标不扣分，得2分。</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b/>
          <w:bCs/>
          <w:sz w:val="28"/>
          <w:szCs w:val="28"/>
        </w:rPr>
        <w:t>　　（5）制度执行有效性</w:t>
      </w:r>
      <w:r>
        <w:rPr>
          <w:rFonts w:hint="eastAsia" w:ascii="仿宋" w:hAnsi="仿宋" w:eastAsia="仿宋" w:cs="仿宋"/>
          <w:sz w:val="28"/>
          <w:szCs w:val="28"/>
        </w:rPr>
        <w:t>：由部门提出经费预算支出可行性方案，经过与财经领导小组沟通后，报局务会会议研究执行，财务对资金的使用合法合规性进行监督，年底对资金使用效果进行自评，根据评分标准，该指标不扣分，得3分。</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（三）项目产出情况</w:t>
      </w:r>
    </w:p>
    <w:p>
      <w:pPr>
        <w:spacing w:line="560" w:lineRule="exact"/>
        <w:ind w:firstLine="560"/>
        <w:rPr>
          <w:rFonts w:hint="eastAsia" w:ascii="仿宋" w:hAnsi="仿宋" w:eastAsia="仿宋" w:cs="仿宋"/>
          <w:color w:val="FF0000"/>
          <w:sz w:val="28"/>
          <w:szCs w:val="28"/>
        </w:rPr>
      </w:pPr>
      <w:r>
        <w:rPr>
          <w:rFonts w:hint="eastAsia" w:ascii="仿宋" w:hAnsi="仿宋" w:eastAsia="仿宋" w:cs="仿宋"/>
          <w:sz w:val="28"/>
          <w:szCs w:val="28"/>
        </w:rPr>
        <w:t>项目产出类指标包括产出数量、产出质量、产出时效、产出成本四方面的内容，由4个三级指标构成，权重分为40分，实际得分40分，得分率为100%。</w:t>
      </w:r>
    </w:p>
    <w:p>
      <w:pPr>
        <w:spacing w:line="480" w:lineRule="exact"/>
        <w:ind w:firstLine="562"/>
        <w:outlineLvl w:val="0"/>
        <w:rPr>
          <w:rFonts w:hint="eastAsia" w:ascii="仿宋" w:hAnsi="仿宋" w:eastAsia="仿宋" w:cs="仿宋"/>
          <w:sz w:val="28"/>
          <w:szCs w:val="28"/>
        </w:rPr>
      </w:pPr>
      <w:r>
        <w:rPr>
          <w:rFonts w:hint="eastAsia" w:ascii="仿宋" w:hAnsi="仿宋" w:eastAsia="仿宋" w:cs="仿宋"/>
          <w:b/>
          <w:bCs/>
          <w:sz w:val="28"/>
          <w:szCs w:val="28"/>
        </w:rPr>
        <w:t>（1）对于“产出数量”：</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color w:val="FF0000"/>
          <w:sz w:val="28"/>
          <w:szCs w:val="28"/>
        </w:rPr>
      </w:pPr>
      <w:r>
        <w:rPr>
          <w:rFonts w:hint="eastAsia" w:ascii="仿宋" w:hAnsi="仿宋" w:eastAsia="仿宋" w:cs="仿宋"/>
          <w:sz w:val="28"/>
          <w:szCs w:val="28"/>
        </w:rPr>
        <w:t>地下水监测井运行维护数量131口，与预期目标一致，根据评分标准，该指标不扣分，得1分；</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地下水水质样品采集及检测数量61组，与预期目标一致，根据评分标准，该指标不扣分，得1分；</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汛期重要地质灾害防治工作指导重点县（市）数量20个，与预期目标一致，根据评分标准，该指标不扣分，得1分；</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制作地质灾害气象风险预警产品184期，与预期目标一致，根据评分标准，该指标不扣分，得1分；</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地质灾害专业监测站野外维护次数2次，与预期目标一致，根据评分标准，该指标不扣分，得1分；</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 xml:space="preserve">地下水开采引发的地面沉降调查面积5000平方千米，与预期目标一致，根据评分标准，该指标不扣分，得2分； </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“双随机、一公开”检查矿山数量55个，与预期目标一致，根据评分标准，该指标不扣分，得1分；</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组织评审《矿山地质环境保护与土地复垦方案》30个，与预期目标一致，根据评分标准，该指标不扣分，得1分；</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硬件、系统维护次数12次，与预期目标一致，根据评分标准，该指标不扣分，得1分；</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ascii="仿宋" w:hAnsi="仿宋" w:eastAsia="仿宋" w:cs="仿宋"/>
          <w:sz w:val="28"/>
          <w:szCs w:val="28"/>
        </w:rPr>
      </w:pPr>
      <w:r>
        <w:rPr>
          <w:rFonts w:hint="eastAsia" w:ascii="仿宋" w:hAnsi="仿宋" w:eastAsia="仿宋" w:cs="仿宋"/>
          <w:sz w:val="28"/>
          <w:szCs w:val="28"/>
        </w:rPr>
        <w:t>合计得10分。</w:t>
      </w:r>
    </w:p>
    <w:p>
      <w:pPr>
        <w:keepNext w:val="0"/>
        <w:keepLines w:val="0"/>
        <w:pageBreakBefore w:val="0"/>
        <w:widowControl w:val="0"/>
        <w:kinsoku/>
        <w:wordWrap/>
        <w:overflowPunct/>
        <w:topLinePunct w:val="0"/>
        <w:autoSpaceDE/>
        <w:autoSpaceDN/>
        <w:bidi w:val="0"/>
        <w:adjustRightInd/>
        <w:snapToGrid/>
        <w:spacing w:line="480" w:lineRule="exact"/>
        <w:ind w:firstLine="562"/>
        <w:textAlignment w:val="auto"/>
        <w:outlineLvl w:val="0"/>
        <w:rPr>
          <w:rFonts w:hint="eastAsia" w:ascii="仿宋" w:hAnsi="仿宋" w:eastAsia="仿宋" w:cs="仿宋"/>
          <w:sz w:val="28"/>
          <w:szCs w:val="28"/>
        </w:rPr>
      </w:pPr>
      <w:r>
        <w:rPr>
          <w:rFonts w:hint="eastAsia" w:ascii="仿宋" w:hAnsi="仿宋" w:eastAsia="仿宋" w:cs="仿宋"/>
          <w:b/>
          <w:bCs/>
          <w:sz w:val="28"/>
          <w:szCs w:val="28"/>
        </w:rPr>
        <w:t>（2）对于“产出质量”：</w:t>
      </w:r>
    </w:p>
    <w:p>
      <w:pPr>
        <w:pStyle w:val="28"/>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rPr>
      </w:pPr>
      <w:r>
        <w:rPr>
          <w:rFonts w:hint="eastAsia" w:ascii="仿宋" w:hAnsi="仿宋" w:eastAsia="仿宋" w:cs="仿宋"/>
          <w:bCs/>
          <w:sz w:val="28"/>
        </w:rPr>
        <w:t>系统故障率4%，</w:t>
      </w:r>
      <w:r>
        <w:rPr>
          <w:rFonts w:hint="eastAsia" w:ascii="仿宋" w:hAnsi="仿宋" w:eastAsia="仿宋" w:cs="仿宋"/>
          <w:sz w:val="28"/>
        </w:rPr>
        <w:t>与预期目标一致，根据评分标准，该指标不扣分，得3分；</w:t>
      </w:r>
    </w:p>
    <w:p>
      <w:pPr>
        <w:pStyle w:val="28"/>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rPr>
      </w:pPr>
      <w:r>
        <w:rPr>
          <w:rFonts w:hint="eastAsia" w:ascii="仿宋" w:hAnsi="仿宋" w:eastAsia="仿宋" w:cs="仿宋"/>
          <w:bCs/>
          <w:sz w:val="28"/>
        </w:rPr>
        <w:t>地下水监测数据合格率100%，</w:t>
      </w:r>
      <w:r>
        <w:rPr>
          <w:rFonts w:hint="eastAsia" w:ascii="仿宋" w:hAnsi="仿宋" w:eastAsia="仿宋" w:cs="仿宋"/>
          <w:sz w:val="28"/>
        </w:rPr>
        <w:t>与预期目标一致，根据评分标准，该指标不扣分，得4分；</w:t>
      </w:r>
    </w:p>
    <w:p>
      <w:pPr>
        <w:pStyle w:val="28"/>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rPr>
      </w:pPr>
      <w:r>
        <w:rPr>
          <w:rFonts w:hint="eastAsia" w:ascii="仿宋" w:hAnsi="仿宋" w:eastAsia="仿宋" w:cs="仿宋"/>
          <w:bCs/>
          <w:sz w:val="28"/>
        </w:rPr>
        <w:t>制作地质灾害气象风险预警产品合格率100%，</w:t>
      </w:r>
      <w:r>
        <w:rPr>
          <w:rFonts w:hint="eastAsia" w:ascii="仿宋" w:hAnsi="仿宋" w:eastAsia="仿宋" w:cs="仿宋"/>
          <w:sz w:val="28"/>
        </w:rPr>
        <w:t>与预期目标一致，根据评分标准，该指标不扣分，得3分；</w:t>
      </w:r>
    </w:p>
    <w:p>
      <w:pPr>
        <w:pStyle w:val="28"/>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ascii="仿宋" w:hAnsi="仿宋" w:eastAsia="仿宋" w:cs="仿宋"/>
          <w:sz w:val="28"/>
        </w:rPr>
      </w:pPr>
      <w:r>
        <w:rPr>
          <w:rFonts w:hint="eastAsia" w:ascii="仿宋" w:hAnsi="仿宋" w:eastAsia="仿宋" w:cs="仿宋"/>
          <w:sz w:val="28"/>
        </w:rPr>
        <w:t>合计得10分。</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firstLine="562"/>
        <w:textAlignment w:val="auto"/>
        <w:outlineLvl w:val="0"/>
        <w:rPr>
          <w:rFonts w:hint="eastAsia" w:ascii="仿宋" w:hAnsi="仿宋" w:eastAsia="仿宋" w:cs="仿宋"/>
          <w:b/>
          <w:bCs/>
          <w:sz w:val="28"/>
          <w:szCs w:val="28"/>
        </w:rPr>
      </w:pPr>
      <w:r>
        <w:rPr>
          <w:rFonts w:hint="eastAsia" w:ascii="仿宋" w:hAnsi="仿宋" w:eastAsia="仿宋" w:cs="仿宋"/>
          <w:b/>
          <w:bCs/>
          <w:sz w:val="28"/>
          <w:szCs w:val="28"/>
        </w:rPr>
        <w:t xml:space="preserve">对于“产出时效”：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地质灾害气象风险预警产品按时完成时间100%，与预期目标一致，根据评分标准，该指标不扣分，得2分；</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szCs w:val="28"/>
        </w:rPr>
      </w:pPr>
      <w:r>
        <w:rPr>
          <w:rFonts w:hint="eastAsia" w:ascii="仿宋" w:hAnsi="仿宋" w:eastAsia="仿宋" w:cs="仿宋"/>
          <w:sz w:val="28"/>
          <w:szCs w:val="28"/>
        </w:rPr>
        <w:t>汛期重要地质灾害防治工作指导重点县（市）完成时间，2023年11月30日，与预期目标一致，根据评分标准，该指标不扣分，得2分；</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szCs w:val="28"/>
        </w:rPr>
      </w:pPr>
      <w:r>
        <w:rPr>
          <w:rFonts w:hint="eastAsia" w:ascii="仿宋" w:hAnsi="仿宋" w:eastAsia="仿宋" w:cs="仿宋"/>
          <w:sz w:val="28"/>
          <w:szCs w:val="28"/>
        </w:rPr>
        <w:t>系统网络故障修复处理时间1小时，与预期目标一致，根据评分标准，该指标不扣分，得2分；</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szCs w:val="28"/>
        </w:rPr>
      </w:pPr>
      <w:r>
        <w:rPr>
          <w:rFonts w:hint="eastAsia" w:ascii="仿宋" w:hAnsi="仿宋" w:eastAsia="仿宋" w:cs="仿宋"/>
          <w:sz w:val="28"/>
          <w:szCs w:val="28"/>
        </w:rPr>
        <w:t>地下水监测井维护完成时间2023年11月30日，与预期目标一致，根据评分标准，该指标不扣分，得2分；</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szCs w:val="28"/>
        </w:rPr>
      </w:pPr>
      <w:r>
        <w:rPr>
          <w:rFonts w:hint="eastAsia" w:ascii="仿宋" w:hAnsi="仿宋" w:eastAsia="仿宋" w:cs="仿宋"/>
          <w:sz w:val="28"/>
          <w:szCs w:val="28"/>
        </w:rPr>
        <w:t>“双随机，一公开”检查矿山完成时间2023年11月30日，与预期目标一致，根据评分标准，该指标不扣分，得2分。</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ascii="仿宋" w:hAnsi="仿宋" w:eastAsia="仿宋" w:cs="仿宋"/>
          <w:sz w:val="28"/>
          <w:szCs w:val="28"/>
        </w:rPr>
      </w:pPr>
      <w:r>
        <w:rPr>
          <w:rFonts w:hint="eastAsia" w:ascii="仿宋" w:hAnsi="仿宋" w:eastAsia="仿宋" w:cs="仿宋"/>
          <w:sz w:val="28"/>
          <w:szCs w:val="28"/>
        </w:rPr>
        <w:t>合计得10分。</w:t>
      </w:r>
    </w:p>
    <w:p>
      <w:pPr>
        <w:spacing w:line="480" w:lineRule="exact"/>
        <w:ind w:firstLine="562"/>
        <w:outlineLvl w:val="0"/>
        <w:rPr>
          <w:rFonts w:hint="eastAsia" w:ascii="仿宋" w:hAnsi="仿宋" w:eastAsia="仿宋" w:cs="仿宋"/>
          <w:sz w:val="28"/>
          <w:szCs w:val="28"/>
        </w:rPr>
      </w:pPr>
      <w:r>
        <w:rPr>
          <w:rFonts w:hint="eastAsia" w:ascii="仿宋" w:hAnsi="仿宋" w:eastAsia="仿宋" w:cs="仿宋"/>
          <w:b/>
          <w:bCs/>
          <w:sz w:val="28"/>
          <w:szCs w:val="28"/>
        </w:rPr>
        <w:t>（4）对于“产出成本”：</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地下水监测井及监测设备运行维护175万元，与预期目标一致，根据评分标准，该指标不扣分，得3分；</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地质灾害调查监测和防治技术服务250万元，与预期目标一致，根据评分标准，该指标不扣分，得3分；</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矿山生态修复研究及矿山保护方案评审285万元，与预期目标一致，根据评分标准，该指标不扣分，得4分。</w:t>
      </w:r>
    </w:p>
    <w:p>
      <w:pPr>
        <w:ind w:firstLine="560"/>
      </w:pPr>
      <w:r>
        <w:rPr>
          <w:rFonts w:hint="eastAsia" w:ascii="仿宋" w:hAnsi="仿宋" w:eastAsia="仿宋" w:cs="仿宋"/>
          <w:sz w:val="28"/>
          <w:szCs w:val="28"/>
        </w:rPr>
        <w:t>合计得10分。</w:t>
      </w:r>
    </w:p>
    <w:p>
      <w:pPr>
        <w:spacing w:line="480" w:lineRule="exact"/>
        <w:ind w:firstLine="562"/>
        <w:rPr>
          <w:rFonts w:hint="eastAsia" w:ascii="仿宋" w:hAnsi="仿宋" w:eastAsia="仿宋" w:cs="仿宋"/>
          <w:sz w:val="28"/>
          <w:szCs w:val="28"/>
        </w:rPr>
      </w:pPr>
      <w:r>
        <w:rPr>
          <w:rFonts w:hint="eastAsia" w:ascii="仿宋" w:hAnsi="仿宋" w:eastAsia="仿宋" w:cs="仿宋"/>
          <w:sz w:val="28"/>
          <w:szCs w:val="28"/>
        </w:rPr>
        <w:t>（四）项目效益情况</w:t>
      </w:r>
    </w:p>
    <w:p>
      <w:p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项目效益类指标包括项目效益1个方面的内容，由1个三级指标构成，权重分为20分，实际得分20分，得分率为100%。</w:t>
      </w:r>
    </w:p>
    <w:p>
      <w:pPr>
        <w:spacing w:line="480" w:lineRule="exact"/>
        <w:ind w:firstLine="562"/>
        <w:outlineLvl w:val="0"/>
        <w:rPr>
          <w:rFonts w:hint="eastAsia" w:ascii="仿宋" w:hAnsi="仿宋" w:eastAsia="仿宋" w:cs="仿宋"/>
          <w:b/>
          <w:bCs/>
          <w:sz w:val="28"/>
          <w:szCs w:val="28"/>
        </w:rPr>
      </w:pPr>
      <w:r>
        <w:rPr>
          <w:rFonts w:hint="eastAsia" w:ascii="仿宋" w:hAnsi="仿宋" w:eastAsia="仿宋" w:cs="仿宋"/>
          <w:b/>
          <w:bCs/>
          <w:sz w:val="28"/>
          <w:szCs w:val="28"/>
        </w:rPr>
        <w:t>1、社会效益指标：</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有效提高我区地质灾害防治能力,与预期目标一致，根据评分标准，该指标不扣分，得6分；</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有效提升我区地下水资源监测能力,与预期目标一致，根据评分标准，该指标不扣分，得6分；</w:t>
      </w:r>
    </w:p>
    <w:p>
      <w:pPr>
        <w:spacing w:line="480" w:lineRule="exact"/>
        <w:ind w:firstLine="562"/>
        <w:outlineLvl w:val="0"/>
        <w:rPr>
          <w:rFonts w:hint="eastAsia" w:ascii="仿宋" w:hAnsi="仿宋" w:eastAsia="仿宋" w:cs="仿宋"/>
          <w:b/>
          <w:bCs/>
          <w:sz w:val="28"/>
          <w:szCs w:val="28"/>
        </w:rPr>
      </w:pPr>
      <w:r>
        <w:rPr>
          <w:rFonts w:hint="eastAsia" w:ascii="仿宋" w:hAnsi="仿宋" w:eastAsia="仿宋" w:cs="仿宋"/>
          <w:b/>
          <w:bCs/>
          <w:sz w:val="28"/>
          <w:szCs w:val="28"/>
        </w:rPr>
        <w:t>2、生态效益指标：</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持续提高我区矿山生态环境保护修复能力,与预期目标一致，根据评分标准，该指标不扣分，得8分；</w:t>
      </w:r>
    </w:p>
    <w:p>
      <w:pPr>
        <w:spacing w:line="480" w:lineRule="exact"/>
        <w:ind w:firstLine="560"/>
        <w:rPr>
          <w:rFonts w:ascii="仿宋" w:hAnsi="仿宋" w:eastAsia="仿宋" w:cs="仿宋"/>
          <w:sz w:val="28"/>
          <w:szCs w:val="28"/>
        </w:rPr>
      </w:pPr>
      <w:r>
        <w:rPr>
          <w:rFonts w:hint="eastAsia" w:ascii="仿宋" w:hAnsi="仿宋" w:eastAsia="仿宋" w:cs="仿宋"/>
          <w:sz w:val="28"/>
          <w:szCs w:val="28"/>
        </w:rPr>
        <w:t>实施效益指标得20分。</w:t>
      </w:r>
    </w:p>
    <w:p>
      <w:pPr>
        <w:ind w:firstLine="643"/>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五、预算执行进度与绩效指标偏差</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新疆地质环境调查监测评价项目预算750万元，到位750万元，实际支出750万元，预算执行率为100%，项目绩效指标总体完成率为100%，预算执行进度与绩效指标无偏差。</w:t>
      </w:r>
    </w:p>
    <w:p>
      <w:pPr>
        <w:ind w:firstLine="643"/>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六、主要经验及做法、存在的问题及原因分析</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（一）主要经验及做法</w:t>
      </w:r>
    </w:p>
    <w:p>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numPr>
          <w:ilvl w:val="0"/>
          <w:numId w:val="2"/>
        </w:numPr>
        <w:spacing w:line="480" w:lineRule="exact"/>
        <w:ind w:left="0" w:firstLine="546"/>
        <w:rPr>
          <w:rFonts w:hint="eastAsia" w:ascii="仿宋" w:hAnsi="仿宋" w:eastAsia="仿宋" w:cs="仿宋"/>
          <w:spacing w:val="-4"/>
          <w:sz w:val="28"/>
          <w:szCs w:val="28"/>
        </w:rPr>
      </w:pPr>
      <w:r>
        <w:rPr>
          <w:rFonts w:hint="eastAsia" w:ascii="仿宋" w:hAnsi="仿宋" w:eastAsia="仿宋" w:cs="仿宋"/>
          <w:spacing w:val="-4"/>
          <w:sz w:val="28"/>
          <w:szCs w:val="28"/>
        </w:rPr>
        <w:t>存在问题及原因分析</w:t>
      </w:r>
    </w:p>
    <w:p>
      <w:pPr>
        <w:numPr>
          <w:ilvl w:val="0"/>
          <w:numId w:val="0"/>
        </w:numPr>
        <w:spacing w:line="480" w:lineRule="exact"/>
        <w:ind w:firstLine="594"/>
        <w:jc w:val="left"/>
        <w:rPr>
          <w:rFonts w:hint="eastAsia" w:ascii="仿宋" w:hAnsi="仿宋" w:eastAsia="仿宋" w:cs="仿宋"/>
          <w:b/>
          <w:bCs/>
          <w:color w:val="333333"/>
          <w:spacing w:val="8"/>
          <w:sz w:val="28"/>
          <w:szCs w:val="28"/>
        </w:rPr>
      </w:pPr>
      <w:r>
        <w:rPr>
          <w:rFonts w:hint="eastAsia" w:ascii="仿宋" w:hAnsi="仿宋" w:eastAsia="仿宋" w:cs="仿宋"/>
          <w:b/>
          <w:bCs/>
          <w:color w:val="333333"/>
          <w:spacing w:val="8"/>
          <w:sz w:val="28"/>
          <w:szCs w:val="28"/>
        </w:rPr>
        <w:t>1.存在问题</w:t>
      </w:r>
    </w:p>
    <w:p>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1）绩效监控的观念不够深入人心。长期以来形成的以投入为导向的管理模式让人们仍将预算的编制和分配情况作为重点，对支出过程及结果关注不够，对于资金使用与项目执行进度的关系没有正确的认识，认为资金在使用过程中只要能够合法合规，按计划完成任务就行，至于如何让资金使用效益最大化缺乏思考。</w:t>
      </w:r>
    </w:p>
    <w:p>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2）绩效目标设立不合理。目前，各科室对项目绩效目标设立不明确，资金分配和使用责任落实不到位;预算执行中也缺乏相应的绩效运行跟踪监控措施，仅限于日常监控及执行进度监控;事后的绩效评价，一般也仅局限于财政支出绩效评价，没有从项目设计的合理性等进行分析。</w:t>
      </w:r>
    </w:p>
    <w:p>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3）评价指标设计相对单一。实际工作中，业务科室绩效指标设置较为粗放，指标权重的确定、定性指标的衡量等缺乏科学的方法。由于对绩效监控工作的认识不足，造成业务科室在设定项目绩效评价指标很难反映真实的绩效情况，势必就造成了这些指标“形同虚设”，在绩效监控过程中，对绩效指标的衡量与评价就出现了偏差。</w:t>
      </w:r>
    </w:p>
    <w:p>
      <w:pPr>
        <w:numPr>
          <w:ilvl w:val="0"/>
          <w:numId w:val="0"/>
        </w:numPr>
        <w:spacing w:line="480" w:lineRule="exact"/>
        <w:ind w:firstLine="592"/>
        <w:jc w:val="left"/>
        <w:rPr>
          <w:rFonts w:hint="eastAsia" w:ascii="仿宋" w:hAnsi="仿宋" w:eastAsia="仿宋" w:cs="仿宋"/>
          <w:color w:val="333333"/>
          <w:spacing w:val="8"/>
          <w:sz w:val="28"/>
          <w:szCs w:val="28"/>
        </w:rPr>
      </w:pPr>
      <w:r>
        <w:rPr>
          <w:rFonts w:hint="eastAsia" w:ascii="仿宋" w:hAnsi="仿宋" w:eastAsia="仿宋" w:cs="仿宋"/>
          <w:color w:val="333333"/>
          <w:spacing w:val="8"/>
          <w:sz w:val="28"/>
          <w:szCs w:val="28"/>
        </w:rPr>
        <w:t>2.</w:t>
      </w:r>
      <w:r>
        <w:rPr>
          <w:rFonts w:hint="eastAsia" w:ascii="仿宋" w:hAnsi="仿宋" w:eastAsia="仿宋" w:cs="仿宋"/>
          <w:b/>
          <w:bCs/>
          <w:color w:val="333333"/>
          <w:spacing w:val="8"/>
          <w:sz w:val="28"/>
          <w:szCs w:val="28"/>
        </w:rPr>
        <w:t>问题产生的原因</w:t>
      </w:r>
    </w:p>
    <w:p>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1）缺少专业的绩效监控管理人员，造成技术上的缺陷。绩效监控工作涉及项目业务、财务、效益等方面知识，能全面掌握这些知识的人员较少，特别是能对效益方面进行较好评价的人才更加缺乏，无论是精力上还是素质方面，这些人员都无法很好地承担预算绩效管理这项综合性的工作。</w:t>
      </w:r>
    </w:p>
    <w:p>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2）绩效监控管理制度体系不够完善。一是指标体系和评价方法不够完善。一方面是缺乏统一、科学、合理的预算绩效管理指标体系，导致致各业务科室绩效评价指标单一，设置粗放。二是绩效评价结果未充分应用，阻碍因素较多。一方面项目从投入到产出，再到效益发挥，需要一个较长的过程。而现实工作中，往往项目完成后就开始进行绩效评价，项目效益远未充分体现，甚至于根本就没有体现出来，就开始评价，只得降低评价的指标要求。另一方面如果在项目效益充分发挥后再进行评价，有可能时间跨度过长，对一些连续性的项目，也无法运用评价结果，及时调整预算。三是评价结果的预算绩效监控管理也缺乏激励机制和长效机制。由于没有相关具有法律效力的法规制度约束，造成责任追究机制不到位，评价结果得不到很好的应用，各科室不能应用评价结果进行有效的预算绩效分析和改进。</w:t>
      </w:r>
    </w:p>
    <w:p>
      <w:pPr>
        <w:ind w:firstLine="643"/>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七、有关建议</w:t>
      </w:r>
    </w:p>
    <w:p>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1.健全评价指标体系。结合绩效评价对象特点和我院绩效评价工作实际开展的需要，设计更加科学、合理的个性指标，力求更加全面完整、客观真实地反映评价对象实施的绩效情况，并逐步形成涵盖各类支出，突出绩效特色，细化、量化的统一绩效指标。</w:t>
      </w:r>
    </w:p>
    <w:p>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2.提升队伍素质。我们必须不断加强学习，通过各种形式的学习培训，提升自身的业务素质，不仅要自己知道怎么做，还要能够让别人知道怎么做。</w:t>
      </w:r>
    </w:p>
    <w:p>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3.注重宣传引导，营造推进绩效评价工作的良好氛围。我们将积极采取措施，开展对绩效评价工作重要性的宣传。同时我们还应注意调动各方面的积极性，善于利用各方面的力量，加强沟通联系，多听取意见，做好解释、说明工作，达到相互理解、配合和支持，形成共识，推动绩效评价工作的开展。</w:t>
      </w:r>
    </w:p>
    <w:p>
      <w:pPr>
        <w:ind w:firstLine="643"/>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八、其他需要说明的问题</w:t>
      </w:r>
    </w:p>
    <w:p>
      <w:pPr>
        <w:pStyle w:val="28"/>
        <w:spacing w:line="560" w:lineRule="exact"/>
        <w:ind w:firstLine="560"/>
        <w:rPr>
          <w:rFonts w:hint="eastAsia" w:ascii="仿宋" w:hAnsi="仿宋" w:eastAsia="仿宋" w:cs="仿宋"/>
          <w:sz w:val="28"/>
        </w:rPr>
      </w:pPr>
      <w:r>
        <w:rPr>
          <w:rFonts w:hint="eastAsia" w:ascii="仿宋" w:hAnsi="仿宋" w:eastAsia="仿宋" w:cs="仿宋"/>
          <w:sz w:val="28"/>
        </w:rPr>
        <w:t>我单位对上述项目支出绩效评价报告内反映内容的真实性、完整性负责，接受上级部门及社会监督。</w:t>
      </w:r>
    </w:p>
    <w:p>
      <w:pPr>
        <w:pStyle w:val="28"/>
        <w:spacing w:line="560" w:lineRule="exact"/>
        <w:ind w:firstLine="560"/>
        <w:rPr>
          <w:rFonts w:ascii="仿宋" w:hAnsi="仿宋" w:eastAsia="仿宋" w:cs="仿宋"/>
          <w:sz w:val="28"/>
        </w:rPr>
      </w:pPr>
      <w:r>
        <w:rPr>
          <w:rFonts w:hint="eastAsia" w:ascii="仿宋" w:hAnsi="仿宋" w:eastAsia="仿宋" w:cs="仿宋"/>
          <w:sz w:val="28"/>
        </w:rPr>
        <w:t>附件1：新疆地质环境调查监测评价项目绩效评价指标体系及评分标准</w:t>
      </w:r>
    </w:p>
    <w:tbl>
      <w:tblPr>
        <w:tblStyle w:val="1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03"/>
        <w:gridCol w:w="810"/>
        <w:gridCol w:w="1036"/>
        <w:gridCol w:w="4732"/>
        <w:gridCol w:w="5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5000" w:type="pct"/>
            <w:gridSpan w:val="5"/>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4"/>
                <w:szCs w:val="24"/>
                <w:u w:val="none"/>
                <w:lang w:val="en-US" w:eastAsia="zh-CN" w:bidi="ar"/>
              </w:rPr>
              <w:t>2023年度新疆地质环境调查监测评价项目绩效评价指标体系及评分标准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一级指标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二级指标</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三级指标</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评价标准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9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决策（20分）</w:t>
            </w:r>
          </w:p>
        </w:tc>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项目立项（5分）</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立项依据充分性（3分）</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项目立项是否符合国家法律法规、国民经济发展规划和相关政策得1分，否则不得分；②项目立项是否符合行业发展规划和政策要求得0.5分，否则不得分；③项目立项是否与部门职责范围相符，属于部门履职所需得0.5分，否则不得分；④项目是否属于公共财政支持范围，是否符合中央、地方事权支出责任划分原则得0.5分，否则不得分；⑤项目是否与相关部门同类项目或部门内部相关项目重复0.5分，否则不得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立项程序（2分）</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项目是否按照规定的程序申请设立得1分，否则不得分；②审批文件、材料是否符合相关要求得0.5分，否则不得分；③事前是否已经过必要的可行性研究、专家论证、风险评估、绩效评估、集体决策得0.5分，否则不得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绩效目标（5分）</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绩效目标合理性（3分）</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项目是否有绩效目标得0.5分，否则不得分；②项目绩效目标与实际工作内容是否具有相关性得1分，否则不得分；③项目预期产出效益和效果是否符合正常的业绩水平得0.5分，否则不得分；④是否与预算确定的项目投资额或资金量相匹配得1分，否则不得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绩效指标明确性（2分）</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①是否将项目绩效目标细化分解为具体的绩效指标得0.5分，否则不得分；②是否通过清晰、可衡量的指标值予以体现得1分，否则不得分；③是否与项目目标任务数或计划数相对应得0.5分，否则不得分；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资金投入（10分）</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预算编制（5分）</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预算编制是否经过科学论证得1分，否则不得分；②预算内容与项目内容是否匹配得1分，否则不得分；③预算额度测算依据是否充分，是否按照标准编制得1分，否则不得分；④预算确定的项目投资额或资金量是否与工作任务相匹配得2分，否则不得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资金分配合理性（5分）</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①预算资金分配依据是否充分得2.5分，否则不得分；②资金分配额度是否合理，与项目单位或地方实际是否相适应得2.5分，否则不得分。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9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过程（20分）</w:t>
            </w:r>
          </w:p>
        </w:tc>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资金管理（15分）</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资金到位率（5分）</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到位率=（实际到位资金/预算资金）×100%，实际到位资金：一定时期（本年度或项目期）内落实到具体项目的资金得2.5分，否则不得分；预算资金：一定时期（本年度或项目期）内预算安排到具体项目的资金得2.5分，否则不得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预算执行率（5分）</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预算执行率为100%，得5分，否则得分=（实际支出资金/实际到位资金）×100%*5。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资金使用合规性（5分）</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是否符合国家财经法规和财务管理制度以及有关专项资金管理办法的规定得1分，否则不得分；②资金的拨付是否有完整的审批程序和手续得1分，否则不得分；③是否符合项目预算批复或合同规定的用途得1分，否则不得分；④是否存在截留、挤占、挪用、虚列支出等情况得2分，否则不得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组织实施（5分）</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管理制度健全性（2分）</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①是否已制定或具有相应的财务和业务管理制度得1分，否则不得分；②财务和业务管理制度是否合法、合规、完整得1分，否则不得分。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制度执行（3分）</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是否遵守相关法律法规和相关管理规定得1分，否则不得分；；②项目调整及支出调整手续是否完备得1分，否则不得分；③项目合同书、验收报告、技术鉴定等资料是否齐全并及时归档得0.5分，否则不得分；；④项目实施的人员条件、场地设备、信息支撑等是否落实到位得0.5分，否则不得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产出（40分）</w:t>
            </w:r>
          </w:p>
        </w:tc>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Style w:val="52"/>
                <w:rFonts w:hint="eastAsia" w:ascii="仿宋" w:hAnsi="仿宋" w:eastAsia="仿宋" w:cs="仿宋"/>
                <w:sz w:val="21"/>
                <w:szCs w:val="21"/>
                <w:lang w:val="en-US" w:eastAsia="zh-CN" w:bidi="ar"/>
              </w:rPr>
              <w:t>产出数量（</w:t>
            </w:r>
            <w:r>
              <w:rPr>
                <w:rStyle w:val="53"/>
                <w:rFonts w:hint="eastAsia" w:ascii="仿宋" w:hAnsi="仿宋" w:eastAsia="仿宋" w:cs="仿宋"/>
                <w:sz w:val="21"/>
                <w:szCs w:val="21"/>
                <w:lang w:val="en-US" w:eastAsia="zh-CN" w:bidi="ar"/>
              </w:rPr>
              <w:t>10</w:t>
            </w:r>
            <w:r>
              <w:rPr>
                <w:rStyle w:val="52"/>
                <w:rFonts w:hint="eastAsia" w:ascii="仿宋" w:hAnsi="仿宋" w:eastAsia="仿宋" w:cs="仿宋"/>
                <w:sz w:val="21"/>
                <w:szCs w:val="21"/>
                <w:lang w:val="en-US" w:eastAsia="zh-CN" w:bidi="ar"/>
              </w:rPr>
              <w:t>分）</w:t>
            </w:r>
          </w:p>
        </w:tc>
        <w:tc>
          <w:tcPr>
            <w:tcW w:w="5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实际完成率（10分）</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①“地下水监测井运行维护数量”完成该指标得满分（1分），否则按照（实际产出数/计划产出数）×100%*1分得分。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②“地下水水质样品采集及检测数量”完成该指标得满分（1分），否则按照（实际产出数/计划产出数）×100%*1分得分。</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4"/>
                <w:rFonts w:hint="eastAsia" w:ascii="仿宋" w:hAnsi="仿宋" w:eastAsia="仿宋" w:cs="仿宋"/>
                <w:sz w:val="21"/>
                <w:szCs w:val="21"/>
                <w:lang w:val="en-US" w:eastAsia="zh-CN" w:bidi="ar"/>
              </w:rPr>
              <w:t>③“汛期重要地质灾害防治工作指导重点县（市）数量”完成该指标得满分（1分），否则按照（实际产出数/计划产出数）×100%*1分得分。</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4"/>
                <w:rFonts w:hint="eastAsia" w:ascii="仿宋" w:hAnsi="仿宋" w:eastAsia="仿宋" w:cs="仿宋"/>
                <w:sz w:val="21"/>
                <w:szCs w:val="21"/>
                <w:lang w:val="en-US" w:eastAsia="zh-CN" w:bidi="ar"/>
              </w:rPr>
              <w:t>④“制作地质灾害气象风险预警产品”完成该指标得满分（1分），否则按照（实际产出数/计划产出数）×100%*1分得分。</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4"/>
                <w:rFonts w:hint="eastAsia" w:ascii="仿宋" w:hAnsi="仿宋" w:eastAsia="仿宋" w:cs="仿宋"/>
                <w:sz w:val="21"/>
                <w:szCs w:val="21"/>
                <w:lang w:val="en-US" w:eastAsia="zh-CN" w:bidi="ar"/>
              </w:rPr>
              <w:t>⑤“地质灾害专业监测站野外维护次数”完成该指标得满分（1分），否则按照（实际产出数/计划产出数）×100%*1分得分。</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4"/>
                <w:rFonts w:hint="eastAsia" w:ascii="仿宋" w:hAnsi="仿宋" w:eastAsia="仿宋" w:cs="仿宋"/>
                <w:sz w:val="21"/>
                <w:szCs w:val="21"/>
                <w:lang w:val="en-US" w:eastAsia="zh-CN" w:bidi="ar"/>
              </w:rPr>
              <w:t>⑥“地下水开采引发的地面沉降调查面积”完成该指标得满分（2分），否则按照（实际产出数/计划产出数）×100%*2分得分。</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4"/>
                <w:rFonts w:hint="eastAsia" w:ascii="仿宋" w:hAnsi="仿宋" w:eastAsia="仿宋" w:cs="仿宋"/>
                <w:sz w:val="21"/>
                <w:szCs w:val="21"/>
                <w:lang w:val="en-US" w:eastAsia="zh-CN" w:bidi="ar"/>
              </w:rPr>
              <w:t>⑦““双随机、一公开”检查矿山数量”完成该指标得满分（1分），否则按照（实际产出数/计划产出数）×100%*1分得分。</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⑧“组织评审《矿山地质环境保护与土地复垦方案》”完成该指标得满分（1分），否则按照（实际产出数/计划产出数）×100%*1分得分。</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⑨“硬件、系统维护次数”完成该指标得满分（1分），否则按照（实际产出数/计划产出数）×100%*1分得分。</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实际完成率=（实际产出数/计划产出数）×100% 。             </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实际产出数：一定时期（本年度或项目期）内项目实际产出的产品或提供的服务数量。</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产出质量（10分）</w:t>
            </w:r>
          </w:p>
        </w:tc>
        <w:tc>
          <w:tcPr>
            <w:tcW w:w="5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质量达标率（10分）</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①“系统故障率”完成该指标得满分（3分），否则按照（质量达标产出数/实际产出数）×100%*3分得分。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55"/>
                <w:rFonts w:hint="eastAsia" w:ascii="仿宋" w:hAnsi="仿宋" w:eastAsia="仿宋" w:cs="仿宋"/>
                <w:sz w:val="21"/>
                <w:szCs w:val="21"/>
                <w:lang w:val="en-US" w:eastAsia="zh-CN" w:bidi="ar"/>
              </w:rPr>
              <w:t>②</w:t>
            </w:r>
            <w:r>
              <w:rPr>
                <w:rStyle w:val="54"/>
                <w:rFonts w:hint="eastAsia" w:ascii="仿宋" w:hAnsi="仿宋" w:eastAsia="仿宋" w:cs="仿宋"/>
                <w:sz w:val="21"/>
                <w:szCs w:val="21"/>
                <w:lang w:val="en-US" w:eastAsia="zh-CN" w:bidi="ar"/>
              </w:rPr>
              <w:t>“地下水监测数据合格率”完成该指标得满分（4分），否则按照（质量达标产出数/实际产出数）×100%*4分得分。</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55"/>
                <w:rFonts w:hint="eastAsia" w:ascii="仿宋" w:hAnsi="仿宋" w:eastAsia="仿宋" w:cs="仿宋"/>
                <w:sz w:val="21"/>
                <w:szCs w:val="21"/>
                <w:lang w:val="en-US" w:eastAsia="zh-CN" w:bidi="ar"/>
              </w:rPr>
              <w:t>③</w:t>
            </w:r>
            <w:r>
              <w:rPr>
                <w:rStyle w:val="54"/>
                <w:rFonts w:hint="eastAsia" w:ascii="仿宋" w:hAnsi="仿宋" w:eastAsia="仿宋" w:cs="仿宋"/>
                <w:sz w:val="21"/>
                <w:szCs w:val="21"/>
                <w:lang w:val="en-US" w:eastAsia="zh-CN" w:bidi="ar"/>
              </w:rPr>
              <w:t>“制作地质灾害气象风险预警产品合格率”完成该指标得满分（3分），否则按照（质量达标产出数/实际产出数）×100%*3分得分。</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质量达标率=（质量达标产出数/实际产出数）×100%。          </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质量达标产出数：一定时期（本年度或项目期）内实际达到既定质量标准的产品或服务数量。</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产出时效（10分）</w:t>
            </w:r>
          </w:p>
        </w:tc>
        <w:tc>
          <w:tcPr>
            <w:tcW w:w="5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完成及时性（10分）</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5"/>
                <w:rFonts w:hint="eastAsia" w:ascii="仿宋" w:hAnsi="仿宋" w:eastAsia="仿宋" w:cs="仿宋"/>
                <w:sz w:val="21"/>
                <w:szCs w:val="21"/>
                <w:lang w:val="en-US" w:eastAsia="zh-CN" w:bidi="ar"/>
              </w:rPr>
              <w:t>①</w:t>
            </w:r>
            <w:r>
              <w:rPr>
                <w:rStyle w:val="54"/>
                <w:rFonts w:hint="eastAsia" w:ascii="仿宋" w:hAnsi="仿宋" w:eastAsia="仿宋" w:cs="仿宋"/>
                <w:sz w:val="21"/>
                <w:szCs w:val="21"/>
                <w:lang w:val="en-US" w:eastAsia="zh-CN" w:bidi="ar"/>
              </w:rPr>
              <w:t>"地质灾害气象风险预警产品按时完成时间"完成该指标得满分（2分），否则按照（实际完成率/计划完成率）×100%*2分得分。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5"/>
                <w:rFonts w:hint="eastAsia" w:ascii="仿宋" w:hAnsi="仿宋" w:eastAsia="仿宋" w:cs="仿宋"/>
                <w:sz w:val="21"/>
                <w:szCs w:val="21"/>
                <w:lang w:val="en-US" w:eastAsia="zh-CN" w:bidi="ar"/>
              </w:rPr>
              <w:t>②</w:t>
            </w:r>
            <w:r>
              <w:rPr>
                <w:rStyle w:val="54"/>
                <w:rFonts w:hint="eastAsia" w:ascii="仿宋" w:hAnsi="仿宋" w:eastAsia="仿宋" w:cs="仿宋"/>
                <w:sz w:val="21"/>
                <w:szCs w:val="21"/>
                <w:lang w:val="en-US" w:eastAsia="zh-CN" w:bidi="ar"/>
              </w:rPr>
              <w:t>"汛期重要地质灾害防治工作指导重点县（市）完成时间"完成该指标得满分（2分），否则按照（实际完成率/计划完成率）×100%*2分得分。</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5"/>
                <w:rFonts w:hint="eastAsia" w:ascii="仿宋" w:hAnsi="仿宋" w:eastAsia="仿宋" w:cs="仿宋"/>
                <w:sz w:val="21"/>
                <w:szCs w:val="21"/>
                <w:lang w:val="en-US" w:eastAsia="zh-CN" w:bidi="ar"/>
              </w:rPr>
              <w:t>③</w:t>
            </w:r>
            <w:r>
              <w:rPr>
                <w:rStyle w:val="54"/>
                <w:rFonts w:hint="eastAsia" w:ascii="仿宋" w:hAnsi="仿宋" w:eastAsia="仿宋" w:cs="仿宋"/>
                <w:sz w:val="21"/>
                <w:szCs w:val="21"/>
                <w:lang w:val="en-US" w:eastAsia="zh-CN" w:bidi="ar"/>
              </w:rPr>
              <w:t>"系统网络故障修复处理时间"完成该指标得满分（2分），否则按照（实际完成率/计划完成率）×100%*2分得分。</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6"/>
                <w:rFonts w:hint="eastAsia" w:ascii="仿宋" w:hAnsi="仿宋" w:eastAsia="仿宋" w:cs="仿宋"/>
                <w:sz w:val="21"/>
                <w:szCs w:val="21"/>
                <w:lang w:val="en-US" w:eastAsia="zh-CN" w:bidi="ar"/>
              </w:rPr>
              <w:t>④</w:t>
            </w:r>
            <w:r>
              <w:rPr>
                <w:rStyle w:val="54"/>
                <w:rFonts w:hint="eastAsia" w:ascii="仿宋" w:hAnsi="仿宋" w:eastAsia="仿宋" w:cs="仿宋"/>
                <w:sz w:val="21"/>
                <w:szCs w:val="21"/>
                <w:lang w:val="en-US" w:eastAsia="zh-CN" w:bidi="ar"/>
              </w:rPr>
              <w:t>"地下水监测井维护完成时间"完成该指标得满分（2分），否则按照（实际完成率/计划完成率）×100%*2分得分。</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6"/>
                <w:rFonts w:hint="eastAsia" w:ascii="仿宋" w:hAnsi="仿宋" w:eastAsia="仿宋" w:cs="仿宋"/>
                <w:sz w:val="21"/>
                <w:szCs w:val="21"/>
                <w:lang w:val="en-US" w:eastAsia="zh-CN" w:bidi="ar"/>
              </w:rPr>
              <w:t>⑤</w:t>
            </w:r>
            <w:r>
              <w:rPr>
                <w:rStyle w:val="54"/>
                <w:rFonts w:hint="eastAsia" w:ascii="仿宋" w:hAnsi="仿宋" w:eastAsia="仿宋" w:cs="仿宋"/>
                <w:sz w:val="21"/>
                <w:szCs w:val="21"/>
                <w:lang w:val="en-US" w:eastAsia="zh-CN" w:bidi="ar"/>
              </w:rPr>
              <w:t>"“双随机，一公开”检查矿山完成时间"完成该指标得满分（2分），否则按照（实际完成率/计划完成率）×100%*2分得分。</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实际完成时间：项目实施单位完成该项目实际所耗用的时间。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计划完成时间：按照项目实施计划或相关规定完成该项目所需的时间。</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Style w:val="52"/>
                <w:rFonts w:hint="eastAsia" w:ascii="仿宋" w:hAnsi="仿宋" w:eastAsia="仿宋" w:cs="仿宋"/>
                <w:sz w:val="21"/>
                <w:szCs w:val="21"/>
                <w:lang w:val="en-US" w:eastAsia="zh-CN" w:bidi="ar"/>
              </w:rPr>
              <w:t>产出成本（10分）</w:t>
            </w:r>
          </w:p>
        </w:tc>
        <w:tc>
          <w:tcPr>
            <w:tcW w:w="591"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成本节约率（10分）</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①“地下水监测井及监测设备运行维护”完成该指标得满分（3分）否则得分=（实际支出资金/实际到位资金）×100%*3</w:t>
            </w:r>
          </w:p>
        </w:tc>
        <w:tc>
          <w:tcPr>
            <w:tcW w:w="332"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5"/>
                <w:rFonts w:hint="eastAsia" w:ascii="仿宋" w:hAnsi="仿宋" w:eastAsia="仿宋" w:cs="仿宋"/>
                <w:sz w:val="21"/>
                <w:szCs w:val="21"/>
                <w:lang w:val="en-US" w:eastAsia="zh-CN" w:bidi="ar"/>
              </w:rPr>
              <w:t>②</w:t>
            </w:r>
            <w:r>
              <w:rPr>
                <w:rStyle w:val="54"/>
                <w:rFonts w:hint="eastAsia" w:ascii="仿宋" w:hAnsi="仿宋" w:eastAsia="仿宋" w:cs="仿宋"/>
                <w:sz w:val="21"/>
                <w:szCs w:val="21"/>
                <w:lang w:val="en-US" w:eastAsia="zh-CN" w:bidi="ar"/>
              </w:rPr>
              <w:t>“</w:t>
            </w:r>
            <w:r>
              <w:rPr>
                <w:rStyle w:val="57"/>
                <w:rFonts w:hint="eastAsia" w:ascii="仿宋" w:hAnsi="仿宋" w:eastAsia="仿宋" w:cs="仿宋"/>
                <w:sz w:val="21"/>
                <w:szCs w:val="21"/>
                <w:lang w:val="en-US" w:eastAsia="zh-CN" w:bidi="ar"/>
              </w:rPr>
              <w:t>地质灾害调查监测和防治技术服务</w:t>
            </w:r>
            <w:r>
              <w:rPr>
                <w:rStyle w:val="54"/>
                <w:rFonts w:hint="eastAsia" w:ascii="仿宋" w:hAnsi="仿宋" w:eastAsia="仿宋" w:cs="仿宋"/>
                <w:sz w:val="21"/>
                <w:szCs w:val="21"/>
                <w:lang w:val="en-US" w:eastAsia="zh-CN" w:bidi="ar"/>
              </w:rPr>
              <w:t>”完成该指标得满分（</w:t>
            </w:r>
            <w:r>
              <w:rPr>
                <w:rStyle w:val="55"/>
                <w:rFonts w:hint="eastAsia" w:ascii="仿宋" w:hAnsi="仿宋" w:eastAsia="仿宋" w:cs="仿宋"/>
                <w:sz w:val="21"/>
                <w:szCs w:val="21"/>
                <w:lang w:val="en-US" w:eastAsia="zh-CN" w:bidi="ar"/>
              </w:rPr>
              <w:t>3</w:t>
            </w:r>
            <w:r>
              <w:rPr>
                <w:rStyle w:val="54"/>
                <w:rFonts w:hint="eastAsia" w:ascii="仿宋" w:hAnsi="仿宋" w:eastAsia="仿宋" w:cs="仿宋"/>
                <w:sz w:val="21"/>
                <w:szCs w:val="21"/>
                <w:lang w:val="en-US" w:eastAsia="zh-CN" w:bidi="ar"/>
              </w:rPr>
              <w:t>分）否则得分=（实际支出资金/实际到位资金）×100%*</w:t>
            </w:r>
          </w:p>
        </w:tc>
        <w:tc>
          <w:tcPr>
            <w:tcW w:w="332"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5"/>
                <w:rFonts w:hint="eastAsia" w:ascii="仿宋" w:hAnsi="仿宋" w:eastAsia="仿宋" w:cs="仿宋"/>
                <w:sz w:val="21"/>
                <w:szCs w:val="21"/>
                <w:lang w:val="en-US" w:eastAsia="zh-CN" w:bidi="ar"/>
              </w:rPr>
              <w:t>③</w:t>
            </w:r>
            <w:r>
              <w:rPr>
                <w:rStyle w:val="54"/>
                <w:rFonts w:hint="eastAsia" w:ascii="仿宋" w:hAnsi="仿宋" w:eastAsia="仿宋" w:cs="仿宋"/>
                <w:sz w:val="21"/>
                <w:szCs w:val="21"/>
                <w:lang w:val="en-US" w:eastAsia="zh-CN" w:bidi="ar"/>
              </w:rPr>
              <w:t>"</w:t>
            </w:r>
            <w:r>
              <w:rPr>
                <w:rStyle w:val="57"/>
                <w:rFonts w:hint="eastAsia" w:ascii="仿宋" w:hAnsi="仿宋" w:eastAsia="仿宋" w:cs="仿宋"/>
                <w:sz w:val="21"/>
                <w:szCs w:val="21"/>
                <w:lang w:val="en-US" w:eastAsia="zh-CN" w:bidi="ar"/>
              </w:rPr>
              <w:t>矿山生态修复研究及矿山保护方案评审</w:t>
            </w:r>
            <w:r>
              <w:rPr>
                <w:rStyle w:val="54"/>
                <w:rFonts w:hint="eastAsia" w:ascii="仿宋" w:hAnsi="仿宋" w:eastAsia="仿宋" w:cs="仿宋"/>
                <w:sz w:val="21"/>
                <w:szCs w:val="21"/>
                <w:lang w:val="en-US" w:eastAsia="zh-CN" w:bidi="ar"/>
              </w:rPr>
              <w:t>"完成该指标得满分（</w:t>
            </w:r>
            <w:r>
              <w:rPr>
                <w:rStyle w:val="55"/>
                <w:rFonts w:hint="eastAsia" w:ascii="仿宋" w:hAnsi="仿宋" w:eastAsia="仿宋" w:cs="仿宋"/>
                <w:sz w:val="21"/>
                <w:szCs w:val="21"/>
                <w:lang w:val="en-US" w:eastAsia="zh-CN" w:bidi="ar"/>
              </w:rPr>
              <w:t>4</w:t>
            </w:r>
            <w:r>
              <w:rPr>
                <w:rStyle w:val="54"/>
                <w:rFonts w:hint="eastAsia" w:ascii="仿宋" w:hAnsi="仿宋" w:eastAsia="仿宋" w:cs="仿宋"/>
                <w:sz w:val="21"/>
                <w:szCs w:val="21"/>
                <w:lang w:val="en-US" w:eastAsia="zh-CN" w:bidi="ar"/>
              </w:rPr>
              <w:t>分）否则得分=（实际支出资金/实际到位资金）×100%*4</w:t>
            </w:r>
          </w:p>
        </w:tc>
        <w:tc>
          <w:tcPr>
            <w:tcW w:w="332"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效益（20分）</w:t>
            </w:r>
          </w:p>
        </w:tc>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项目效益（20分）</w:t>
            </w:r>
          </w:p>
        </w:tc>
        <w:tc>
          <w:tcPr>
            <w:tcW w:w="5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实施效益（20分）</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①社会效益：“提高我区地质灾害防治能力”完成该指标得满分（6分）否则不得分；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②社会效益：“提升我区地下水资源监测能力”完成该指标得满分（6分）否则不得分；                            </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③生态效益：“持续提高我区矿山生态环境保护修复能力”完成该指标得满分（8分）否则不得分；                                         </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④可持续影响：无</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合计</w:t>
            </w:r>
          </w:p>
        </w:tc>
        <w:tc>
          <w:tcPr>
            <w:tcW w:w="10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100分</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w:t>
            </w:r>
          </w:p>
        </w:tc>
      </w:tr>
    </w:tbl>
    <w:p>
      <w:pPr>
        <w:spacing w:line="480" w:lineRule="exact"/>
        <w:ind w:firstLine="624"/>
        <w:rPr>
          <w:rFonts w:hint="eastAsia" w:ascii="仿宋" w:hAnsi="仿宋" w:eastAsia="仿宋" w:cs="仿宋"/>
          <w:spacing w:val="-3"/>
          <w:sz w:val="32"/>
          <w:szCs w:val="32"/>
        </w:rPr>
      </w:pPr>
    </w:p>
    <w:sectPr>
      <w:footerReference r:id="rId3" w:type="default"/>
      <w:footnotePr>
        <w:numFmt w:val="decimal"/>
      </w:footnotePr>
      <w:endnotePr>
        <w:numFmt w:val="decimal"/>
      </w:endnotePr>
      <w:pgSz w:w="11906" w:h="16838"/>
      <w:pgMar w:top="1440" w:right="1558" w:bottom="1440" w:left="1800" w:header="720"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黑体_GBK">
    <w:altName w:val="微软雅黑"/>
    <w:panose1 w:val="02010600030101010101"/>
    <w:charset w:val="86"/>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fldChar w:fldCharType="begin"/>
    </w:r>
    <w:r>
      <w:instrText xml:space="preserve"> PAGE \* Arabic </w:instrText>
    </w:r>
    <w:r>
      <w:fldChar w:fldCharType="separate"/>
    </w:r>
    <w:r>
      <w:t>18</w:t>
    </w:r>
    <w:r>
      <w:fldChar w:fldCharType="end"/>
    </w: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2"/>
      <w:numFmt w:val="chineseCounting"/>
      <w:suff w:val="nothing"/>
      <w:lvlText w:val="（%1）"/>
      <w:lvlJc w:val="left"/>
      <w:pPr>
        <w:ind w:left="0" w:firstLine="0"/>
      </w:pPr>
    </w:lvl>
  </w:abstractNum>
  <w:abstractNum w:abstractNumId="1">
    <w:nsid w:val="0053208E"/>
    <w:multiLevelType w:val="singleLevel"/>
    <w:tmpl w:val="0053208E"/>
    <w:lvl w:ilvl="0" w:tentative="0">
      <w:start w:val="1"/>
      <w:numFmt w:val="decimal"/>
      <w:suff w:val="nothing"/>
      <w:lvlText w:val="（%1）"/>
      <w:lvlJc w:val="left"/>
      <w:pPr>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8546688"/>
  <w:drawingGridVerticalSpacing w:val="156"/>
  <w:displayHorizontalDrawingGridEvery w:val="1"/>
  <w:displayVerticalDrawingGridEvery w:val="1"/>
  <w:noPunctuationKerning w:val="1"/>
  <w:endnotePr>
    <w:numFmt w:val="decimal"/>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3ZWM3YjhkYjM5NjU1YzgyNWNjOTJiODZhOTYxNDMifQ=="/>
  </w:docVars>
  <w:rsids>
    <w:rsidRoot w:val="00000000"/>
    <w:rsid w:val="013C690E"/>
    <w:rsid w:val="01DA23AF"/>
    <w:rsid w:val="06A116ED"/>
    <w:rsid w:val="074A108B"/>
    <w:rsid w:val="13E332F9"/>
    <w:rsid w:val="164B3423"/>
    <w:rsid w:val="18866995"/>
    <w:rsid w:val="1BDB32D5"/>
    <w:rsid w:val="20E427D1"/>
    <w:rsid w:val="251946ED"/>
    <w:rsid w:val="32D64894"/>
    <w:rsid w:val="35711C86"/>
    <w:rsid w:val="45E850CF"/>
    <w:rsid w:val="47490C61"/>
    <w:rsid w:val="48424EAC"/>
    <w:rsid w:val="4A2F2139"/>
    <w:rsid w:val="501222E0"/>
    <w:rsid w:val="543567AB"/>
    <w:rsid w:val="585316E8"/>
    <w:rsid w:val="64BF1080"/>
    <w:rsid w:val="671273F1"/>
    <w:rsid w:val="674D780C"/>
    <w:rsid w:val="6D7E0B5E"/>
    <w:rsid w:val="76C375E1"/>
    <w:rsid w:val="77770AF7"/>
    <w:rsid w:val="78175A02"/>
    <w:rsid w:val="78F849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jc w:val="both"/>
    </w:pPr>
    <w:rPr>
      <w:rFonts w:ascii="Times New Roman" w:hAnsi="Times New Roman" w:eastAsia="宋体" w:cs="Times New Roman"/>
      <w:kern w:val="1"/>
      <w:sz w:val="21"/>
      <w:szCs w:val="24"/>
      <w:lang w:val="en-US" w:eastAsia="zh-CN" w:bidi="ar-SA"/>
    </w:rPr>
  </w:style>
  <w:style w:type="paragraph" w:styleId="2">
    <w:name w:val="heading 1"/>
    <w:autoRedefine/>
    <w:qFormat/>
    <w:uiPriority w:val="0"/>
    <w:pPr>
      <w:keepNext/>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0"/>
    </w:pPr>
    <w:rPr>
      <w:rFonts w:ascii="Cambria" w:hAnsi="Cambria" w:eastAsia="Cambria" w:cs="Times New Roman"/>
      <w:b/>
      <w:bCs/>
      <w:kern w:val="1"/>
      <w:sz w:val="32"/>
      <w:szCs w:val="32"/>
      <w:lang w:val="en-US" w:eastAsia="zh-CN" w:bidi="ar-SA"/>
    </w:rPr>
  </w:style>
  <w:style w:type="paragraph" w:styleId="3">
    <w:name w:val="heading 2"/>
    <w:autoRedefine/>
    <w:qFormat/>
    <w:uiPriority w:val="0"/>
    <w:pPr>
      <w:keepNext/>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1"/>
    </w:pPr>
    <w:rPr>
      <w:rFonts w:ascii="Cambria" w:hAnsi="Cambria" w:eastAsia="Cambria" w:cs="Times New Roman"/>
      <w:b/>
      <w:bCs/>
      <w:i/>
      <w:iCs/>
      <w:kern w:val="1"/>
      <w:sz w:val="28"/>
      <w:szCs w:val="28"/>
      <w:lang w:val="en-US" w:eastAsia="zh-CN" w:bidi="ar-SA"/>
    </w:rPr>
  </w:style>
  <w:style w:type="paragraph" w:styleId="4">
    <w:name w:val="heading 3"/>
    <w:autoRedefine/>
    <w:qFormat/>
    <w:uiPriority w:val="0"/>
    <w:pPr>
      <w:keepNext/>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2"/>
    </w:pPr>
    <w:rPr>
      <w:rFonts w:ascii="Cambria" w:hAnsi="Cambria" w:eastAsia="Cambria" w:cs="Times New Roman"/>
      <w:b/>
      <w:bCs/>
      <w:kern w:val="1"/>
      <w:sz w:val="26"/>
      <w:szCs w:val="26"/>
      <w:lang w:val="en-US" w:eastAsia="zh-CN" w:bidi="ar-SA"/>
    </w:rPr>
  </w:style>
  <w:style w:type="paragraph" w:styleId="5">
    <w:name w:val="heading 4"/>
    <w:autoRedefine/>
    <w:qFormat/>
    <w:uiPriority w:val="0"/>
    <w:pPr>
      <w:keepNext/>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3"/>
    </w:pPr>
    <w:rPr>
      <w:rFonts w:ascii="Calibri" w:hAnsi="Calibri" w:eastAsia="Calibri" w:cs="Times New Roman"/>
      <w:b/>
      <w:bCs/>
      <w:kern w:val="1"/>
      <w:sz w:val="28"/>
      <w:szCs w:val="28"/>
      <w:lang w:val="en-US" w:eastAsia="zh-CN" w:bidi="ar-SA"/>
    </w:rPr>
  </w:style>
  <w:style w:type="paragraph" w:styleId="6">
    <w:name w:val="heading 5"/>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4"/>
    </w:pPr>
    <w:rPr>
      <w:rFonts w:ascii="Calibri" w:hAnsi="Calibri" w:eastAsia="Calibri" w:cs="Times New Roman"/>
      <w:b/>
      <w:bCs/>
      <w:i/>
      <w:iCs/>
      <w:kern w:val="1"/>
      <w:sz w:val="26"/>
      <w:szCs w:val="26"/>
      <w:lang w:val="en-US" w:eastAsia="zh-CN" w:bidi="ar-SA"/>
    </w:rPr>
  </w:style>
  <w:style w:type="paragraph" w:styleId="7">
    <w:name w:val="heading 6"/>
    <w:autoRedefine/>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5"/>
    </w:pPr>
    <w:rPr>
      <w:rFonts w:ascii="Calibri" w:hAnsi="Calibri" w:eastAsia="Calibri" w:cs="Times New Roman"/>
      <w:b/>
      <w:bCs/>
      <w:kern w:val="1"/>
      <w:sz w:val="22"/>
      <w:szCs w:val="22"/>
      <w:lang w:val="en-US" w:eastAsia="zh-CN" w:bidi="ar-SA"/>
    </w:rPr>
  </w:style>
  <w:style w:type="paragraph" w:styleId="8">
    <w:name w:val="heading 7"/>
    <w:autoRedefine/>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6"/>
    </w:pPr>
    <w:rPr>
      <w:rFonts w:ascii="Calibri" w:hAnsi="Calibri" w:eastAsia="Calibri" w:cs="Times New Roman"/>
      <w:kern w:val="1"/>
      <w:sz w:val="24"/>
      <w:szCs w:val="24"/>
      <w:lang w:val="en-US" w:eastAsia="zh-CN" w:bidi="ar-SA"/>
    </w:rPr>
  </w:style>
  <w:style w:type="paragraph" w:styleId="9">
    <w:name w:val="heading 8"/>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7"/>
    </w:pPr>
    <w:rPr>
      <w:rFonts w:ascii="Calibri" w:hAnsi="Calibri" w:eastAsia="Calibri" w:cs="Times New Roman"/>
      <w:i/>
      <w:iCs/>
      <w:kern w:val="1"/>
      <w:sz w:val="24"/>
      <w:szCs w:val="24"/>
      <w:lang w:val="en-US" w:eastAsia="zh-CN" w:bidi="ar-SA"/>
    </w:rPr>
  </w:style>
  <w:style w:type="paragraph" w:styleId="10">
    <w:name w:val="heading 9"/>
    <w:autoRedefine/>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8"/>
    </w:pPr>
    <w:rPr>
      <w:rFonts w:ascii="Cambria" w:hAnsi="Cambria" w:eastAsia="Cambria" w:cs="Times New Roman"/>
      <w:kern w:val="1"/>
      <w:sz w:val="22"/>
      <w:szCs w:val="22"/>
      <w:lang w:val="en-US" w:eastAsia="zh-CN" w:bidi="ar-SA"/>
    </w:rPr>
  </w:style>
  <w:style w:type="character" w:default="1" w:styleId="18">
    <w:name w:val="Default Paragraph Font"/>
    <w:autoRedefine/>
    <w:qFormat/>
    <w:uiPriority w:val="0"/>
    <w:rPr>
      <w:kern w:val="0"/>
      <w:sz w:val="20"/>
      <w:szCs w:val="20"/>
    </w:rPr>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11">
    <w:name w:val="Balloon Text"/>
    <w:autoRedefine/>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jc w:val="both"/>
    </w:pPr>
    <w:rPr>
      <w:rFonts w:ascii="Times New Roman" w:hAnsi="Times New Roman" w:eastAsia="宋体" w:cs="Times New Roman"/>
      <w:kern w:val="1"/>
      <w:sz w:val="18"/>
      <w:szCs w:val="18"/>
      <w:lang w:val="en-US" w:eastAsia="zh-CN" w:bidi="ar-SA"/>
    </w:rPr>
  </w:style>
  <w:style w:type="paragraph" w:styleId="12">
    <w:name w:val="footer"/>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hd w:val="clear"/>
      <w:tabs>
        <w:tab w:val="center" w:pos="4153"/>
        <w:tab w:val="right" w:pos="8306"/>
      </w:tabs>
      <w:jc w:val="left"/>
    </w:pPr>
    <w:rPr>
      <w:rFonts w:ascii="Calibri" w:hAnsi="Calibri" w:eastAsia="宋体" w:cs="Times New Roman"/>
      <w:kern w:val="1"/>
      <w:sz w:val="18"/>
      <w:szCs w:val="18"/>
      <w:lang w:val="en-US" w:eastAsia="zh-CN" w:bidi="ar-SA"/>
    </w:rPr>
  </w:style>
  <w:style w:type="paragraph" w:styleId="13">
    <w:name w:val="header"/>
    <w:autoRedefine/>
    <w:qFormat/>
    <w:uiPriority w:val="0"/>
    <w:pPr>
      <w:widowControl w:val="0"/>
      <w:pBdr>
        <w:top w:val="none" w:color="000000" w:sz="0" w:space="3"/>
        <w:left w:val="none" w:color="000000" w:sz="0" w:space="3"/>
        <w:bottom w:val="single" w:color="000000" w:sz="6" w:space="1"/>
        <w:right w:val="none" w:color="000000" w:sz="0" w:space="3"/>
        <w:between w:val="none" w:color="000000" w:sz="0" w:space="0"/>
      </w:pBdr>
      <w:shd w:val="clear"/>
      <w:tabs>
        <w:tab w:val="center" w:pos="4153"/>
        <w:tab w:val="right" w:pos="8306"/>
      </w:tabs>
      <w:jc w:val="center"/>
    </w:pPr>
    <w:rPr>
      <w:rFonts w:ascii="Calibri" w:hAnsi="Calibri" w:eastAsia="宋体" w:cs="Times New Roman"/>
      <w:kern w:val="1"/>
      <w:sz w:val="18"/>
      <w:szCs w:val="18"/>
      <w:lang w:val="en-US" w:eastAsia="zh-CN" w:bidi="ar-SA"/>
    </w:rPr>
  </w:style>
  <w:style w:type="paragraph" w:styleId="14">
    <w:name w:val="Subtitle"/>
    <w:autoRedefine/>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after="60"/>
      <w:jc w:val="center"/>
      <w:outlineLvl w:val="1"/>
    </w:pPr>
    <w:rPr>
      <w:rFonts w:ascii="Cambria" w:hAnsi="Cambria" w:eastAsia="Cambria" w:cs="Times New Roman"/>
      <w:kern w:val="1"/>
      <w:sz w:val="24"/>
      <w:szCs w:val="24"/>
      <w:lang w:val="en-US" w:eastAsia="zh-CN" w:bidi="ar-SA"/>
    </w:rPr>
  </w:style>
  <w:style w:type="paragraph" w:styleId="15">
    <w:name w:val="Normal (Web)"/>
    <w:autoRedefine/>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before="100" w:beforeAutospacing="1" w:after="100" w:afterAutospacing="1"/>
      <w:jc w:val="left"/>
    </w:pPr>
    <w:rPr>
      <w:rFonts w:ascii="宋体" w:hAnsi="宋体" w:eastAsia="宋体" w:cs="宋体"/>
      <w:kern w:val="1"/>
      <w:sz w:val="24"/>
      <w:szCs w:val="24"/>
      <w:lang w:val="en-US" w:eastAsia="zh-CN" w:bidi="ar-SA"/>
    </w:rPr>
  </w:style>
  <w:style w:type="paragraph" w:styleId="16">
    <w:name w:val="Title"/>
    <w:autoRedefine/>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center"/>
      <w:outlineLvl w:val="0"/>
    </w:pPr>
    <w:rPr>
      <w:rFonts w:ascii="Cambria" w:hAnsi="Cambria" w:eastAsia="Cambria" w:cs="Times New Roman"/>
      <w:b/>
      <w:bCs/>
      <w:kern w:val="1"/>
      <w:sz w:val="32"/>
      <w:szCs w:val="32"/>
      <w:lang w:val="en-US" w:eastAsia="zh-CN" w:bidi="ar-SA"/>
    </w:rPr>
  </w:style>
  <w:style w:type="character" w:styleId="19">
    <w:name w:val="Strong"/>
    <w:autoRedefine/>
    <w:qFormat/>
    <w:uiPriority w:val="0"/>
    <w:rPr>
      <w:b/>
      <w:bCs/>
    </w:rPr>
  </w:style>
  <w:style w:type="character" w:styleId="20">
    <w:name w:val="Emphasis"/>
    <w:autoRedefine/>
    <w:qFormat/>
    <w:uiPriority w:val="0"/>
    <w:rPr>
      <w:rFonts w:ascii="Calibri" w:hAnsi="Calibri"/>
      <w:b/>
      <w:i/>
      <w:iCs/>
    </w:rPr>
  </w:style>
  <w:style w:type="character" w:customStyle="1" w:styleId="21">
    <w:name w:val="标题 2 字符"/>
    <w:autoRedefine/>
    <w:qFormat/>
    <w:uiPriority w:val="0"/>
    <w:rPr>
      <w:rFonts w:ascii="Cambria" w:hAnsi="Cambria" w:eastAsia="Cambria"/>
      <w:b/>
      <w:bCs/>
      <w:i/>
      <w:iCs/>
      <w:sz w:val="28"/>
      <w:szCs w:val="28"/>
    </w:rPr>
  </w:style>
  <w:style w:type="paragraph" w:customStyle="1" w:styleId="22">
    <w:name w:val="annotation text"/>
    <w:autoRedefine/>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jc w:val="both"/>
    </w:pPr>
    <w:rPr>
      <w:rFonts w:ascii="Times New Roman" w:hAnsi="Times New Roman" w:eastAsia="宋体" w:cs="Times New Roman"/>
      <w:kern w:val="1"/>
      <w:sz w:val="20"/>
      <w:szCs w:val="20"/>
      <w:lang w:val="en-US" w:eastAsia="zh-CN" w:bidi="ar-SA"/>
    </w:rPr>
  </w:style>
  <w:style w:type="paragraph" w:styleId="23">
    <w:name w:val="No Spacing"/>
    <w:autoRedefine/>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jc w:val="left"/>
    </w:pPr>
    <w:rPr>
      <w:rFonts w:ascii="Calibri" w:hAnsi="Calibri" w:eastAsia="Calibri" w:cs="Times New Roman"/>
      <w:kern w:val="1"/>
      <w:sz w:val="24"/>
      <w:szCs w:val="32"/>
      <w:lang w:val="en-US" w:eastAsia="zh-CN" w:bidi="ar-SA"/>
    </w:rPr>
  </w:style>
  <w:style w:type="paragraph" w:styleId="24">
    <w:name w:val="List Paragraph"/>
    <w:autoRedefine/>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ind w:left="720"/>
      <w:contextualSpacing/>
      <w:jc w:val="left"/>
    </w:pPr>
    <w:rPr>
      <w:rFonts w:ascii="Calibri" w:hAnsi="Calibri" w:eastAsia="Calibri" w:cs="Times New Roman"/>
      <w:kern w:val="1"/>
      <w:sz w:val="24"/>
      <w:szCs w:val="24"/>
      <w:lang w:val="en-US" w:eastAsia="zh-CN" w:bidi="ar-SA"/>
    </w:rPr>
  </w:style>
  <w:style w:type="paragraph" w:styleId="25">
    <w:name w:val="Quote"/>
    <w:autoRedefine/>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jc w:val="left"/>
    </w:pPr>
    <w:rPr>
      <w:rFonts w:ascii="Calibri" w:hAnsi="Calibri" w:eastAsia="Calibri" w:cs="Times New Roman"/>
      <w:i/>
      <w:kern w:val="1"/>
      <w:sz w:val="24"/>
      <w:szCs w:val="24"/>
      <w:lang w:val="en-US" w:eastAsia="zh-CN" w:bidi="ar-SA"/>
    </w:rPr>
  </w:style>
  <w:style w:type="paragraph" w:styleId="26">
    <w:name w:val="Intense Quote"/>
    <w:autoRedefine/>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ind w:left="720" w:right="720"/>
      <w:jc w:val="left"/>
    </w:pPr>
    <w:rPr>
      <w:rFonts w:ascii="Calibri" w:hAnsi="Calibri" w:eastAsia="Calibri" w:cs="Times New Roman"/>
      <w:b/>
      <w:i/>
      <w:kern w:val="1"/>
      <w:sz w:val="24"/>
      <w:szCs w:val="22"/>
      <w:lang w:val="en-US" w:eastAsia="zh-CN" w:bidi="ar-SA"/>
    </w:rPr>
  </w:style>
  <w:style w:type="paragraph" w:customStyle="1" w:styleId="27">
    <w:name w:val="TOC 标题1"/>
    <w:basedOn w:val="2"/>
    <w:autoRedefine/>
    <w:qFormat/>
    <w:uiPriority w:val="0"/>
    <w:pPr>
      <w:outlineLvl w:val="9"/>
    </w:pPr>
  </w:style>
  <w:style w:type="paragraph" w:customStyle="1" w:styleId="28">
    <w:name w:val="闻政-正文段落文字"/>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hd w:val="clear"/>
      <w:spacing w:line="500" w:lineRule="exact"/>
      <w:ind w:firstLine="200"/>
      <w:jc w:val="both"/>
    </w:pPr>
    <w:rPr>
      <w:rFonts w:ascii="Times New Roman" w:hAnsi="Times New Roman" w:eastAsia="宋体" w:cs="Times New Roman"/>
      <w:kern w:val="1"/>
      <w:sz w:val="21"/>
      <w:szCs w:val="28"/>
      <w:lang w:val="en-US" w:eastAsia="zh-CN" w:bidi="ar-SA"/>
    </w:rPr>
  </w:style>
  <w:style w:type="paragraph" w:customStyle="1" w:styleId="29">
    <w:name w:val="闻政-正文二级标题"/>
    <w:next w:val="28"/>
    <w:autoRedefine/>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spacing w:before="120" w:line="500" w:lineRule="exact"/>
      <w:ind w:left="200"/>
      <w:jc w:val="both"/>
    </w:pPr>
    <w:rPr>
      <w:rFonts w:ascii="Times New Roman" w:hAnsi="Times New Roman" w:eastAsia="宋体" w:cs="Times New Roman"/>
      <w:kern w:val="1"/>
      <w:sz w:val="21"/>
      <w:szCs w:val="24"/>
      <w:lang w:val="en-US" w:eastAsia="zh-CN" w:bidi="ar-SA"/>
    </w:rPr>
  </w:style>
  <w:style w:type="paragraph" w:customStyle="1" w:styleId="30">
    <w:name w:val="Comment Text"/>
    <w:autoRedefine/>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jc w:val="both"/>
    </w:pPr>
    <w:rPr>
      <w:rFonts w:ascii="Times New Roman" w:hAnsi="Times New Roman" w:eastAsia="宋体" w:cs="Times New Roman"/>
      <w:kern w:val="1"/>
      <w:sz w:val="20"/>
      <w:szCs w:val="20"/>
      <w:lang w:val="en-US" w:eastAsia="zh-CN" w:bidi="ar-SA"/>
    </w:rPr>
  </w:style>
  <w:style w:type="paragraph" w:customStyle="1" w:styleId="31">
    <w:name w:val="Comment Subject"/>
    <w:autoRedefine/>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jc w:val="both"/>
    </w:pPr>
    <w:rPr>
      <w:rFonts w:ascii="Times New Roman" w:hAnsi="Times New Roman" w:eastAsia="宋体" w:cs="Times New Roman"/>
      <w:b/>
      <w:bCs/>
      <w:kern w:val="1"/>
      <w:sz w:val="21"/>
      <w:szCs w:val="24"/>
      <w:lang w:val="en-US" w:eastAsia="zh-CN" w:bidi="ar-SA"/>
    </w:rPr>
  </w:style>
  <w:style w:type="character" w:customStyle="1" w:styleId="32">
    <w:name w:val="标题 1 字符"/>
    <w:autoRedefine/>
    <w:qFormat/>
    <w:uiPriority w:val="0"/>
    <w:rPr>
      <w:rFonts w:ascii="Cambria" w:hAnsi="Cambria" w:eastAsia="Cambria"/>
      <w:b/>
      <w:bCs/>
      <w:sz w:val="32"/>
      <w:szCs w:val="32"/>
    </w:rPr>
  </w:style>
  <w:style w:type="character" w:customStyle="1" w:styleId="33">
    <w:name w:val="标题 3 字符"/>
    <w:autoRedefine/>
    <w:qFormat/>
    <w:uiPriority w:val="0"/>
    <w:rPr>
      <w:rFonts w:ascii="Cambria" w:hAnsi="Cambria" w:eastAsia="Cambria"/>
      <w:b/>
      <w:bCs/>
      <w:sz w:val="26"/>
      <w:szCs w:val="26"/>
    </w:rPr>
  </w:style>
  <w:style w:type="character" w:customStyle="1" w:styleId="34">
    <w:name w:val="标题 4 字符"/>
    <w:autoRedefine/>
    <w:qFormat/>
    <w:uiPriority w:val="0"/>
    <w:rPr>
      <w:b/>
      <w:bCs/>
      <w:sz w:val="28"/>
      <w:szCs w:val="28"/>
    </w:rPr>
  </w:style>
  <w:style w:type="character" w:customStyle="1" w:styleId="35">
    <w:name w:val="标题 5 字符"/>
    <w:autoRedefine/>
    <w:qFormat/>
    <w:uiPriority w:val="0"/>
    <w:rPr>
      <w:b/>
      <w:bCs/>
      <w:i/>
      <w:iCs/>
      <w:sz w:val="26"/>
      <w:szCs w:val="26"/>
    </w:rPr>
  </w:style>
  <w:style w:type="character" w:customStyle="1" w:styleId="36">
    <w:name w:val="标题 6 字符"/>
    <w:autoRedefine/>
    <w:qFormat/>
    <w:uiPriority w:val="0"/>
    <w:rPr>
      <w:b/>
      <w:bCs/>
    </w:rPr>
  </w:style>
  <w:style w:type="character" w:customStyle="1" w:styleId="37">
    <w:name w:val="标题 7 字符"/>
    <w:autoRedefine/>
    <w:qFormat/>
    <w:uiPriority w:val="0"/>
    <w:rPr>
      <w:sz w:val="24"/>
    </w:rPr>
  </w:style>
  <w:style w:type="character" w:customStyle="1" w:styleId="38">
    <w:name w:val="标题 8 字符"/>
    <w:autoRedefine/>
    <w:qFormat/>
    <w:uiPriority w:val="0"/>
    <w:rPr>
      <w:i/>
      <w:iCs/>
      <w:sz w:val="24"/>
    </w:rPr>
  </w:style>
  <w:style w:type="character" w:customStyle="1" w:styleId="39">
    <w:name w:val="标题 9 字符"/>
    <w:autoRedefine/>
    <w:qFormat/>
    <w:uiPriority w:val="0"/>
    <w:rPr>
      <w:rFonts w:ascii="Cambria" w:hAnsi="Cambria" w:eastAsia="Cambria"/>
    </w:rPr>
  </w:style>
  <w:style w:type="character" w:customStyle="1" w:styleId="40">
    <w:name w:val="标题 字符"/>
    <w:autoRedefine/>
    <w:qFormat/>
    <w:uiPriority w:val="0"/>
    <w:rPr>
      <w:rFonts w:ascii="Cambria" w:hAnsi="Cambria" w:eastAsia="Cambria"/>
      <w:b/>
      <w:bCs/>
      <w:sz w:val="32"/>
      <w:szCs w:val="32"/>
    </w:rPr>
  </w:style>
  <w:style w:type="character" w:customStyle="1" w:styleId="41">
    <w:name w:val="副标题 字符"/>
    <w:autoRedefine/>
    <w:qFormat/>
    <w:uiPriority w:val="0"/>
    <w:rPr>
      <w:rFonts w:ascii="Cambria" w:hAnsi="Cambria" w:eastAsia="Cambria"/>
      <w:sz w:val="24"/>
    </w:rPr>
  </w:style>
  <w:style w:type="character" w:customStyle="1" w:styleId="42">
    <w:name w:val="引用 字符"/>
    <w:autoRedefine/>
    <w:qFormat/>
    <w:uiPriority w:val="0"/>
    <w:rPr>
      <w:i/>
      <w:sz w:val="24"/>
    </w:rPr>
  </w:style>
  <w:style w:type="character" w:customStyle="1" w:styleId="43">
    <w:name w:val="明显引用 字符"/>
    <w:autoRedefine/>
    <w:qFormat/>
    <w:uiPriority w:val="0"/>
    <w:rPr>
      <w:b/>
      <w:i/>
      <w:sz w:val="24"/>
    </w:rPr>
  </w:style>
  <w:style w:type="character" w:customStyle="1" w:styleId="44">
    <w:name w:val="不明显强调1"/>
    <w:autoRedefine/>
    <w:qFormat/>
    <w:uiPriority w:val="0"/>
    <w:rPr>
      <w:i/>
      <w:color w:val="595959"/>
      <w:kern w:val="0"/>
      <w:sz w:val="20"/>
      <w:szCs w:val="20"/>
    </w:rPr>
  </w:style>
  <w:style w:type="character" w:customStyle="1" w:styleId="45">
    <w:name w:val="明显强调1"/>
    <w:autoRedefine/>
    <w:qFormat/>
    <w:uiPriority w:val="0"/>
    <w:rPr>
      <w:b/>
      <w:i/>
      <w:sz w:val="24"/>
      <w:u w:val="single" w:color="auto"/>
    </w:rPr>
  </w:style>
  <w:style w:type="character" w:customStyle="1" w:styleId="46">
    <w:name w:val="不明显参考1"/>
    <w:autoRedefine/>
    <w:qFormat/>
    <w:uiPriority w:val="0"/>
    <w:rPr>
      <w:sz w:val="24"/>
      <w:u w:val="single" w:color="auto"/>
    </w:rPr>
  </w:style>
  <w:style w:type="character" w:customStyle="1" w:styleId="47">
    <w:name w:val="明显参考1"/>
    <w:autoRedefine/>
    <w:qFormat/>
    <w:uiPriority w:val="0"/>
    <w:rPr>
      <w:b/>
      <w:sz w:val="24"/>
      <w:u w:val="single" w:color="auto"/>
    </w:rPr>
  </w:style>
  <w:style w:type="character" w:customStyle="1" w:styleId="48">
    <w:name w:val="书籍标题1"/>
    <w:autoRedefine/>
    <w:qFormat/>
    <w:uiPriority w:val="0"/>
    <w:rPr>
      <w:rFonts w:ascii="Cambria" w:hAnsi="Cambria" w:eastAsia="Cambria"/>
      <w:b/>
      <w:i/>
      <w:sz w:val="24"/>
    </w:rPr>
  </w:style>
  <w:style w:type="character" w:customStyle="1" w:styleId="49">
    <w:name w:val="页眉 字符"/>
    <w:autoRedefine/>
    <w:qFormat/>
    <w:uiPriority w:val="0"/>
    <w:rPr>
      <w:rFonts w:ascii="Calibri" w:hAnsi="Calibri"/>
      <w:sz w:val="18"/>
      <w:szCs w:val="18"/>
    </w:rPr>
  </w:style>
  <w:style w:type="character" w:customStyle="1" w:styleId="50">
    <w:name w:val="页脚 字符"/>
    <w:autoRedefine/>
    <w:qFormat/>
    <w:uiPriority w:val="0"/>
    <w:rPr>
      <w:rFonts w:ascii="Calibri" w:hAnsi="Calibri"/>
      <w:sz w:val="18"/>
      <w:szCs w:val="18"/>
    </w:rPr>
  </w:style>
  <w:style w:type="character" w:customStyle="1" w:styleId="51">
    <w:name w:val="批注框文本 字符"/>
    <w:autoRedefine/>
    <w:qFormat/>
    <w:uiPriority w:val="0"/>
    <w:rPr>
      <w:sz w:val="18"/>
      <w:szCs w:val="18"/>
    </w:rPr>
  </w:style>
  <w:style w:type="character" w:customStyle="1" w:styleId="52">
    <w:name w:val="font41"/>
    <w:basedOn w:val="18"/>
    <w:autoRedefine/>
    <w:qFormat/>
    <w:uiPriority w:val="0"/>
    <w:rPr>
      <w:rFonts w:hint="default" w:ascii="方正仿宋_GBK" w:hAnsi="方正仿宋_GBK" w:eastAsia="方正仿宋_GBK" w:cs="方正仿宋_GBK"/>
      <w:color w:val="000000"/>
      <w:sz w:val="24"/>
      <w:szCs w:val="24"/>
      <w:u w:val="none"/>
    </w:rPr>
  </w:style>
  <w:style w:type="character" w:customStyle="1" w:styleId="53">
    <w:name w:val="font51"/>
    <w:basedOn w:val="18"/>
    <w:autoRedefine/>
    <w:qFormat/>
    <w:uiPriority w:val="0"/>
    <w:rPr>
      <w:rFonts w:hint="default" w:ascii="Times New Roman" w:hAnsi="Times New Roman" w:cs="Times New Roman"/>
      <w:color w:val="000000"/>
      <w:sz w:val="24"/>
      <w:szCs w:val="24"/>
      <w:u w:val="none"/>
    </w:rPr>
  </w:style>
  <w:style w:type="character" w:customStyle="1" w:styleId="54">
    <w:name w:val="font61"/>
    <w:basedOn w:val="18"/>
    <w:autoRedefine/>
    <w:qFormat/>
    <w:uiPriority w:val="0"/>
    <w:rPr>
      <w:rFonts w:hint="default" w:ascii="方正仿宋_GBK" w:hAnsi="方正仿宋_GBK" w:eastAsia="方正仿宋_GBK" w:cs="方正仿宋_GBK"/>
      <w:color w:val="000000"/>
      <w:sz w:val="24"/>
      <w:szCs w:val="24"/>
      <w:u w:val="none"/>
    </w:rPr>
  </w:style>
  <w:style w:type="character" w:customStyle="1" w:styleId="55">
    <w:name w:val="font71"/>
    <w:basedOn w:val="18"/>
    <w:autoRedefine/>
    <w:qFormat/>
    <w:uiPriority w:val="0"/>
    <w:rPr>
      <w:rFonts w:hint="default" w:ascii="Calibri" w:hAnsi="Calibri" w:cs="Calibri"/>
      <w:color w:val="000000"/>
      <w:sz w:val="24"/>
      <w:szCs w:val="24"/>
      <w:u w:val="none"/>
    </w:rPr>
  </w:style>
  <w:style w:type="character" w:customStyle="1" w:styleId="56">
    <w:name w:val="font81"/>
    <w:basedOn w:val="18"/>
    <w:autoRedefine/>
    <w:qFormat/>
    <w:uiPriority w:val="0"/>
    <w:rPr>
      <w:rFonts w:hint="eastAsia" w:ascii="楷体" w:hAnsi="楷体" w:eastAsia="楷体" w:cs="楷体"/>
      <w:color w:val="000000"/>
      <w:sz w:val="24"/>
      <w:szCs w:val="24"/>
      <w:u w:val="none"/>
    </w:rPr>
  </w:style>
  <w:style w:type="character" w:customStyle="1" w:styleId="57">
    <w:name w:val="font91"/>
    <w:basedOn w:val="18"/>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Cambria"/>
        <a:cs typeface="Times New Roman"/>
      </a:majorFont>
      <a:minorFont>
        <a:latin typeface="Times New Roman"/>
        <a:ea typeface="宋体"/>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21</Pages>
  <TotalTime>24</TotalTime>
  <ScaleCrop>false</ScaleCrop>
  <LinksUpToDate>false</LinksUpToDate>
  <Application>WPS Office_12.1.0.16417_F1E327BC-269C-435d-A152-05C5408002CA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贝贝</cp:lastModifiedBy>
  <cp:lastPrinted>2024-03-27T09:05:00Z</cp:lastPrinted>
  <dcterms:modified xsi:type="dcterms:W3CDTF">2024-04-08T05:24:11Z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4D3E59D7C1B741ED8A6C365096AA2A36_13</vt:lpwstr>
  </property>
</Properties>
</file>