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C9BCE">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8A2DFC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6E99FBE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自治区自然资源厅（汇总）</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部门决算公开说明</w:t>
      </w:r>
    </w:p>
    <w:p w14:paraId="5C0EBCB5">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D99151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73B2F14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98C67A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CBCD90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3514D15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0F9000A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203392F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3A03880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16A995C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EF7615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928DFC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0CAF19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DDEB54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5281705">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50394F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47000A7">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86882A6">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7F3E792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B921D9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6670FD6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1523F98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629917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29C248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52C6D9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537A8C3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4A15243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674D19C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B37E9D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1B9D92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0F11996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6E23489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38F7BAA">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5790914">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2F90A52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14:paraId="7CAF46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55656617">
      <w:pPr>
        <w:ind w:firstLine="640" w:firstLineChars="200"/>
        <w:rPr>
          <w:rFonts w:hint="eastAsia" w:ascii="仿宋_GB2312" w:eastAsia="仿宋_GB2312"/>
          <w:color w:val="auto"/>
          <w:sz w:val="32"/>
          <w:szCs w:val="32"/>
          <w:highlight w:val="none"/>
        </w:rPr>
      </w:pPr>
      <w:r>
        <w:rPr>
          <w:rFonts w:ascii="仿宋_GB2312" w:eastAsia="仿宋_GB2312"/>
          <w:sz w:val="32"/>
          <w:szCs w:val="32"/>
        </w:rPr>
        <w:t>( 一 ) 履行全民所有土地、矿产、森林、草原、湿地、 水等自然资源资产所有者职责和所有国土空间用途管制职 责。贯彻执行自然资源和国土空间规划及测绘等法律法规，起草自治区自然资源和国土空间规划及测绘等地方性法规 和政府规章草案并监督检查执行情况。</w:t>
      </w:r>
      <w:r>
        <w:rPr>
          <w:rFonts w:ascii="仿宋_GB2312" w:eastAsia="仿宋_GB2312"/>
          <w:sz w:val="32"/>
          <w:szCs w:val="32"/>
        </w:rPr>
        <w:br w:type="textWrapping"/>
      </w:r>
      <w:r>
        <w:rPr>
          <w:rFonts w:ascii="仿宋_GB2312" w:eastAsia="仿宋_GB2312"/>
          <w:sz w:val="32"/>
          <w:szCs w:val="32"/>
        </w:rPr>
        <w:t>　　( 二 ) 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指导地县自然资源调查监测评价工作。</w:t>
      </w:r>
      <w:r>
        <w:rPr>
          <w:rFonts w:ascii="仿宋_GB2312" w:eastAsia="仿宋_GB2312"/>
          <w:sz w:val="32"/>
          <w:szCs w:val="32"/>
        </w:rPr>
        <w:br w:type="textWrapping"/>
      </w:r>
      <w:r>
        <w:rPr>
          <w:rFonts w:ascii="仿宋_GB2312" w:eastAsia="仿宋_GB2312"/>
          <w:sz w:val="32"/>
          <w:szCs w:val="32"/>
        </w:rPr>
        <w:t>　　( 三 ) 负责自然资源统一确权登记工作。贯彻执行国家各类自然资源和不动产统一确权登记、权籍调查、不动产测绘、争议调处、成果应用的制度、标准、规范。建立健全自然资源和不动产登记信息管理基础平台。负责自治区自然资源和不动产登记资料收集、整理、共享、汇交管理等。会同有关部门提出处理土地、草场等纠纷的配套政策。组织有关部门调查、裁定自治区内土地、草场、矿山、林地、水域等权属纠纷。指导监督全区自然资源和不动产确权登记工作。</w:t>
      </w:r>
      <w:r>
        <w:rPr>
          <w:rFonts w:ascii="仿宋_GB2312" w:eastAsia="仿宋_GB2312"/>
          <w:sz w:val="32"/>
          <w:szCs w:val="32"/>
        </w:rPr>
        <w:br w:type="textWrapping"/>
      </w:r>
      <w:r>
        <w:rPr>
          <w:rFonts w:ascii="仿宋_GB2312" w:eastAsia="仿宋_GB2312"/>
          <w:sz w:val="32"/>
          <w:szCs w:val="32"/>
        </w:rPr>
        <w:t>　　( 四 ) 负责自然资源资产有偿使用工作。贯彻执行国家全民所有自然资源资产统计制度，负责自治区全民所有自然资源资产核算。编制自治区全民所有自然资源资产负债表，拟订考核标准。贯彻执行国家全民所有自然资源资产划拨、出让、租赁、作价出资和土地储备政策并拟定自治区有关政策，合理配置自治区全民所有自然资源资产。负责自治区自然资源资产价值评估管理，依法收缴相关资产收益。</w:t>
      </w:r>
      <w:r>
        <w:rPr>
          <w:rFonts w:ascii="仿宋_GB2312" w:eastAsia="仿宋_GB2312"/>
          <w:sz w:val="32"/>
          <w:szCs w:val="32"/>
        </w:rPr>
        <w:br w:type="textWrapping"/>
      </w:r>
      <w:r>
        <w:rPr>
          <w:rFonts w:ascii="仿宋_GB2312" w:eastAsia="仿宋_GB2312"/>
          <w:sz w:val="32"/>
          <w:szCs w:val="32"/>
        </w:rPr>
        <w:t>　　( 五 ) 负责自然资源的合理开发利用。组织拟订自治区自然资源发展规划和战略，拟订自然资源开发利用标准并组织实施，建立政府公示自然资源价格体系，组织开展自然资源分等定级价格评估，开展自然资源利用评价考核，指导节约集约利用。负责自治区自然资源市场监管。组织研究自治区自然资源管理涉及宏观调控、区域协调和城乡统筹的政策措施。</w:t>
      </w:r>
      <w:r>
        <w:rPr>
          <w:rFonts w:ascii="仿宋_GB2312" w:eastAsia="仿宋_GB2312"/>
          <w:sz w:val="32"/>
          <w:szCs w:val="32"/>
        </w:rPr>
        <w:br w:type="textWrapping"/>
      </w:r>
      <w:r>
        <w:rPr>
          <w:rFonts w:ascii="仿宋_GB2312" w:eastAsia="仿宋_GB2312"/>
          <w:sz w:val="32"/>
          <w:szCs w:val="32"/>
        </w:rPr>
        <w:t>　　( 六 ) 负责建立空间规划体系并监督实施。推进自治区主体功能区战略和制度，组织编制并监督实施国土空间规划和相关专项规划。开展自治区国土空间开发适宜性评价，建立国土空间规划实施监测、评估和预警体系。组织划定自治区生态保护红线、永久基本农田、城镇开发边界等控制线， 构建节约资源和保护环境的生产、生活、生态空间布局。建 立健全自治区国土空间用途管制制度，研究拟订城乡规划政 策并监督实施。组织拟订并实施自治区土地等自然资源年度 利用计划。负责自治区土地等国土空间用途转用工作。负责 自治区土地征收征用管理。</w:t>
      </w:r>
      <w:r>
        <w:rPr>
          <w:rFonts w:ascii="仿宋_GB2312" w:eastAsia="仿宋_GB2312"/>
          <w:sz w:val="32"/>
          <w:szCs w:val="32"/>
        </w:rPr>
        <w:br w:type="textWrapping"/>
      </w:r>
      <w:r>
        <w:rPr>
          <w:rFonts w:ascii="仿宋_GB2312" w:eastAsia="仿宋_GB2312"/>
          <w:sz w:val="32"/>
          <w:szCs w:val="32"/>
        </w:rPr>
        <w:t>　　(七) 负责统筹国土空间生态修复。牵头组织编制自治 区国土空间生态修复规划并实施有关生态修复重大工程。负 责自治区国土空间综合整治、土地整理复垦、矿山地质环境 恢复治理等工作。牵头拟订和实施自治区生态保护补偿制度，拟订合理利用社会资金进行生态修复的政策措施，提出重大备选项目。</w:t>
      </w:r>
      <w:r>
        <w:rPr>
          <w:rFonts w:ascii="仿宋_GB2312" w:eastAsia="仿宋_GB2312"/>
          <w:sz w:val="32"/>
          <w:szCs w:val="32"/>
        </w:rPr>
        <w:br w:type="textWrapping"/>
      </w:r>
      <w:r>
        <w:rPr>
          <w:rFonts w:ascii="仿宋_GB2312" w:eastAsia="仿宋_GB2312"/>
          <w:sz w:val="32"/>
          <w:szCs w:val="32"/>
        </w:rPr>
        <w:t>　　( 八) 负责组织实施最严格的耕地保护制度。贯彻执行 国家耕地保护政策并牵头拟订和实施自治区有关政策，负责 耕地数量、质量、生态保护。组织实施自治区耕地保护责任 目标考核和永久基本农田特殊保护。完善自治区耕地占补平 衡制度，监督占用耕地补偿制度执行情况。</w:t>
      </w:r>
      <w:r>
        <w:rPr>
          <w:rFonts w:ascii="仿宋_GB2312" w:eastAsia="仿宋_GB2312"/>
          <w:sz w:val="32"/>
          <w:szCs w:val="32"/>
        </w:rPr>
        <w:br w:type="textWrapping"/>
      </w:r>
      <w:r>
        <w:rPr>
          <w:rFonts w:ascii="仿宋_GB2312" w:eastAsia="仿宋_GB2312"/>
          <w:sz w:val="32"/>
          <w:szCs w:val="32"/>
        </w:rPr>
        <w:t>　　(九) 负责管理地质勘查行业和全区地质工作。编制自 治区地质勘查规划并监督检查执行情况。管理自治区级地质 勘查项目。组织实施自治区重大地质矿产勘查专项。负责自 治区地质灾害预防和治理，监督管理地下水过量开采及引发 的地面沉降等地质问题。负责自治区古生物化石的监督管理。</w:t>
      </w:r>
      <w:r>
        <w:rPr>
          <w:rFonts w:ascii="仿宋_GB2312" w:eastAsia="仿宋_GB2312"/>
          <w:sz w:val="32"/>
          <w:szCs w:val="32"/>
        </w:rPr>
        <w:br w:type="textWrapping"/>
      </w:r>
      <w:r>
        <w:rPr>
          <w:rFonts w:ascii="仿宋_GB2312" w:eastAsia="仿宋_GB2312"/>
          <w:sz w:val="32"/>
          <w:szCs w:val="32"/>
        </w:rPr>
        <w:t>　　(十) 负责落实综合防灾减灾规划相关要求，组织编制 自治区地质灾害防治规划和防护标准并指导实施。组织指导 协调和监督自治区地质灾害调查评价及隐患的普查、详查、 排查。指导开展群测群防、专业监测和预报预警等工作，指 导开展地质灾害工程治理工作。承担自治区地质灾害应急救 援的技术支撑工作。</w:t>
      </w:r>
      <w:r>
        <w:rPr>
          <w:rFonts w:ascii="仿宋_GB2312" w:eastAsia="仿宋_GB2312"/>
          <w:sz w:val="32"/>
          <w:szCs w:val="32"/>
        </w:rPr>
        <w:br w:type="textWrapping"/>
      </w:r>
      <w:r>
        <w:rPr>
          <w:rFonts w:ascii="仿宋_GB2312" w:eastAsia="仿宋_GB2312"/>
          <w:sz w:val="32"/>
          <w:szCs w:val="32"/>
        </w:rPr>
        <w:t>　　(十一 ) 负责矿产资源管理工作。负责自治区矿产资源 储量管理及压覆矿产资源审批。负责自治区矿业权管理。会 同有关部门承担自治区保护性开采的特定矿种、优势矿产的 调控及相关管理工作。监督指导全区矿产资源合理利用和保 护。</w:t>
      </w:r>
      <w:r>
        <w:rPr>
          <w:rFonts w:ascii="仿宋_GB2312" w:eastAsia="仿宋_GB2312"/>
          <w:sz w:val="32"/>
          <w:szCs w:val="32"/>
        </w:rPr>
        <w:br w:type="textWrapping"/>
      </w:r>
      <w:r>
        <w:rPr>
          <w:rFonts w:ascii="仿宋_GB2312" w:eastAsia="仿宋_GB2312"/>
          <w:sz w:val="32"/>
          <w:szCs w:val="32"/>
        </w:rPr>
        <w:t>　　(十二) 负责测绘地理信息管理工作。负责自治区基础 测绘和测绘行业管理。负责自治区测绘资质资格与信用管理，监督管理自治区地理信息安全和市场秩序。负责自治区地理信息公共服务管理。负责自治区测量标志保护。</w:t>
      </w:r>
      <w:r>
        <w:rPr>
          <w:rFonts w:ascii="仿宋_GB2312" w:eastAsia="仿宋_GB2312"/>
          <w:sz w:val="32"/>
          <w:szCs w:val="32"/>
        </w:rPr>
        <w:br w:type="textWrapping"/>
      </w:r>
      <w:r>
        <w:rPr>
          <w:rFonts w:ascii="仿宋_GB2312" w:eastAsia="仿宋_GB2312"/>
          <w:sz w:val="32"/>
          <w:szCs w:val="32"/>
        </w:rPr>
        <w:t>　　(十三) 推动自然资源领域科技发展。制定并实施自治 区自然资源领域科技创新发展和人才培养战略、规划和计划。组织监督实施技术标准、规程规范。组织实施自治区重大科技工程及创新能力建设，推进自然资源信息化和信息资料的公共服务。组织参与自然资源领域对外交流合作</w:t>
      </w:r>
      <w:r>
        <w:rPr>
          <w:rFonts w:hint="eastAsia" w:ascii="仿宋_GB2312" w:eastAsia="仿宋_GB2312"/>
          <w:sz w:val="32"/>
          <w:szCs w:val="32"/>
        </w:rPr>
        <w:t>。</w:t>
      </w:r>
    </w:p>
    <w:p w14:paraId="5D4A91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04F56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自治区自然资源厅</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2507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1510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993</w:t>
      </w:r>
      <w:r>
        <w:rPr>
          <w:rFonts w:hint="eastAsia" w:ascii="仿宋_GB2312" w:eastAsia="仿宋_GB2312"/>
          <w:color w:val="auto"/>
          <w:sz w:val="32"/>
          <w:szCs w:val="32"/>
          <w:highlight w:val="none"/>
        </w:rPr>
        <w:t>人。</w:t>
      </w:r>
    </w:p>
    <w:p w14:paraId="18A636D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sz w:val="32"/>
          <w:szCs w:val="32"/>
        </w:rPr>
        <w:t>新疆维吾尔自治区自然资源厅</w:t>
      </w:r>
      <w:r>
        <w:rPr>
          <w:rFonts w:hint="eastAsia" w:ascii="仿宋_GB2312" w:eastAsia="仿宋_GB2312"/>
          <w:color w:val="auto"/>
          <w:sz w:val="32"/>
          <w:szCs w:val="32"/>
          <w:highlight w:val="none"/>
        </w:rPr>
        <w:t>部门决算包括：</w:t>
      </w:r>
      <w:r>
        <w:rPr>
          <w:rFonts w:hint="eastAsia" w:ascii="仿宋_GB2312" w:eastAsia="仿宋_GB2312"/>
          <w:sz w:val="32"/>
          <w:szCs w:val="32"/>
        </w:rPr>
        <w:t>新疆维吾尔自治区自然资源厅</w:t>
      </w:r>
      <w:r>
        <w:rPr>
          <w:rFonts w:hint="eastAsia" w:ascii="仿宋_GB2312" w:eastAsia="仿宋_GB2312"/>
          <w:color w:val="auto"/>
          <w:sz w:val="32"/>
          <w:szCs w:val="32"/>
          <w:highlight w:val="none"/>
        </w:rPr>
        <w:t>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14:paraId="7BCF3F5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sz w:val="32"/>
          <w:szCs w:val="32"/>
        </w:rPr>
        <w:t>新疆维吾尔自治区自然资源厅</w:t>
      </w:r>
      <w:r>
        <w:rPr>
          <w:rFonts w:hint="eastAsia" w:ascii="仿宋_GB2312" w:hAnsi="宋体" w:eastAsia="仿宋_GB2312" w:cs="宋体"/>
          <w:color w:val="auto"/>
          <w:kern w:val="0"/>
          <w:sz w:val="32"/>
          <w:szCs w:val="32"/>
          <w:highlight w:val="none"/>
        </w:rPr>
        <w:t>本级</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25</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kern w:val="0"/>
          <w:sz w:val="32"/>
          <w:szCs w:val="32"/>
        </w:rPr>
        <w:t>办公室、综合和改革处、法规处、自然资源调查监测处、自然资源确权登记局、自然资源所有者权益处、自然资源开发利用处、国土空间规划局、国土空间用途管制处、国土空间生态修复处、矿业权管理处、矿产资源保护监督处、地质勘查管理处、耕地保护监督处、国土测绘处、地理信息管理处、自然资源督察办公室、执法局、科技外事处、财务处、审计处、人事处、机关党委、离退休干部工作处、工会工作委员会</w:t>
      </w:r>
      <w:r>
        <w:rPr>
          <w:rFonts w:hint="eastAsia" w:ascii="仿宋_GB2312" w:hAnsi="宋体" w:eastAsia="仿宋_GB2312" w:cs="宋体"/>
          <w:color w:val="auto"/>
          <w:kern w:val="0"/>
          <w:sz w:val="32"/>
          <w:szCs w:val="32"/>
          <w:highlight w:val="none"/>
        </w:rPr>
        <w:t>。</w:t>
      </w:r>
    </w:p>
    <w:p w14:paraId="657022C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w:t>
      </w:r>
      <w:r>
        <w:rPr>
          <w:rFonts w:hint="eastAsia" w:ascii="仿宋_GB2312" w:eastAsia="仿宋_GB2312"/>
          <w:sz w:val="32"/>
          <w:szCs w:val="32"/>
        </w:rPr>
        <w:t>新疆维吾尔自治区自然资源厅</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14:paraId="551F8C8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1.新疆维吾尔自治区自然资源厅</w:t>
      </w:r>
    </w:p>
    <w:p w14:paraId="6DC766B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2.新疆维吾尔自治区自然资源厅机关</w:t>
      </w:r>
    </w:p>
    <w:p w14:paraId="0CFA526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3.新疆维吾尔自治区地质环境监测院</w:t>
      </w:r>
    </w:p>
    <w:p w14:paraId="17FE6FA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4.新疆维吾尔自治区国土综合整治中心</w:t>
      </w:r>
    </w:p>
    <w:p w14:paraId="6357BDF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5.新疆维吾尔自治区自然资源改革发展研究中心</w:t>
      </w:r>
    </w:p>
    <w:p w14:paraId="003834A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6.新疆维吾尔自治区自然资源厅机关服务中心</w:t>
      </w:r>
    </w:p>
    <w:p w14:paraId="632388E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7.新疆维吾尔自治区矿产资源储量评审中心</w:t>
      </w:r>
    </w:p>
    <w:p w14:paraId="268579D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8.乌鲁木齐市国土资源执法监察支队（汇总）</w:t>
      </w:r>
    </w:p>
    <w:p w14:paraId="5C97037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9.乌鲁木齐县国土资源执法监察大队</w:t>
      </w:r>
    </w:p>
    <w:p w14:paraId="68FD9CC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10.乌鲁木齐市米东区国土资源执法监察大队</w:t>
      </w:r>
    </w:p>
    <w:p w14:paraId="421D604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11.乌鲁木齐市国土资源执法监察支队</w:t>
      </w:r>
    </w:p>
    <w:p w14:paraId="5C1B18C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12.克拉玛依市国土资源执法监察支队</w:t>
      </w:r>
    </w:p>
    <w:p w14:paraId="2216378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13.石河子市国土资源执法监察支队</w:t>
      </w:r>
    </w:p>
    <w:p w14:paraId="17F6170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14.伊犁哈萨克自治州国土资源执法监察支队</w:t>
      </w:r>
    </w:p>
    <w:p w14:paraId="1DFEAE8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15.伊宁市国土资源执法监察大队</w:t>
      </w:r>
    </w:p>
    <w:p w14:paraId="37206F0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16.伊宁县国土资源执法监察大队</w:t>
      </w:r>
    </w:p>
    <w:p w14:paraId="260126A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17.奎屯市国土资源执法监察大队</w:t>
      </w:r>
    </w:p>
    <w:p w14:paraId="7A10BE2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18.昭苏县国土资源执法监察大队</w:t>
      </w:r>
    </w:p>
    <w:p w14:paraId="0DF0098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19.特克斯县国土资源执法监察大队</w:t>
      </w:r>
    </w:p>
    <w:p w14:paraId="446BD54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20.新源县国土资源执法监察大队</w:t>
      </w:r>
    </w:p>
    <w:p w14:paraId="6DB31F6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21.巩留县国土资源执法监察大队</w:t>
      </w:r>
    </w:p>
    <w:p w14:paraId="15F7349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22.尼勒克县国土资源执法监察大队</w:t>
      </w:r>
    </w:p>
    <w:p w14:paraId="7A31FD6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23.霍城县国土资源执法监察大队</w:t>
      </w:r>
    </w:p>
    <w:p w14:paraId="5E77804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24察布查尔锡伯自治县国土资源执法监察大队</w:t>
      </w:r>
    </w:p>
    <w:p w14:paraId="10A7B9E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25.霍尔果斯市国土资源执法监察大队</w:t>
      </w:r>
    </w:p>
    <w:p w14:paraId="0E028BB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26.伊犁哈萨克自治州国土资源执法监察支队(本级)</w:t>
      </w:r>
    </w:p>
    <w:p w14:paraId="59778E8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27.昌吉回族自治州国土资源执法监察支队</w:t>
      </w:r>
    </w:p>
    <w:p w14:paraId="3BEF926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28.昌吉市国土资源执法监察大队</w:t>
      </w:r>
    </w:p>
    <w:p w14:paraId="26DAA36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29.玛纳斯县国土资源执法监察大队</w:t>
      </w:r>
    </w:p>
    <w:p w14:paraId="493C7AD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30.呼图壁县国土资源执法监察大队</w:t>
      </w:r>
    </w:p>
    <w:p w14:paraId="579523E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31.奇台县国土资源执法监察大队</w:t>
      </w:r>
    </w:p>
    <w:p w14:paraId="2B4DD0C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32.阜康市国土资源执法监察大队</w:t>
      </w:r>
    </w:p>
    <w:p w14:paraId="6FF22CC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33.木垒哈萨克自治县国土资源执法监察大队</w:t>
      </w:r>
    </w:p>
    <w:p w14:paraId="660F675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34.吉木萨尔县国土资源执法监察大队</w:t>
      </w:r>
    </w:p>
    <w:p w14:paraId="295CF13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35.昌吉回族自治州国土资源执法监察支队</w:t>
      </w:r>
    </w:p>
    <w:p w14:paraId="38B2CBE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36.博尔塔拉蒙古自治州国土资源执法监察支队</w:t>
      </w:r>
    </w:p>
    <w:p w14:paraId="49FA820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37.博乐市国土资源执法监察大队</w:t>
      </w:r>
    </w:p>
    <w:p w14:paraId="5330770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38.精河县国土资源执法监察大队</w:t>
      </w:r>
    </w:p>
    <w:p w14:paraId="179E818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39.温泉县国土资源执法监察大队</w:t>
      </w:r>
    </w:p>
    <w:p w14:paraId="693DF7D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40.阿拉山口市国土资源执法监察大队</w:t>
      </w:r>
    </w:p>
    <w:p w14:paraId="7353751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41.博尔塔拉蒙古自治州国土资源执法监察支队（本级）</w:t>
      </w:r>
    </w:p>
    <w:p w14:paraId="265A5B4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42.塔城地区国土资源执法监察支队</w:t>
      </w:r>
    </w:p>
    <w:p w14:paraId="7345A2D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43.塔城市国土资源执法监察大队</w:t>
      </w:r>
    </w:p>
    <w:p w14:paraId="49F71C4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44.沙湾市国土资源执法监察大队</w:t>
      </w:r>
    </w:p>
    <w:p w14:paraId="5724C6E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45.乌苏市国土资源执法监察大队</w:t>
      </w:r>
    </w:p>
    <w:p w14:paraId="5FE0C30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46.额敏县国土资源执法监察大队</w:t>
      </w:r>
    </w:p>
    <w:p w14:paraId="438AA77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47.托里县国土资源执法监察大队</w:t>
      </w:r>
    </w:p>
    <w:p w14:paraId="1541B55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48.裕民县国土资源执法监察大队</w:t>
      </w:r>
    </w:p>
    <w:p w14:paraId="0B8A98E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49.和布克赛尔县国土资源执法监察大队</w:t>
      </w:r>
    </w:p>
    <w:p w14:paraId="1774DB2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50.塔城地区国土资源执法监察支队</w:t>
      </w:r>
    </w:p>
    <w:p w14:paraId="5CB504C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51.新疆维吾尔自治区阿勒泰地区国土资源执法监察支队</w:t>
      </w:r>
    </w:p>
    <w:p w14:paraId="02A7060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52.阿勒泰市国土资源执法监察大队</w:t>
      </w:r>
    </w:p>
    <w:p w14:paraId="5E7CD1A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53.布尔津县国土资源执法监察大队</w:t>
      </w:r>
    </w:p>
    <w:p w14:paraId="7115B13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54.哈巴河县国土资源执法监察大队</w:t>
      </w:r>
    </w:p>
    <w:p w14:paraId="2D841BF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55.青河县国土资源执法监察大队</w:t>
      </w:r>
    </w:p>
    <w:p w14:paraId="6B73428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56.富蕴县国土资源执法监察大队</w:t>
      </w:r>
    </w:p>
    <w:p w14:paraId="375ACE5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57.福海县国土资源执法监察大队</w:t>
      </w:r>
    </w:p>
    <w:p w14:paraId="3459DB3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58.吉木乃县国土资源执法监察大队</w:t>
      </w:r>
    </w:p>
    <w:p w14:paraId="2D93E4D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59.阿勒泰地区国土资源执法监察支队(本级)</w:t>
      </w:r>
    </w:p>
    <w:p w14:paraId="3EA5862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60.哈密市国土资源执法监察支队</w:t>
      </w:r>
    </w:p>
    <w:p w14:paraId="6FF9CC4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61.哈密市伊州区国土资源执法监察大队</w:t>
      </w:r>
    </w:p>
    <w:p w14:paraId="05BA541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62.巴里坤哈萨克自治县国土资源执法监察大队</w:t>
      </w:r>
    </w:p>
    <w:p w14:paraId="6CE3C1E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63.伊吾县国土资源执法监察大队</w:t>
      </w:r>
    </w:p>
    <w:p w14:paraId="5F5805B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64.哈密市国土资源执法监察支队(本级)</w:t>
      </w:r>
    </w:p>
    <w:p w14:paraId="30080F5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65.吐鲁番市国土资源执法监察支队</w:t>
      </w:r>
    </w:p>
    <w:p w14:paraId="505F553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66.吐鲁番市高昌区国土资源执法监察大队</w:t>
      </w:r>
    </w:p>
    <w:p w14:paraId="4FDAAA5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67.托克逊县国土资源执法监察大队</w:t>
      </w:r>
    </w:p>
    <w:p w14:paraId="022446A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68.鄯善县国土资源执法监察大队</w:t>
      </w:r>
    </w:p>
    <w:p w14:paraId="286BEFE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69.吐鲁番市国土资源执法监察支队（本级）</w:t>
      </w:r>
    </w:p>
    <w:p w14:paraId="73C0C4C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70.巴音郭楞蒙古自治州国土资源执法监察支队</w:t>
      </w:r>
    </w:p>
    <w:p w14:paraId="35B8DEF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71.库尔勒市国土资源执法监察大队</w:t>
      </w:r>
    </w:p>
    <w:p w14:paraId="36B2B9D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72.和静县国土资源执法监察大队</w:t>
      </w:r>
    </w:p>
    <w:p w14:paraId="446513A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73.和硕县国土资源执法监察大队</w:t>
      </w:r>
    </w:p>
    <w:p w14:paraId="131CEE2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74.焉耆回族自治县国土资源执法监察大队</w:t>
      </w:r>
    </w:p>
    <w:p w14:paraId="1342930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75.且末县国土资源执法监察大队</w:t>
      </w:r>
    </w:p>
    <w:p w14:paraId="032C118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76.尉犁县国土资源执法监察大队</w:t>
      </w:r>
    </w:p>
    <w:p w14:paraId="2D4836F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77.轮台县国土资源执法监察大队</w:t>
      </w:r>
    </w:p>
    <w:p w14:paraId="6214544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78.博湖县国土资源执法监察大队</w:t>
      </w:r>
    </w:p>
    <w:p w14:paraId="6959F2A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79.若羌县国土资源执法监察大队</w:t>
      </w:r>
    </w:p>
    <w:p w14:paraId="4BACE0C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80.巴音郭楞蒙古自治州国土资源执法监察支队</w:t>
      </w:r>
    </w:p>
    <w:p w14:paraId="32ACD79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81.阿克苏地区国土资源执法监察支队</w:t>
      </w:r>
    </w:p>
    <w:p w14:paraId="3F415BB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82.阿克苏市国土资源执法监察大队</w:t>
      </w:r>
    </w:p>
    <w:p w14:paraId="0FD537E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83.温宿县国土资源执法监察大队</w:t>
      </w:r>
    </w:p>
    <w:p w14:paraId="611540C2">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84.库车市国土资源执法监察大队</w:t>
      </w:r>
    </w:p>
    <w:p w14:paraId="2D8A72F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85.拜城县国土资源执法监察大队</w:t>
      </w:r>
    </w:p>
    <w:p w14:paraId="667A623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86.阿瓦提县国土资源执法监察大队</w:t>
      </w:r>
    </w:p>
    <w:p w14:paraId="1D4AB0D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87.乌什县国土资源执法监察大队</w:t>
      </w:r>
    </w:p>
    <w:p w14:paraId="78D0957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88.沙雅县国土资源执法监察大队</w:t>
      </w:r>
    </w:p>
    <w:p w14:paraId="73DFAD9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89.新和县国土资源执法监察大队</w:t>
      </w:r>
    </w:p>
    <w:p w14:paraId="5722B74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90.柯坪县国土资源执法监察大队</w:t>
      </w:r>
    </w:p>
    <w:p w14:paraId="4936E05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91.阿克苏地区国土资源执法监察支队（本级）</w:t>
      </w:r>
    </w:p>
    <w:p w14:paraId="2705782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92.克孜勒苏柯尔克孜自治州国土资源执法监察支队</w:t>
      </w:r>
    </w:p>
    <w:p w14:paraId="0DDCEC7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93.阿图什市国土资源执法监察大队</w:t>
      </w:r>
    </w:p>
    <w:p w14:paraId="037A4BE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94.乌恰县国土资源执法监察大队</w:t>
      </w:r>
    </w:p>
    <w:p w14:paraId="3D945B6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95.阿合奇县国土资源执法监察大队</w:t>
      </w:r>
    </w:p>
    <w:p w14:paraId="3928BB4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96.阿克陶县国土资源执法监察大队</w:t>
      </w:r>
    </w:p>
    <w:p w14:paraId="19DDB6C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97.克孜勒苏柯尔克孜自治州国土资源执法监察支队</w:t>
      </w:r>
    </w:p>
    <w:p w14:paraId="399688F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98.喀什地区国土资源执法监察支队</w:t>
      </w:r>
    </w:p>
    <w:p w14:paraId="76F79656">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99.喀什市国土资源执法监察大队</w:t>
      </w:r>
    </w:p>
    <w:p w14:paraId="0317AF4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100.疏勒县国土资源执法监察大队</w:t>
      </w:r>
    </w:p>
    <w:p w14:paraId="4E84794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101.疏附县国土资源执法监察大队</w:t>
      </w:r>
    </w:p>
    <w:p w14:paraId="6A1964F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102.叶城县国土资源执法监察大队</w:t>
      </w:r>
    </w:p>
    <w:p w14:paraId="7E61668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103.英吉沙县国土资源执法监察大队</w:t>
      </w:r>
    </w:p>
    <w:p w14:paraId="160248C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104.莎车县国土资源执法监察大队</w:t>
      </w:r>
    </w:p>
    <w:p w14:paraId="19BCEDA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105.麦盖提县国土资源执法监察大队</w:t>
      </w:r>
    </w:p>
    <w:p w14:paraId="534730C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106.巴楚县国土资源执法监察大队</w:t>
      </w:r>
    </w:p>
    <w:p w14:paraId="078DE96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107.塔什库尔干县国土资源执法监察大队</w:t>
      </w:r>
    </w:p>
    <w:p w14:paraId="2F4BC46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108.伽师县国土资源执法监察大队</w:t>
      </w:r>
    </w:p>
    <w:p w14:paraId="6E48B27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109.泽普县国土资源执法监察大队</w:t>
      </w:r>
    </w:p>
    <w:p w14:paraId="02BEB2A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110.岳普湖县国土资源执法监察大队</w:t>
      </w:r>
    </w:p>
    <w:p w14:paraId="6FA2574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111.喀什地区国土资源执法监察支队（本级）</w:t>
      </w:r>
    </w:p>
    <w:p w14:paraId="7A5CDDD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112.和田地区国土资源执法监察支队</w:t>
      </w:r>
    </w:p>
    <w:p w14:paraId="1BFF336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113.和田市国土资源执法监察大队</w:t>
      </w:r>
    </w:p>
    <w:p w14:paraId="0957A32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114.和田县国土资源执法监察大队</w:t>
      </w:r>
    </w:p>
    <w:p w14:paraId="00024E2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115.皮山县国土资源执法监察大队</w:t>
      </w:r>
    </w:p>
    <w:p w14:paraId="0B7E772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116.墨玉县国土资源执法监察大队</w:t>
      </w:r>
    </w:p>
    <w:p w14:paraId="56C8EF7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117.民丰县国土资源执法监察大队</w:t>
      </w:r>
    </w:p>
    <w:p w14:paraId="465E9F0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118.洛浦县国土资源执法监察大队</w:t>
      </w:r>
    </w:p>
    <w:p w14:paraId="7D27BFD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119.策勒县国土资源执法监察大队</w:t>
      </w:r>
    </w:p>
    <w:p w14:paraId="023121C1">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120.于田县国土资源执法监察大队</w:t>
      </w:r>
    </w:p>
    <w:p w14:paraId="49A2319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121.和田地区国土资源执法监察支队(本级）</w:t>
      </w:r>
    </w:p>
    <w:p w14:paraId="1E04D9B3">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122.新疆维吾尔自治区国土资源执法监察总队（本级）</w:t>
      </w:r>
    </w:p>
    <w:p w14:paraId="36A65295">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123.新疆维吾尔自治区自然资源宣传教育中心</w:t>
      </w:r>
    </w:p>
    <w:p w14:paraId="2851B97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124.新疆维吾尔自治区不动产登记中心</w:t>
      </w:r>
    </w:p>
    <w:p w14:paraId="0730027B">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125.自治区国土资源执法监察总队</w:t>
      </w:r>
    </w:p>
    <w:p w14:paraId="27ADD07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126.新疆维吾尔自治区地质勘查基金项目管理中心</w:t>
      </w:r>
    </w:p>
    <w:p w14:paraId="3B20624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127.新疆维吾尔自治区第一测绘院</w:t>
      </w:r>
    </w:p>
    <w:p w14:paraId="2F54A45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128.新疆维吾尔自治区第二测绘院</w:t>
      </w:r>
    </w:p>
    <w:p w14:paraId="741D766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129.新疆维吾尔自治区测绘成果中心</w:t>
      </w:r>
    </w:p>
    <w:p w14:paraId="1C475BA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130.新疆维吾尔自治区测绘产品质量监督检验站</w:t>
      </w:r>
    </w:p>
    <w:p w14:paraId="00374DAD">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131.新疆维吾尔自治区测绘科学研究院</w:t>
      </w:r>
    </w:p>
    <w:p w14:paraId="05872F9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132.新疆维吾尔自治区自然资源信息中心（新疆维吾尔自治区自然资源档案馆）</w:t>
      </w:r>
    </w:p>
    <w:p w14:paraId="324012D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133.新疆维吾尔自治区国土空间规划研究中心</w:t>
      </w:r>
    </w:p>
    <w:p w14:paraId="0ABDA1F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134.新疆维吾尔自治区自然资源规划研究院</w:t>
      </w:r>
    </w:p>
    <w:p w14:paraId="6C84EDE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135.新疆维吾尔自治区自然资源法律事务中心</w:t>
      </w:r>
    </w:p>
    <w:p w14:paraId="570B535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bookmarkStart w:id="6" w:name="_Toc29374"/>
      <w:bookmarkStart w:id="7" w:name="_Toc3092"/>
    </w:p>
    <w:p w14:paraId="18C2020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5AD8E8A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049CD3B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4C987F1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18A9F07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150A580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02C4C56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4042E1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73D88B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9E19A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83,352.53万元，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77,331.30万元，使用非财政拨款结余2,623.62万元，年初结转和结余3,397.61万元。</w:t>
      </w:r>
    </w:p>
    <w:p w14:paraId="026C986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83,352.53万元，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79,168.98万元，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1,452.08万元，年末结转和结余2,731.47万元。</w:t>
      </w:r>
    </w:p>
    <w:p w14:paraId="3AD8D3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增加11,703.25万元</w:t>
      </w:r>
      <w:r>
        <w:rPr>
          <w:rFonts w:hint="eastAsia" w:ascii="仿宋_GB2312" w:eastAsia="仿宋_GB2312"/>
          <w:color w:val="auto"/>
          <w:spacing w:val="0"/>
          <w:sz w:val="32"/>
          <w:szCs w:val="32"/>
          <w:highlight w:val="none"/>
          <w:lang w:eastAsia="zh-CN"/>
        </w:rPr>
        <w:t>，增长16.33%，主要原因是：</w:t>
      </w:r>
      <w:r>
        <w:rPr>
          <w:rFonts w:hint="eastAsia" w:ascii="仿宋_GB2312" w:hAnsi="仿宋" w:eastAsia="仿宋_GB2312" w:cs="Times New Roman"/>
          <w:sz w:val="32"/>
          <w:szCs w:val="32"/>
        </w:rPr>
        <w:t>①财政拨款收入比上年</w:t>
      </w:r>
      <w:r>
        <w:rPr>
          <w:rFonts w:hint="eastAsia" w:ascii="仿宋_GB2312" w:hAnsi="仿宋" w:eastAsia="仿宋_GB2312" w:cs="Times New Roman"/>
          <w:sz w:val="32"/>
          <w:szCs w:val="32"/>
          <w:lang w:val="en-US" w:eastAsia="zh-CN"/>
        </w:rPr>
        <w:t>增加</w:t>
      </w:r>
      <w:r>
        <w:rPr>
          <w:rFonts w:hint="eastAsia" w:ascii="仿宋_GB2312" w:hAnsi="仿宋" w:eastAsia="仿宋_GB2312" w:cs="Times New Roman"/>
          <w:sz w:val="32"/>
          <w:szCs w:val="32"/>
        </w:rPr>
        <w:t>7,204.41万元，</w:t>
      </w:r>
      <w:r>
        <w:rPr>
          <w:rFonts w:hint="eastAsia" w:ascii="仿宋_GB2312" w:hAnsi="仿宋" w:eastAsia="仿宋_GB2312" w:cs="Times New Roman"/>
          <w:sz w:val="32"/>
          <w:szCs w:val="32"/>
          <w:lang w:val="en-US" w:eastAsia="zh-CN"/>
        </w:rPr>
        <w:t>增长</w:t>
      </w:r>
      <w:r>
        <w:rPr>
          <w:rFonts w:hint="eastAsia" w:ascii="仿宋_GB2312" w:hAnsi="仿宋" w:eastAsia="仿宋_GB2312" w:cs="Times New Roman"/>
          <w:sz w:val="32"/>
          <w:szCs w:val="32"/>
        </w:rPr>
        <w:t>3.60%</w:t>
      </w:r>
      <w:r>
        <w:rPr>
          <w:rFonts w:hint="eastAsia" w:ascii="仿宋_GB2312" w:hAnsi="仿宋" w:eastAsia="仿宋_GB2312" w:cs="Times New Roman"/>
          <w:sz w:val="32"/>
          <w:szCs w:val="32"/>
          <w:lang w:eastAsia="zh-CN"/>
        </w:rPr>
        <w:t>。一是2023年，因建设自然资源档案库（馆）基础设施建设</w:t>
      </w:r>
      <w:r>
        <w:rPr>
          <w:rFonts w:hint="eastAsia" w:ascii="仿宋_GB2312" w:hAnsi="仿宋" w:eastAsia="仿宋_GB2312" w:cs="Times New Roman"/>
          <w:sz w:val="32"/>
          <w:szCs w:val="32"/>
          <w:lang w:val="en-US" w:eastAsia="zh-CN"/>
        </w:rPr>
        <w:t>财政拨款</w:t>
      </w:r>
      <w:r>
        <w:rPr>
          <w:rFonts w:hint="eastAsia" w:ascii="仿宋_GB2312" w:hAnsi="仿宋" w:eastAsia="仿宋_GB2312" w:cs="Times New Roman"/>
          <w:sz w:val="32"/>
          <w:szCs w:val="32"/>
          <w:lang w:eastAsia="zh-CN"/>
        </w:rPr>
        <w:t>增加</w:t>
      </w:r>
      <w:r>
        <w:rPr>
          <w:rFonts w:hint="eastAsia" w:ascii="仿宋_GB2312" w:hAnsi="仿宋" w:eastAsia="仿宋_GB2312" w:cs="Times New Roman"/>
          <w:sz w:val="32"/>
          <w:szCs w:val="32"/>
          <w:lang w:val="en-US" w:eastAsia="zh-CN"/>
        </w:rPr>
        <w:t>5000万元；二是人员工资调整、年终绩效增加、去世人数增加导致的丧葬费抚恤金增加、新招录人员等财政拨款的人员经费增加2280.83万元。</w:t>
      </w:r>
      <w:r>
        <w:rPr>
          <w:rFonts w:hint="eastAsia" w:ascii="仿宋_GB2312" w:hAnsi="仿宋" w:eastAsia="仿宋_GB2312" w:cs="Times New Roman"/>
          <w:sz w:val="32"/>
          <w:szCs w:val="32"/>
        </w:rPr>
        <w:t>②经营收入比上年</w:t>
      </w:r>
      <w:r>
        <w:rPr>
          <w:rFonts w:hint="eastAsia" w:ascii="仿宋_GB2312" w:hAnsi="仿宋" w:eastAsia="仿宋_GB2312" w:cs="Times New Roman"/>
          <w:sz w:val="32"/>
          <w:szCs w:val="32"/>
          <w:lang w:val="en-US" w:eastAsia="zh-CN"/>
        </w:rPr>
        <w:t>增加</w:t>
      </w:r>
      <w:r>
        <w:rPr>
          <w:rFonts w:hint="eastAsia" w:ascii="仿宋_GB2312" w:hAnsi="仿宋" w:eastAsia="仿宋_GB2312" w:cs="Times New Roman"/>
          <w:sz w:val="32"/>
          <w:szCs w:val="32"/>
        </w:rPr>
        <w:t>14.07万元，</w:t>
      </w:r>
      <w:r>
        <w:rPr>
          <w:rFonts w:hint="eastAsia" w:ascii="仿宋_GB2312" w:hAnsi="仿宋" w:eastAsia="仿宋_GB2312" w:cs="Times New Roman"/>
          <w:sz w:val="32"/>
          <w:szCs w:val="32"/>
          <w:lang w:val="en-US" w:eastAsia="zh-CN"/>
        </w:rPr>
        <w:t>增长</w:t>
      </w:r>
      <w:r>
        <w:rPr>
          <w:rFonts w:hint="eastAsia" w:ascii="仿宋_GB2312" w:hAnsi="仿宋" w:eastAsia="仿宋_GB2312" w:cs="Times New Roman"/>
          <w:sz w:val="32"/>
          <w:szCs w:val="32"/>
        </w:rPr>
        <w:t>0.25</w:t>
      </w:r>
      <w:r>
        <w:rPr>
          <w:rFonts w:hint="eastAsia" w:ascii="仿宋_GB2312" w:hAnsi="仿宋" w:eastAsia="仿宋_GB2312" w:cs="Times New Roman"/>
          <w:sz w:val="32"/>
          <w:szCs w:val="32"/>
          <w:lang w:val="en-US" w:eastAsia="zh-CN"/>
        </w:rPr>
        <w:t>%</w:t>
      </w:r>
      <w:r>
        <w:rPr>
          <w:rFonts w:hint="eastAsia" w:ascii="仿宋_GB2312" w:hAnsi="仿宋" w:eastAsia="仿宋_GB2312" w:cs="Times New Roman"/>
          <w:sz w:val="32"/>
          <w:szCs w:val="32"/>
        </w:rPr>
        <w:t>。③其他收入</w:t>
      </w:r>
      <w:r>
        <w:rPr>
          <w:rFonts w:hint="eastAsia" w:ascii="仿宋_GB2312" w:hAnsi="仿宋" w:eastAsia="仿宋_GB2312" w:cs="Times New Roman"/>
          <w:sz w:val="32"/>
          <w:szCs w:val="32"/>
          <w:lang w:val="en-US" w:eastAsia="zh-CN"/>
        </w:rPr>
        <w:t>增加</w:t>
      </w:r>
      <w:r>
        <w:rPr>
          <w:rFonts w:hint="eastAsia" w:ascii="仿宋_GB2312" w:hAnsi="仿宋" w:eastAsia="仿宋_GB2312" w:cs="Times New Roman"/>
          <w:sz w:val="32"/>
          <w:szCs w:val="32"/>
        </w:rPr>
        <w:t>3,030.24万元，</w:t>
      </w:r>
      <w:r>
        <w:rPr>
          <w:rFonts w:hint="eastAsia" w:ascii="仿宋_GB2312" w:hAnsi="仿宋" w:eastAsia="仿宋_GB2312" w:cs="Times New Roman"/>
          <w:sz w:val="32"/>
          <w:szCs w:val="32"/>
          <w:lang w:val="en-US" w:eastAsia="zh-CN"/>
        </w:rPr>
        <w:t>增长</w:t>
      </w:r>
      <w:r>
        <w:rPr>
          <w:rFonts w:hint="eastAsia" w:ascii="仿宋_GB2312" w:hAnsi="仿宋" w:eastAsia="仿宋_GB2312" w:cs="Times New Roman"/>
          <w:sz w:val="32"/>
          <w:szCs w:val="32"/>
        </w:rPr>
        <w:t>1,588.01%，主要</w:t>
      </w:r>
      <w:r>
        <w:rPr>
          <w:rFonts w:hint="eastAsia" w:ascii="仿宋_GB2312" w:hAnsi="仿宋" w:eastAsia="仿宋_GB2312" w:cs="Times New Roman"/>
          <w:sz w:val="32"/>
          <w:szCs w:val="32"/>
          <w:lang w:eastAsia="zh-CN"/>
        </w:rPr>
        <w:t>是</w:t>
      </w:r>
      <w:r>
        <w:rPr>
          <w:rFonts w:hint="eastAsia" w:ascii="仿宋_GB2312" w:hAnsi="仿宋" w:eastAsia="仿宋_GB2312" w:cs="Times New Roman"/>
          <w:sz w:val="32"/>
          <w:szCs w:val="32"/>
          <w:lang w:val="en-US" w:eastAsia="zh-CN"/>
        </w:rPr>
        <w:t>我厅机关2023年增加</w:t>
      </w:r>
      <w:r>
        <w:rPr>
          <w:rFonts w:hint="eastAsia" w:ascii="仿宋_GB2312" w:hAnsi="仿宋" w:eastAsia="仿宋_GB2312" w:cs="Times New Roman"/>
          <w:sz w:val="32"/>
          <w:szCs w:val="32"/>
          <w:lang w:eastAsia="zh-CN"/>
        </w:rPr>
        <w:t>3000万元自然资源档案库（馆）建设自筹资金用于建设档案库</w:t>
      </w:r>
      <w:r>
        <w:rPr>
          <w:rFonts w:hint="eastAsia" w:ascii="仿宋_GB2312" w:eastAsia="仿宋_GB2312"/>
          <w:color w:val="auto"/>
          <w:spacing w:val="0"/>
          <w:sz w:val="32"/>
          <w:szCs w:val="32"/>
          <w:highlight w:val="none"/>
          <w:lang w:eastAsia="zh-CN"/>
        </w:rPr>
        <w:t>。</w:t>
      </w:r>
    </w:p>
    <w:p w14:paraId="674E41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C2A3F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77,331.30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68,350.90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88.39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95.00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0.12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5,664.34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7.32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3,221.06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4.17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710C8D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7D5894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本年支出79,168.98万元，其中：基本支出37,410.15万元，占47.25%；项目支出37,505.88万元，占47.37%；上缴上级支出0.00万元，占0.00%；经营支出4,252.95万元，占5.37%；对附属单位补助支出0.00万元，占0.00%。</w:t>
      </w:r>
    </w:p>
    <w:p w14:paraId="157774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00156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68,908.03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557.13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68,350.90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68,908.03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415.75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68,492.28</w:t>
      </w:r>
      <w:r>
        <w:rPr>
          <w:rFonts w:hint="eastAsia" w:ascii="仿宋_GB2312" w:eastAsia="仿宋_GB2312"/>
          <w:color w:val="auto"/>
          <w:spacing w:val="0"/>
          <w:sz w:val="32"/>
          <w:szCs w:val="32"/>
          <w:highlight w:val="none"/>
          <w:lang w:eastAsia="zh-CN"/>
        </w:rPr>
        <w:t>万元。</w:t>
      </w:r>
    </w:p>
    <w:p w14:paraId="402C19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增加7,222.20万元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增长11.71%,</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sz w:val="32"/>
          <w:szCs w:val="32"/>
          <w:lang w:eastAsia="zh-CN"/>
        </w:rPr>
        <w:t>一是2023年，因建设自然资源档案库（馆）基础设施建设</w:t>
      </w:r>
      <w:r>
        <w:rPr>
          <w:rFonts w:hint="eastAsia" w:ascii="仿宋_GB2312" w:hAnsi="仿宋" w:eastAsia="仿宋_GB2312" w:cs="Times New Roman"/>
          <w:sz w:val="32"/>
          <w:szCs w:val="32"/>
          <w:lang w:val="en-US" w:eastAsia="zh-CN"/>
        </w:rPr>
        <w:t>财政拨款</w:t>
      </w:r>
      <w:r>
        <w:rPr>
          <w:rFonts w:hint="eastAsia" w:ascii="仿宋_GB2312" w:hAnsi="仿宋" w:eastAsia="仿宋_GB2312" w:cs="Times New Roman"/>
          <w:sz w:val="32"/>
          <w:szCs w:val="32"/>
          <w:lang w:eastAsia="zh-CN"/>
        </w:rPr>
        <w:t>增加</w:t>
      </w:r>
      <w:r>
        <w:rPr>
          <w:rFonts w:hint="eastAsia" w:ascii="仿宋_GB2312" w:hAnsi="仿宋" w:eastAsia="仿宋_GB2312" w:cs="Times New Roman"/>
          <w:sz w:val="32"/>
          <w:szCs w:val="32"/>
          <w:lang w:val="en-US" w:eastAsia="zh-CN"/>
        </w:rPr>
        <w:t>5000万元；二是人员工资调整、年终绩效增加、去世人数增加导致的丧葬费抚恤金增加、新招录人员等财政拨款的人员经费增加2280.83万元；三是有上年结转结余财政资金5557.13万元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77,349.50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68,908.03</w:t>
      </w:r>
      <w:r>
        <w:rPr>
          <w:rFonts w:hint="eastAsia" w:ascii="仿宋_GB2312" w:eastAsia="仿宋_GB2312"/>
          <w:color w:val="auto"/>
          <w:spacing w:val="0"/>
          <w:sz w:val="32"/>
          <w:szCs w:val="32"/>
          <w:highlight w:val="none"/>
          <w:lang w:eastAsia="zh-CN"/>
        </w:rPr>
        <w:t>万元，预决算差异率-10.91%，主要原因是：</w:t>
      </w:r>
      <w:r>
        <w:rPr>
          <w:rFonts w:hint="eastAsia" w:ascii="仿宋_GB2312" w:eastAsia="仿宋_GB2312"/>
          <w:color w:val="auto"/>
          <w:spacing w:val="0"/>
          <w:sz w:val="32"/>
          <w:szCs w:val="32"/>
          <w:highlight w:val="none"/>
          <w:lang w:val="en-US" w:eastAsia="zh-CN"/>
        </w:rPr>
        <w:t>2023年，我厅机关《自治区财政出资地质勘查项目》《矿产资源国情调查成果动态更新与质量监控项目》《新疆地质遗迹调查与评价（成果集成及应用研究）》三个项目，合计资金</w:t>
      </w:r>
      <w:r>
        <w:rPr>
          <w:rFonts w:hint="eastAsia" w:ascii="仿宋_GB2312" w:eastAsia="仿宋_GB2312"/>
          <w:color w:val="auto"/>
          <w:spacing w:val="0"/>
          <w:sz w:val="32"/>
          <w:szCs w:val="32"/>
          <w:highlight w:val="none"/>
          <w:lang w:eastAsia="zh-CN"/>
        </w:rPr>
        <w:t>15400万元</w:t>
      </w:r>
      <w:r>
        <w:rPr>
          <w:rFonts w:hint="eastAsia" w:ascii="仿宋_GB2312" w:eastAsia="仿宋_GB2312"/>
          <w:color w:val="auto"/>
          <w:spacing w:val="0"/>
          <w:sz w:val="32"/>
          <w:szCs w:val="32"/>
          <w:highlight w:val="none"/>
          <w:lang w:val="en-US" w:eastAsia="zh-CN"/>
        </w:rPr>
        <w:t>属于</w:t>
      </w:r>
      <w:r>
        <w:rPr>
          <w:rFonts w:hint="eastAsia" w:ascii="仿宋_GB2312" w:eastAsia="仿宋_GB2312"/>
          <w:color w:val="auto"/>
          <w:spacing w:val="0"/>
          <w:sz w:val="32"/>
          <w:szCs w:val="32"/>
          <w:highlight w:val="none"/>
          <w:lang w:eastAsia="zh-CN"/>
        </w:rPr>
        <w:t>待分配项目，财政</w:t>
      </w:r>
      <w:r>
        <w:rPr>
          <w:rFonts w:hint="eastAsia" w:ascii="仿宋_GB2312" w:eastAsia="仿宋_GB2312"/>
          <w:color w:val="auto"/>
          <w:spacing w:val="0"/>
          <w:sz w:val="32"/>
          <w:szCs w:val="32"/>
          <w:highlight w:val="none"/>
          <w:lang w:val="en-US" w:eastAsia="zh-CN"/>
        </w:rPr>
        <w:t>厅</w:t>
      </w:r>
      <w:r>
        <w:rPr>
          <w:rFonts w:hint="eastAsia" w:ascii="仿宋_GB2312" w:eastAsia="仿宋_GB2312"/>
          <w:color w:val="auto"/>
          <w:spacing w:val="0"/>
          <w:sz w:val="32"/>
          <w:szCs w:val="32"/>
          <w:highlight w:val="none"/>
          <w:lang w:eastAsia="zh-CN"/>
        </w:rPr>
        <w:t>直接下达至中标单位，</w:t>
      </w:r>
      <w:r>
        <w:rPr>
          <w:rFonts w:hint="eastAsia" w:ascii="仿宋_GB2312" w:eastAsia="仿宋_GB2312"/>
          <w:color w:val="auto"/>
          <w:spacing w:val="0"/>
          <w:sz w:val="32"/>
          <w:szCs w:val="32"/>
          <w:highlight w:val="none"/>
          <w:lang w:val="en-US" w:eastAsia="zh-CN"/>
        </w:rPr>
        <w:t>决算数据不在我厅反映</w:t>
      </w:r>
      <w:r>
        <w:rPr>
          <w:rFonts w:hint="eastAsia" w:ascii="仿宋_GB2312" w:eastAsia="仿宋_GB2312"/>
          <w:color w:val="auto"/>
          <w:spacing w:val="0"/>
          <w:sz w:val="32"/>
          <w:szCs w:val="32"/>
          <w:highlight w:val="none"/>
          <w:lang w:eastAsia="zh-CN"/>
        </w:rPr>
        <w:t>。</w:t>
      </w:r>
    </w:p>
    <w:p w14:paraId="70CC77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445245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3B47F6E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2023年度一般公共预算财政拨款支出68,492.28万元，占本年支出合计的</w:t>
      </w:r>
      <w:r>
        <w:rPr>
          <w:rFonts w:hint="eastAsia" w:ascii="仿宋_GB2312" w:eastAsia="仿宋_GB2312"/>
          <w:color w:val="auto"/>
          <w:spacing w:val="0"/>
          <w:sz w:val="32"/>
          <w:szCs w:val="32"/>
          <w:highlight w:val="none"/>
          <w:lang w:val="zh-CN" w:eastAsia="zh-CN"/>
        </w:rPr>
        <w:t>86.51%</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增加7,353.50万元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增长12.03%,</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sz w:val="32"/>
          <w:szCs w:val="32"/>
          <w:lang w:eastAsia="zh-CN"/>
        </w:rPr>
        <w:t>一是2023年，因建设自然资源档案库（馆）基础设施建设</w:t>
      </w:r>
      <w:r>
        <w:rPr>
          <w:rFonts w:hint="eastAsia" w:ascii="仿宋_GB2312" w:hAnsi="仿宋" w:eastAsia="仿宋_GB2312" w:cs="Times New Roman"/>
          <w:sz w:val="32"/>
          <w:szCs w:val="32"/>
          <w:lang w:val="en-US" w:eastAsia="zh-CN"/>
        </w:rPr>
        <w:t>财政拨款</w:t>
      </w:r>
      <w:r>
        <w:rPr>
          <w:rFonts w:hint="eastAsia" w:ascii="仿宋_GB2312" w:hAnsi="仿宋" w:eastAsia="仿宋_GB2312" w:cs="Times New Roman"/>
          <w:sz w:val="32"/>
          <w:szCs w:val="32"/>
          <w:lang w:eastAsia="zh-CN"/>
        </w:rPr>
        <w:t>增加</w:t>
      </w:r>
      <w:r>
        <w:rPr>
          <w:rFonts w:hint="eastAsia" w:ascii="仿宋_GB2312" w:hAnsi="仿宋" w:eastAsia="仿宋_GB2312" w:cs="Times New Roman"/>
          <w:sz w:val="32"/>
          <w:szCs w:val="32"/>
          <w:lang w:val="en-US" w:eastAsia="zh-CN"/>
        </w:rPr>
        <w:t>5000万元；二是人员工资调整、年终绩效增加、去世人数增加导致的丧葬费抚恤金增加、新招录人员等财政拨款的人员经费增加2280.83万元；三是有上年结转结余财政资金5557.13万元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77,349.50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68,492.28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-11.45%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2023年，我厅机关《自治区财政出资地质勘查项目》《矿产资源国情调查成果动态更新与质量监控项目》《新疆地质遗迹调查与评价（成果集成及应用研究）》三个项目，合计资金</w:t>
      </w:r>
      <w:r>
        <w:rPr>
          <w:rFonts w:hint="eastAsia" w:ascii="仿宋_GB2312" w:eastAsia="仿宋_GB2312"/>
          <w:color w:val="auto"/>
          <w:spacing w:val="0"/>
          <w:sz w:val="32"/>
          <w:szCs w:val="32"/>
          <w:highlight w:val="none"/>
          <w:lang w:eastAsia="zh-CN"/>
        </w:rPr>
        <w:t>15400万元</w:t>
      </w:r>
      <w:r>
        <w:rPr>
          <w:rFonts w:hint="eastAsia" w:ascii="仿宋_GB2312" w:eastAsia="仿宋_GB2312"/>
          <w:color w:val="auto"/>
          <w:spacing w:val="0"/>
          <w:sz w:val="32"/>
          <w:szCs w:val="32"/>
          <w:highlight w:val="none"/>
          <w:lang w:val="en-US" w:eastAsia="zh-CN"/>
        </w:rPr>
        <w:t>属于</w:t>
      </w:r>
      <w:r>
        <w:rPr>
          <w:rFonts w:hint="eastAsia" w:ascii="仿宋_GB2312" w:eastAsia="仿宋_GB2312"/>
          <w:color w:val="auto"/>
          <w:spacing w:val="0"/>
          <w:sz w:val="32"/>
          <w:szCs w:val="32"/>
          <w:highlight w:val="none"/>
          <w:lang w:eastAsia="zh-CN"/>
        </w:rPr>
        <w:t>待分配项目，财政</w:t>
      </w:r>
      <w:r>
        <w:rPr>
          <w:rFonts w:hint="eastAsia" w:ascii="仿宋_GB2312" w:eastAsia="仿宋_GB2312"/>
          <w:color w:val="auto"/>
          <w:spacing w:val="0"/>
          <w:sz w:val="32"/>
          <w:szCs w:val="32"/>
          <w:highlight w:val="none"/>
          <w:lang w:val="en-US" w:eastAsia="zh-CN"/>
        </w:rPr>
        <w:t>厅</w:t>
      </w:r>
      <w:r>
        <w:rPr>
          <w:rFonts w:hint="eastAsia" w:ascii="仿宋_GB2312" w:eastAsia="仿宋_GB2312"/>
          <w:color w:val="auto"/>
          <w:spacing w:val="0"/>
          <w:sz w:val="32"/>
          <w:szCs w:val="32"/>
          <w:highlight w:val="none"/>
          <w:lang w:eastAsia="zh-CN"/>
        </w:rPr>
        <w:t>直接下达至中标单位，</w:t>
      </w:r>
      <w:r>
        <w:rPr>
          <w:rFonts w:hint="eastAsia" w:ascii="仿宋_GB2312" w:eastAsia="仿宋_GB2312"/>
          <w:color w:val="auto"/>
          <w:spacing w:val="0"/>
          <w:sz w:val="32"/>
          <w:szCs w:val="32"/>
          <w:highlight w:val="none"/>
          <w:lang w:val="en-US" w:eastAsia="zh-CN"/>
        </w:rPr>
        <w:t>决算数据不在我厅反映</w:t>
      </w:r>
      <w:r>
        <w:rPr>
          <w:rFonts w:hint="eastAsia" w:ascii="仿宋_GB2312" w:eastAsia="仿宋_GB2312"/>
          <w:color w:val="auto"/>
          <w:spacing w:val="0"/>
          <w:sz w:val="32"/>
          <w:szCs w:val="32"/>
          <w:highlight w:val="none"/>
          <w:lang w:eastAsia="zh-CN"/>
        </w:rPr>
        <w:t>。</w:t>
      </w:r>
    </w:p>
    <w:p w14:paraId="4608D02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4EF28C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5,679.54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8.29</w:t>
      </w:r>
      <w:r>
        <w:rPr>
          <w:rFonts w:hint="default" w:ascii="仿宋_GB2312" w:hAnsi="Times New Roman" w:eastAsia="仿宋_GB2312" w:cs="Times New Roman"/>
          <w:color w:val="auto"/>
          <w:spacing w:val="0"/>
          <w:kern w:val="2"/>
          <w:sz w:val="32"/>
          <w:szCs w:val="32"/>
          <w:highlight w:val="none"/>
          <w:lang w:val="zh-CN" w:eastAsia="zh-CN" w:bidi="ar-SA"/>
        </w:rPr>
        <w:t>%；</w:t>
      </w:r>
    </w:p>
    <w:p w14:paraId="4FCBE2D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2,561.11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3.74</w:t>
      </w:r>
      <w:r>
        <w:rPr>
          <w:rFonts w:hint="default" w:ascii="仿宋_GB2312" w:hAnsi="Times New Roman" w:eastAsia="仿宋_GB2312" w:cs="Times New Roman"/>
          <w:color w:val="auto"/>
          <w:spacing w:val="0"/>
          <w:kern w:val="2"/>
          <w:sz w:val="32"/>
          <w:szCs w:val="32"/>
          <w:highlight w:val="none"/>
          <w:lang w:val="zh-CN" w:eastAsia="zh-CN" w:bidi="ar-SA"/>
        </w:rPr>
        <w:t>%；</w:t>
      </w:r>
    </w:p>
    <w:p w14:paraId="759C370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节能环保支出（类）</w:t>
      </w:r>
      <w:r>
        <w:rPr>
          <w:rFonts w:hint="eastAsia" w:ascii="仿宋_GB2312" w:hAnsi="Times New Roman" w:eastAsia="仿宋_GB2312" w:cs="Times New Roman"/>
          <w:color w:val="auto"/>
          <w:spacing w:val="0"/>
          <w:kern w:val="2"/>
          <w:sz w:val="32"/>
          <w:szCs w:val="32"/>
          <w:highlight w:val="none"/>
          <w:lang w:val="zh-CN" w:eastAsia="zh-CN" w:bidi="ar-SA"/>
        </w:rPr>
        <w:t>3.62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0.01</w:t>
      </w:r>
      <w:r>
        <w:rPr>
          <w:rFonts w:hint="default" w:ascii="仿宋_GB2312" w:hAnsi="Times New Roman" w:eastAsia="仿宋_GB2312" w:cs="Times New Roman"/>
          <w:color w:val="auto"/>
          <w:spacing w:val="0"/>
          <w:kern w:val="2"/>
          <w:sz w:val="32"/>
          <w:szCs w:val="32"/>
          <w:highlight w:val="none"/>
          <w:lang w:val="zh-CN" w:eastAsia="zh-CN" w:bidi="ar-SA"/>
        </w:rPr>
        <w:t>%；</w:t>
      </w:r>
    </w:p>
    <w:p w14:paraId="536BFD2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50,134.22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73.20</w:t>
      </w:r>
      <w:r>
        <w:rPr>
          <w:rFonts w:hint="default" w:ascii="仿宋_GB2312" w:hAnsi="Times New Roman" w:eastAsia="仿宋_GB2312" w:cs="Times New Roman"/>
          <w:color w:val="auto"/>
          <w:spacing w:val="0"/>
          <w:kern w:val="2"/>
          <w:sz w:val="32"/>
          <w:szCs w:val="32"/>
          <w:highlight w:val="none"/>
          <w:lang w:val="zh-CN" w:eastAsia="zh-CN" w:bidi="ar-SA"/>
        </w:rPr>
        <w:t>%；</w:t>
      </w:r>
    </w:p>
    <w:p w14:paraId="657CBCE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2,153.28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3.14</w:t>
      </w:r>
      <w:r>
        <w:rPr>
          <w:rFonts w:hint="default" w:ascii="仿宋_GB2312" w:hAnsi="Times New Roman" w:eastAsia="仿宋_GB2312" w:cs="Times New Roman"/>
          <w:color w:val="auto"/>
          <w:spacing w:val="0"/>
          <w:kern w:val="2"/>
          <w:sz w:val="32"/>
          <w:szCs w:val="32"/>
          <w:highlight w:val="none"/>
          <w:lang w:val="zh-CN" w:eastAsia="zh-CN" w:bidi="ar-SA"/>
        </w:rPr>
        <w:t>%；</w:t>
      </w:r>
    </w:p>
    <w:p w14:paraId="4D15DF7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害防治及应急管理支出（类）</w:t>
      </w:r>
      <w:r>
        <w:rPr>
          <w:rFonts w:hint="eastAsia" w:ascii="仿宋_GB2312" w:hAnsi="Times New Roman" w:eastAsia="仿宋_GB2312" w:cs="Times New Roman"/>
          <w:color w:val="auto"/>
          <w:spacing w:val="0"/>
          <w:kern w:val="2"/>
          <w:sz w:val="32"/>
          <w:szCs w:val="32"/>
          <w:highlight w:val="none"/>
          <w:lang w:val="zh-CN" w:eastAsia="zh-CN" w:bidi="ar-SA"/>
        </w:rPr>
        <w:t>1,060.00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1.55</w:t>
      </w:r>
      <w:r>
        <w:rPr>
          <w:rFonts w:hint="default" w:ascii="仿宋_GB2312" w:hAnsi="Times New Roman" w:eastAsia="仿宋_GB2312" w:cs="Times New Roman"/>
          <w:color w:val="auto"/>
          <w:spacing w:val="0"/>
          <w:kern w:val="2"/>
          <w:sz w:val="32"/>
          <w:szCs w:val="32"/>
          <w:highlight w:val="none"/>
          <w:lang w:val="zh-CN" w:eastAsia="zh-CN" w:bidi="ar-SA"/>
        </w:rPr>
        <w:t>%；</w:t>
      </w:r>
    </w:p>
    <w:p w14:paraId="10C8122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7</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6,900.52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10.07</w:t>
      </w:r>
      <w:r>
        <w:rPr>
          <w:rFonts w:hint="default" w:ascii="仿宋_GB2312" w:hAnsi="Times New Roman" w:eastAsia="仿宋_GB2312" w:cs="Times New Roman"/>
          <w:color w:val="auto"/>
          <w:spacing w:val="0"/>
          <w:kern w:val="2"/>
          <w:sz w:val="32"/>
          <w:szCs w:val="32"/>
          <w:highlight w:val="none"/>
          <w:lang w:val="zh-CN" w:eastAsia="zh-CN" w:bidi="ar-SA"/>
        </w:rPr>
        <w:t>%；</w:t>
      </w:r>
    </w:p>
    <w:p w14:paraId="7D5A2C6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539682C">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1.卫生健康支出（类）行政事业单位医疗（款）行政单位医疗（项）:支出决算数为747.19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50.36%，主要原因是：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年1月，我厅根据自治区人社厅文件规定，调整了职工社保基数。</w:t>
      </w:r>
    </w:p>
    <w:p w14:paraId="73E346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2.卫生健康支出（类）行政事业单位医疗（款）事业单位医疗（项）:支出决算数为696.72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188.68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37.14%，主要原因是：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年1月，我厅根据自治区人社厅文件规定，调整了职工社保基数。</w:t>
      </w:r>
    </w:p>
    <w:p w14:paraId="1A45B7F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3.卫生健康支出（类）行政事业单位医疗（款）公务员医疗补助（项）:支出决算数为1,117.20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192.99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20.88%，主要原因是：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年1月，我厅根据自治区人社厅文件规定，调整了职工社保基数。</w:t>
      </w:r>
    </w:p>
    <w:p w14:paraId="4FFBC03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4.灾害防治及应急管理支出（类）应急管理事务（款）灾害风险防治（项）:支出决算数为20.00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70.27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77.84%，主要原因是：</w:t>
      </w:r>
      <w:r>
        <w:rPr>
          <w:rFonts w:hint="eastAsia" w:eastAsia="仿宋_GB2312"/>
          <w:sz w:val="32"/>
          <w:szCs w:val="32"/>
        </w:rPr>
        <w:t>2023年</w:t>
      </w:r>
      <w:r>
        <w:rPr>
          <w:rFonts w:hint="eastAsia" w:eastAsia="仿宋_GB2312"/>
          <w:sz w:val="32"/>
          <w:szCs w:val="32"/>
          <w:lang w:eastAsia="zh-CN"/>
        </w:rPr>
        <w:t>，</w:t>
      </w:r>
      <w:r>
        <w:rPr>
          <w:rFonts w:hint="eastAsia" w:eastAsia="仿宋_GB2312" w:cs="Times New Roman"/>
          <w:color w:val="auto"/>
          <w:kern w:val="2"/>
          <w:sz w:val="32"/>
          <w:szCs w:val="32"/>
          <w:highlight w:val="none"/>
          <w:lang w:val="en-US" w:eastAsia="zh-CN" w:bidi="ar-SA"/>
        </w:rPr>
        <w:t>我厅直属单位地环院</w:t>
      </w:r>
      <w:r>
        <w:rPr>
          <w:rFonts w:hint="eastAsia" w:eastAsia="仿宋_GB2312"/>
          <w:sz w:val="32"/>
          <w:szCs w:val="32"/>
        </w:rPr>
        <w:t>财政拨付“自治区第一次全国自然灾害综合风险普查”项目资金较2022年减少35.27万元；2023年财政未拨付“全国自然灾害综合风险普查”项目资金35万元</w:t>
      </w:r>
      <w:r>
        <w:rPr>
          <w:rFonts w:hint="eastAsia" w:eastAsia="仿宋_GB2312" w:cs="Times New Roman"/>
          <w:color w:val="auto"/>
          <w:kern w:val="2"/>
          <w:sz w:val="32"/>
          <w:szCs w:val="32"/>
          <w:highlight w:val="none"/>
          <w:lang w:val="zh-CN" w:eastAsia="zh-CN" w:bidi="ar-SA"/>
        </w:rPr>
        <w:t>。</w:t>
      </w:r>
    </w:p>
    <w:p w14:paraId="4FC81E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5.住房保障支出（类）住房改革支出（款）住房公积金（项）:支出决算数为2,153.28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333.07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18.30%，主要原因是：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7</w:t>
      </w:r>
      <w:r>
        <w:rPr>
          <w:rFonts w:hint="eastAsia" w:ascii="仿宋_GB2312" w:eastAsia="仿宋_GB2312"/>
          <w:sz w:val="32"/>
          <w:szCs w:val="32"/>
        </w:rPr>
        <w:t>月，我厅根据自治区</w:t>
      </w:r>
      <w:r>
        <w:rPr>
          <w:rFonts w:hint="eastAsia" w:ascii="仿宋_GB2312" w:eastAsia="仿宋_GB2312"/>
          <w:sz w:val="32"/>
          <w:szCs w:val="32"/>
          <w:lang w:val="en-US" w:eastAsia="zh-CN"/>
        </w:rPr>
        <w:t>住房公积金管理中心</w:t>
      </w:r>
      <w:r>
        <w:rPr>
          <w:rFonts w:hint="eastAsia" w:ascii="仿宋_GB2312" w:eastAsia="仿宋_GB2312"/>
          <w:sz w:val="32"/>
          <w:szCs w:val="32"/>
        </w:rPr>
        <w:t>文件规定，调整了职工</w:t>
      </w:r>
      <w:r>
        <w:rPr>
          <w:rFonts w:hint="eastAsia" w:ascii="仿宋_GB2312" w:eastAsia="仿宋_GB2312"/>
          <w:sz w:val="32"/>
          <w:szCs w:val="32"/>
          <w:lang w:val="en-US" w:eastAsia="zh-CN"/>
        </w:rPr>
        <w:t>公积金基数</w:t>
      </w:r>
      <w:r>
        <w:rPr>
          <w:rFonts w:hint="eastAsia" w:ascii="仿宋_GB2312" w:eastAsia="仿宋_GB2312"/>
          <w:sz w:val="32"/>
          <w:szCs w:val="32"/>
        </w:rPr>
        <w:t>。</w:t>
      </w:r>
    </w:p>
    <w:p w14:paraId="081F98C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6.灾害防治及应急管理支出（类）自然灾害防治（款）地质灾害防治（项）:支出决算数为1,040.00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275.80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20.96%，主要原因是：</w:t>
      </w:r>
      <w:r>
        <w:rPr>
          <w:rFonts w:hint="eastAsia" w:eastAsia="仿宋_GB2312" w:cs="Times New Roman"/>
          <w:color w:val="auto"/>
          <w:kern w:val="2"/>
          <w:sz w:val="32"/>
          <w:szCs w:val="32"/>
          <w:highlight w:val="none"/>
          <w:lang w:val="en-US" w:eastAsia="zh-CN" w:bidi="ar-SA"/>
        </w:rPr>
        <w:t>2023年，</w:t>
      </w:r>
      <w:r>
        <w:rPr>
          <w:rFonts w:hint="eastAsia" w:eastAsia="仿宋_GB2312"/>
          <w:sz w:val="32"/>
          <w:szCs w:val="32"/>
        </w:rPr>
        <w:t>下达</w:t>
      </w:r>
      <w:r>
        <w:rPr>
          <w:rFonts w:hint="eastAsia" w:eastAsia="仿宋_GB2312"/>
          <w:sz w:val="32"/>
          <w:szCs w:val="32"/>
          <w:lang w:val="en-US" w:eastAsia="zh-CN"/>
        </w:rPr>
        <w:t>我厅</w:t>
      </w:r>
      <w:r>
        <w:rPr>
          <w:rFonts w:hint="eastAsia" w:eastAsia="仿宋_GB2312"/>
          <w:sz w:val="32"/>
          <w:szCs w:val="32"/>
        </w:rPr>
        <w:t>中央2023年自然灾害防治体系建设补助资金较上年有所减少</w:t>
      </w:r>
      <w:r>
        <w:rPr>
          <w:rFonts w:hint="eastAsia" w:eastAsia="仿宋_GB2312" w:cs="Times New Roman"/>
          <w:color w:val="auto"/>
          <w:kern w:val="2"/>
          <w:sz w:val="32"/>
          <w:szCs w:val="32"/>
          <w:highlight w:val="none"/>
          <w:lang w:val="zh-CN" w:eastAsia="zh-CN" w:bidi="ar-SA"/>
        </w:rPr>
        <w:t>。</w:t>
      </w:r>
    </w:p>
    <w:p w14:paraId="658311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7.自然资源海洋气象等支出（类）自然资源事务（款）事业运行（项）:支出决算数为12,088.61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394.28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3.37%，主要原因是：</w:t>
      </w:r>
      <w:r>
        <w:rPr>
          <w:rFonts w:hint="eastAsia" w:ascii="仿宋_GB2312" w:eastAsia="仿宋_GB2312"/>
          <w:sz w:val="32"/>
          <w:szCs w:val="32"/>
        </w:rPr>
        <w:t>一是年中追加丧葬费抚恤金、职业年金、民族团结一家亲结对认亲交通费、访惠聚驻村工作经费；</w:t>
      </w:r>
      <w:r>
        <w:rPr>
          <w:rFonts w:hint="eastAsia" w:ascii="仿宋_GB2312" w:eastAsia="仿宋_GB2312"/>
          <w:sz w:val="32"/>
          <w:szCs w:val="32"/>
          <w:lang w:val="en-US" w:eastAsia="zh-CN"/>
        </w:rPr>
        <w:t>二</w:t>
      </w:r>
      <w:r>
        <w:rPr>
          <w:rFonts w:hint="eastAsia" w:ascii="仿宋_GB2312" w:eastAsia="仿宋_GB2312"/>
          <w:sz w:val="32"/>
          <w:szCs w:val="32"/>
        </w:rPr>
        <w:t>是调增基本工资、2021年年度考核奖励资金、基础绩效奖等</w:t>
      </w:r>
      <w:r>
        <w:rPr>
          <w:rFonts w:hint="eastAsia" w:eastAsia="仿宋_GB2312" w:cs="Times New Roman"/>
          <w:color w:val="auto"/>
          <w:kern w:val="2"/>
          <w:sz w:val="32"/>
          <w:szCs w:val="32"/>
          <w:highlight w:val="none"/>
          <w:lang w:val="zh-CN" w:eastAsia="zh-CN" w:bidi="ar-SA"/>
        </w:rPr>
        <w:t>。</w:t>
      </w:r>
    </w:p>
    <w:p w14:paraId="7103DDD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8.社会保障和就业支出（类）行政事业单位养老支出（款）事业单位离退休（项）:支出决算数为1,005.86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268.36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21.06%，主要原因是：</w:t>
      </w:r>
      <w:r>
        <w:rPr>
          <w:rFonts w:hint="eastAsia" w:ascii="Times New Roman" w:hAnsi="Times New Roman" w:eastAsia="仿宋_GB2312" w:cs="Times New Roman"/>
          <w:color w:val="auto"/>
          <w:kern w:val="2"/>
          <w:sz w:val="32"/>
          <w:szCs w:val="32"/>
          <w:highlight w:val="none"/>
          <w:lang w:val="zh-CN" w:eastAsia="zh-CN" w:bidi="ar-SA"/>
        </w:rPr>
        <w:t>2023年年末</w:t>
      </w:r>
      <w:r>
        <w:rPr>
          <w:rFonts w:hint="eastAsia" w:eastAsia="仿宋_GB2312" w:cs="Times New Roman"/>
          <w:color w:val="auto"/>
          <w:kern w:val="2"/>
          <w:sz w:val="32"/>
          <w:szCs w:val="32"/>
          <w:highlight w:val="none"/>
          <w:lang w:val="en-US" w:eastAsia="zh-CN" w:bidi="ar-SA"/>
        </w:rPr>
        <w:t>财政</w:t>
      </w:r>
      <w:r>
        <w:rPr>
          <w:rFonts w:hint="eastAsia" w:ascii="Times New Roman" w:hAnsi="Times New Roman" w:eastAsia="仿宋_GB2312" w:cs="Times New Roman"/>
          <w:color w:val="auto"/>
          <w:kern w:val="2"/>
          <w:sz w:val="32"/>
          <w:szCs w:val="32"/>
          <w:highlight w:val="none"/>
          <w:lang w:val="zh-CN" w:eastAsia="zh-CN" w:bidi="ar-SA"/>
        </w:rPr>
        <w:t>全额收回医疗费补助</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2023年</w:t>
      </w:r>
      <w:r>
        <w:rPr>
          <w:rFonts w:hint="eastAsia" w:ascii="仿宋_GB2312" w:eastAsia="仿宋_GB2312"/>
          <w:sz w:val="32"/>
          <w:szCs w:val="32"/>
          <w:highlight w:val="none"/>
        </w:rPr>
        <w:t>退休人员绩效奖支出</w:t>
      </w:r>
      <w:r>
        <w:rPr>
          <w:rFonts w:hint="eastAsia" w:ascii="仿宋_GB2312" w:eastAsia="仿宋_GB2312"/>
          <w:sz w:val="32"/>
          <w:szCs w:val="32"/>
          <w:highlight w:val="none"/>
          <w:lang w:val="en-US" w:eastAsia="zh-CN"/>
        </w:rPr>
        <w:t>增加，两者抵消以后较上年相比处于下降水平</w:t>
      </w:r>
      <w:r>
        <w:rPr>
          <w:rFonts w:hint="eastAsia" w:eastAsia="仿宋_GB2312" w:cs="Times New Roman"/>
          <w:color w:val="auto"/>
          <w:kern w:val="2"/>
          <w:sz w:val="32"/>
          <w:szCs w:val="32"/>
          <w:highlight w:val="none"/>
          <w:lang w:val="zh-CN" w:eastAsia="zh-CN" w:bidi="ar-SA"/>
        </w:rPr>
        <w:t>。</w:t>
      </w:r>
    </w:p>
    <w:p w14:paraId="55F0A4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9.节能环保支出（类）环境保护管理事务（款）行政运行（项）:支出决算数为3.62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新源县国土资源执法监察大队</w:t>
      </w:r>
      <w:r>
        <w:rPr>
          <w:rFonts w:hint="eastAsia" w:eastAsia="仿宋_GB2312" w:cs="Times New Roman"/>
          <w:color w:val="auto"/>
          <w:kern w:val="2"/>
          <w:sz w:val="32"/>
          <w:szCs w:val="32"/>
          <w:highlight w:val="none"/>
          <w:lang w:val="en-US" w:eastAsia="zh-CN" w:bidi="ar-SA"/>
        </w:rPr>
        <w:t>将3.62万元支错科目</w:t>
      </w:r>
      <w:r>
        <w:rPr>
          <w:rFonts w:hint="eastAsia" w:eastAsia="仿宋_GB2312" w:cs="Times New Roman"/>
          <w:color w:val="auto"/>
          <w:kern w:val="2"/>
          <w:sz w:val="32"/>
          <w:szCs w:val="32"/>
          <w:highlight w:val="none"/>
          <w:lang w:val="zh-CN" w:eastAsia="zh-CN" w:bidi="ar-SA"/>
        </w:rPr>
        <w:t>。</w:t>
      </w:r>
    </w:p>
    <w:p w14:paraId="096B2C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10.社会保障和就业支出（类）行政事业单位养老支出（款）行政单位离退休（项）:支出决算数为996.63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319.66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24.28%，主要原因是：</w:t>
      </w:r>
      <w:r>
        <w:rPr>
          <w:rFonts w:hint="eastAsia" w:ascii="Times New Roman" w:hAnsi="Times New Roman" w:eastAsia="仿宋_GB2312" w:cs="Times New Roman"/>
          <w:color w:val="auto"/>
          <w:kern w:val="2"/>
          <w:sz w:val="32"/>
          <w:szCs w:val="32"/>
          <w:highlight w:val="none"/>
          <w:lang w:val="zh-CN" w:eastAsia="zh-CN" w:bidi="ar-SA"/>
        </w:rPr>
        <w:t>2023年年末</w:t>
      </w:r>
      <w:r>
        <w:rPr>
          <w:rFonts w:hint="eastAsia" w:eastAsia="仿宋_GB2312" w:cs="Times New Roman"/>
          <w:color w:val="auto"/>
          <w:kern w:val="2"/>
          <w:sz w:val="32"/>
          <w:szCs w:val="32"/>
          <w:highlight w:val="none"/>
          <w:lang w:val="en-US" w:eastAsia="zh-CN" w:bidi="ar-SA"/>
        </w:rPr>
        <w:t>财政</w:t>
      </w:r>
      <w:r>
        <w:rPr>
          <w:rFonts w:hint="eastAsia" w:ascii="Times New Roman" w:hAnsi="Times New Roman" w:eastAsia="仿宋_GB2312" w:cs="Times New Roman"/>
          <w:color w:val="auto"/>
          <w:kern w:val="2"/>
          <w:sz w:val="32"/>
          <w:szCs w:val="32"/>
          <w:highlight w:val="none"/>
          <w:lang w:val="zh-CN" w:eastAsia="zh-CN" w:bidi="ar-SA"/>
        </w:rPr>
        <w:t>全额收回医疗费补助</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2023年</w:t>
      </w:r>
      <w:r>
        <w:rPr>
          <w:rFonts w:hint="eastAsia" w:ascii="仿宋_GB2312" w:eastAsia="仿宋_GB2312"/>
          <w:sz w:val="32"/>
          <w:szCs w:val="32"/>
          <w:highlight w:val="none"/>
        </w:rPr>
        <w:t>退休人员绩效奖支出</w:t>
      </w:r>
      <w:r>
        <w:rPr>
          <w:rFonts w:hint="eastAsia" w:ascii="仿宋_GB2312" w:eastAsia="仿宋_GB2312"/>
          <w:sz w:val="32"/>
          <w:szCs w:val="32"/>
          <w:highlight w:val="none"/>
          <w:lang w:val="en-US" w:eastAsia="zh-CN"/>
        </w:rPr>
        <w:t>增加，两者抵消以后较上年相比处于下降水平</w:t>
      </w:r>
      <w:r>
        <w:rPr>
          <w:rFonts w:hint="eastAsia" w:eastAsia="仿宋_GB2312" w:cs="Times New Roman"/>
          <w:color w:val="auto"/>
          <w:kern w:val="2"/>
          <w:sz w:val="32"/>
          <w:szCs w:val="32"/>
          <w:highlight w:val="none"/>
          <w:lang w:val="zh-CN" w:eastAsia="zh-CN" w:bidi="ar-SA"/>
        </w:rPr>
        <w:t>。</w:t>
      </w:r>
    </w:p>
    <w:p w14:paraId="044A21F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11.社会保障和就业支出（类）行政事业单位养老支出（款）机关事业单位职业年金缴费支出（项）:支出决算数为846.60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703.91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493.29%，主要原因是：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年1月，我厅根据自治区人社厅文件规定，调整了职工社保基数</w:t>
      </w:r>
      <w:r>
        <w:rPr>
          <w:rFonts w:hint="eastAsia" w:ascii="仿宋_GB2312" w:eastAsia="仿宋_GB2312"/>
          <w:sz w:val="32"/>
          <w:szCs w:val="32"/>
          <w:lang w:eastAsia="zh-CN"/>
        </w:rPr>
        <w:t>，且新增退休人员职业年金缴费坐实，合计</w:t>
      </w:r>
      <w:r>
        <w:rPr>
          <w:rFonts w:hint="eastAsia" w:ascii="Times New Roman" w:hAnsi="Times New Roman" w:eastAsia="仿宋_GB2312" w:cs="Times New Roman"/>
          <w:color w:val="auto"/>
          <w:kern w:val="2"/>
          <w:sz w:val="32"/>
          <w:szCs w:val="32"/>
          <w:highlight w:val="none"/>
          <w:lang w:val="en-US" w:eastAsia="zh-CN" w:bidi="ar-SA"/>
        </w:rPr>
        <w:t>职业年金缴费支出</w:t>
      </w:r>
      <w:r>
        <w:rPr>
          <w:rFonts w:hint="eastAsia" w:eastAsia="仿宋_GB2312" w:cs="Times New Roman"/>
          <w:color w:val="auto"/>
          <w:kern w:val="2"/>
          <w:sz w:val="32"/>
          <w:szCs w:val="32"/>
          <w:highlight w:val="none"/>
          <w:lang w:val="en-US" w:eastAsia="zh-CN" w:bidi="ar-SA"/>
        </w:rPr>
        <w:t>较上年增加</w:t>
      </w:r>
      <w:r>
        <w:rPr>
          <w:rFonts w:hint="eastAsia" w:eastAsia="仿宋_GB2312" w:cs="Times New Roman"/>
          <w:color w:val="auto"/>
          <w:kern w:val="2"/>
          <w:sz w:val="32"/>
          <w:szCs w:val="32"/>
          <w:highlight w:val="none"/>
          <w:lang w:val="zh-CN" w:eastAsia="zh-CN" w:bidi="ar-SA"/>
        </w:rPr>
        <w:t>。</w:t>
      </w:r>
    </w:p>
    <w:p w14:paraId="7E9EAC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12.社会保障和就业支出（类）行政事业单位养老支出（款）机关事业单位基本养老保险缴费支出（项）:支出决算数为2,830.44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431.96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18.01%，主要原因是：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年1月，我厅根据自治区人社厅文件规定，调整了职工社保基数</w:t>
      </w:r>
      <w:r>
        <w:rPr>
          <w:rFonts w:hint="eastAsia" w:eastAsia="仿宋_GB2312" w:cs="Times New Roman"/>
          <w:color w:val="auto"/>
          <w:kern w:val="2"/>
          <w:sz w:val="32"/>
          <w:szCs w:val="32"/>
          <w:highlight w:val="none"/>
          <w:lang w:val="zh-CN" w:eastAsia="zh-CN" w:bidi="ar-SA"/>
        </w:rPr>
        <w:t>。</w:t>
      </w:r>
    </w:p>
    <w:p w14:paraId="7E82DFE3">
      <w:pPr>
        <w:ind w:firstLine="640" w:firstLineChars="200"/>
        <w:outlineLvl w:val="1"/>
        <w:rPr>
          <w:rFonts w:hint="default" w:eastAsia="仿宋_GB2312"/>
          <w:sz w:val="32"/>
          <w:szCs w:val="32"/>
          <w:lang w:val="en-US" w:eastAsia="zh-CN"/>
        </w:rPr>
      </w:pPr>
      <w:r>
        <w:rPr>
          <w:rFonts w:hint="eastAsia" w:ascii="仿宋_GB2312" w:eastAsia="仿宋_GB2312"/>
          <w:sz w:val="32"/>
          <w:szCs w:val="32"/>
          <w:lang w:val="en-US" w:eastAsia="zh-CN"/>
        </w:rPr>
        <w:t>13.自然资源海洋气象等支出（类）自然资源事务（款）机关服务（项）:支出决算数为230.54万元，比上年决算减少17.44万元，下降7.03%，主要原因是：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w:t>
      </w:r>
      <w:r>
        <w:rPr>
          <w:rFonts w:hint="eastAsia" w:ascii="仿宋_GB2312" w:eastAsia="仿宋_GB2312"/>
          <w:sz w:val="32"/>
          <w:szCs w:val="32"/>
          <w:lang w:eastAsia="zh-CN"/>
        </w:rPr>
        <w:t>，</w:t>
      </w:r>
      <w:r>
        <w:rPr>
          <w:rFonts w:hint="eastAsia" w:ascii="仿宋_GB2312" w:eastAsia="仿宋_GB2312"/>
          <w:sz w:val="32"/>
          <w:szCs w:val="32"/>
          <w:lang w:val="en-US" w:eastAsia="zh-CN"/>
        </w:rPr>
        <w:t>我厅直属单位机关服务中心</w:t>
      </w:r>
      <w:r>
        <w:rPr>
          <w:rFonts w:hint="eastAsia" w:ascii="仿宋_GB2312" w:eastAsia="仿宋_GB2312"/>
          <w:sz w:val="32"/>
          <w:szCs w:val="32"/>
        </w:rPr>
        <w:t>在职人员</w:t>
      </w:r>
      <w:r>
        <w:rPr>
          <w:rFonts w:hint="eastAsia" w:ascii="仿宋_GB2312" w:eastAsia="仿宋_GB2312"/>
          <w:sz w:val="32"/>
          <w:szCs w:val="32"/>
          <w:lang w:val="en-US" w:eastAsia="zh-CN"/>
        </w:rPr>
        <w:t>工资福利支出较上年度减少了25.78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2023年在职人员转退休2人</w:t>
      </w:r>
      <w:r>
        <w:rPr>
          <w:rFonts w:hint="eastAsia" w:ascii="仿宋_GB2312" w:eastAsia="仿宋_GB2312"/>
          <w:sz w:val="32"/>
          <w:szCs w:val="32"/>
          <w:lang w:eastAsia="zh-CN"/>
        </w:rPr>
        <w:t>）；</w:t>
      </w:r>
      <w:r>
        <w:rPr>
          <w:rFonts w:hint="eastAsia" w:ascii="仿宋_GB2312" w:eastAsia="仿宋_GB2312"/>
          <w:sz w:val="32"/>
          <w:szCs w:val="32"/>
        </w:rPr>
        <w:t>公用经费</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4.88</w:t>
      </w:r>
      <w:r>
        <w:rPr>
          <w:rFonts w:hint="eastAsia" w:ascii="仿宋_GB2312" w:eastAsia="仿宋_GB2312"/>
          <w:sz w:val="32"/>
          <w:szCs w:val="32"/>
        </w:rPr>
        <w:t>万元（</w:t>
      </w:r>
      <w:r>
        <w:rPr>
          <w:rFonts w:hint="eastAsia" w:ascii="仿宋_GB2312" w:eastAsia="仿宋_GB2312"/>
          <w:sz w:val="32"/>
          <w:szCs w:val="32"/>
          <w:lang w:val="en-US" w:eastAsia="zh-CN"/>
        </w:rPr>
        <w:t>办公费增加了0.13万元、</w:t>
      </w:r>
      <w:r>
        <w:rPr>
          <w:rFonts w:hint="eastAsia" w:ascii="仿宋_GB2312" w:eastAsia="仿宋_GB2312"/>
          <w:sz w:val="32"/>
          <w:szCs w:val="32"/>
        </w:rPr>
        <w:t>水电费增加了</w:t>
      </w:r>
      <w:r>
        <w:rPr>
          <w:rFonts w:hint="eastAsia" w:ascii="仿宋_GB2312" w:eastAsia="仿宋_GB2312"/>
          <w:sz w:val="32"/>
          <w:szCs w:val="32"/>
          <w:lang w:val="en-US" w:eastAsia="zh-CN"/>
        </w:rPr>
        <w:t>2.33</w:t>
      </w:r>
      <w:r>
        <w:rPr>
          <w:rFonts w:hint="eastAsia" w:ascii="仿宋_GB2312" w:eastAsia="仿宋_GB2312"/>
          <w:sz w:val="32"/>
          <w:szCs w:val="32"/>
        </w:rPr>
        <w:t>万元、邮电费增加了</w:t>
      </w:r>
      <w:r>
        <w:rPr>
          <w:rFonts w:hint="eastAsia" w:ascii="仿宋_GB2312" w:eastAsia="仿宋_GB2312"/>
          <w:sz w:val="32"/>
          <w:szCs w:val="32"/>
          <w:lang w:val="en-US" w:eastAsia="zh-CN"/>
        </w:rPr>
        <w:t>0.02</w:t>
      </w:r>
      <w:r>
        <w:rPr>
          <w:rFonts w:hint="eastAsia" w:ascii="仿宋_GB2312" w:eastAsia="仿宋_GB2312"/>
          <w:sz w:val="32"/>
          <w:szCs w:val="32"/>
        </w:rPr>
        <w:t>万元、工会经费及福利费增加了</w:t>
      </w:r>
      <w:r>
        <w:rPr>
          <w:rFonts w:hint="eastAsia" w:ascii="仿宋_GB2312" w:eastAsia="仿宋_GB2312"/>
          <w:sz w:val="32"/>
          <w:szCs w:val="32"/>
          <w:lang w:val="en-US" w:eastAsia="zh-CN"/>
        </w:rPr>
        <w:t>0.4</w:t>
      </w:r>
      <w:r>
        <w:rPr>
          <w:rFonts w:hint="eastAsia" w:ascii="仿宋_GB2312" w:eastAsia="仿宋_GB2312"/>
          <w:sz w:val="32"/>
          <w:szCs w:val="32"/>
        </w:rPr>
        <w:t>万元、培训费增加了</w:t>
      </w:r>
      <w:r>
        <w:rPr>
          <w:rFonts w:hint="eastAsia" w:ascii="仿宋_GB2312" w:eastAsia="仿宋_GB2312"/>
          <w:sz w:val="32"/>
          <w:szCs w:val="32"/>
          <w:lang w:val="en-US" w:eastAsia="zh-CN"/>
        </w:rPr>
        <w:t>0.43</w:t>
      </w:r>
      <w:r>
        <w:rPr>
          <w:rFonts w:hint="eastAsia" w:ascii="仿宋_GB2312" w:eastAsia="仿宋_GB2312"/>
          <w:sz w:val="32"/>
          <w:szCs w:val="32"/>
        </w:rPr>
        <w:t>万元、差旅费</w:t>
      </w:r>
      <w:r>
        <w:rPr>
          <w:rFonts w:hint="eastAsia" w:ascii="仿宋_GB2312" w:eastAsia="仿宋_GB2312"/>
          <w:sz w:val="32"/>
          <w:szCs w:val="32"/>
          <w:lang w:val="en-US"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0.99</w:t>
      </w:r>
      <w:r>
        <w:rPr>
          <w:rFonts w:hint="eastAsia" w:ascii="仿宋_GB2312" w:eastAsia="仿宋_GB2312"/>
          <w:sz w:val="32"/>
          <w:szCs w:val="32"/>
        </w:rPr>
        <w:t>万元、</w:t>
      </w:r>
      <w:r>
        <w:rPr>
          <w:rFonts w:hint="eastAsia" w:ascii="仿宋_GB2312" w:eastAsia="仿宋_GB2312"/>
          <w:sz w:val="32"/>
          <w:szCs w:val="32"/>
          <w:lang w:val="en-US" w:eastAsia="zh-CN"/>
        </w:rPr>
        <w:t>其他交通费增加3.58万元、公务用车运行维护费减少5.5万元、取暖费减少4.02万元、</w:t>
      </w:r>
      <w:r>
        <w:rPr>
          <w:rFonts w:hint="eastAsia" w:ascii="仿宋_GB2312" w:eastAsia="仿宋_GB2312"/>
          <w:sz w:val="32"/>
          <w:szCs w:val="32"/>
        </w:rPr>
        <w:t>其他商品和服务支出</w:t>
      </w:r>
      <w:r>
        <w:rPr>
          <w:rFonts w:hint="eastAsia" w:ascii="仿宋_GB2312" w:eastAsia="仿宋_GB2312"/>
          <w:sz w:val="32"/>
          <w:szCs w:val="32"/>
          <w:lang w:val="en-US" w:eastAsia="zh-CN"/>
        </w:rPr>
        <w:t>减少3.24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对个人和家庭补助支出增加了13.22万元（2023年度在职人员病逝一名增加的抚恤金）综上所述，机关服务支出较上年减少。</w:t>
      </w:r>
    </w:p>
    <w:p w14:paraId="78DA7CC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FF"/>
          <w:kern w:val="2"/>
          <w:sz w:val="32"/>
          <w:szCs w:val="32"/>
          <w:highlight w:val="none"/>
          <w:lang w:val="zh-CN" w:eastAsia="zh-CN" w:bidi="ar-SA"/>
        </w:rPr>
      </w:pPr>
      <w:r>
        <w:rPr>
          <w:rFonts w:hint="eastAsia" w:ascii="仿宋_GB2312" w:hAnsi="仿宋_GB2312" w:eastAsia="仿宋_GB2312" w:cs="仿宋_GB2312"/>
          <w:sz w:val="32"/>
          <w:szCs w:val="32"/>
          <w:lang w:val="en-US" w:eastAsia="zh-CN"/>
        </w:rPr>
        <w:t>14.自然资源海洋气象等支出（类）自然资源事务（款）地质勘查与矿产资源管理（项）:支出决算数为372.56万元，比上年决算减少617.31万元，下降62.36%，主要原因是：我厅本级待分配地质勘查与矿产资源管理资金</w:t>
      </w:r>
      <w:r>
        <w:rPr>
          <w:rFonts w:hint="eastAsia" w:ascii="仿宋_GB2312" w:hAnsi="仿宋_GB2312" w:eastAsia="仿宋_GB2312" w:cs="仿宋_GB2312"/>
          <w:color w:val="auto"/>
          <w:kern w:val="2"/>
          <w:sz w:val="32"/>
          <w:szCs w:val="32"/>
          <w:highlight w:val="none"/>
          <w:lang w:val="en-US" w:eastAsia="zh-CN" w:bidi="ar-SA"/>
        </w:rPr>
        <w:t>较上年减少。</w:t>
      </w:r>
    </w:p>
    <w:p w14:paraId="7937830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15.自然资源海洋气象等支出（类）自然资源事务（款）自然资源规划及管理（项）:支出决算数为1,520.08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142.24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8.56%，主要原因是：</w:t>
      </w:r>
      <w:r>
        <w:rPr>
          <w:rFonts w:eastAsia="仿宋_GB2312"/>
          <w:sz w:val="32"/>
          <w:szCs w:val="32"/>
        </w:rPr>
        <w:t>2023年</w:t>
      </w:r>
      <w:r>
        <w:rPr>
          <w:rFonts w:hint="eastAsia" w:eastAsia="仿宋_GB2312"/>
          <w:sz w:val="32"/>
          <w:szCs w:val="32"/>
          <w:lang w:eastAsia="zh-CN"/>
        </w:rPr>
        <w:t>，</w:t>
      </w:r>
      <w:r>
        <w:rPr>
          <w:rFonts w:hint="eastAsia" w:eastAsia="仿宋_GB2312"/>
          <w:sz w:val="32"/>
          <w:szCs w:val="32"/>
          <w:lang w:val="en-US" w:eastAsia="zh-CN"/>
        </w:rPr>
        <w:t>我厅空间规划研究</w:t>
      </w:r>
      <w:r>
        <w:rPr>
          <w:rFonts w:eastAsia="仿宋_GB2312"/>
          <w:sz w:val="32"/>
          <w:szCs w:val="32"/>
        </w:rPr>
        <w:t>中心</w:t>
      </w:r>
      <w:r>
        <w:rPr>
          <w:rFonts w:hint="eastAsia" w:eastAsia="仿宋_GB2312"/>
          <w:sz w:val="32"/>
          <w:szCs w:val="32"/>
          <w:lang w:val="en-US" w:eastAsia="zh-CN"/>
        </w:rPr>
        <w:t>和改革发展研究中心根据</w:t>
      </w:r>
      <w:r>
        <w:rPr>
          <w:rFonts w:eastAsia="仿宋_GB2312"/>
          <w:sz w:val="32"/>
          <w:szCs w:val="32"/>
        </w:rPr>
        <w:t>工作安排，</w:t>
      </w:r>
      <w:r>
        <w:rPr>
          <w:rFonts w:hint="eastAsia" w:eastAsia="仿宋_GB2312"/>
          <w:sz w:val="32"/>
          <w:szCs w:val="32"/>
          <w:lang w:val="en-US" w:eastAsia="zh-CN"/>
        </w:rPr>
        <w:t>减少该类别</w:t>
      </w:r>
      <w:r>
        <w:rPr>
          <w:rFonts w:eastAsia="仿宋_GB2312"/>
          <w:sz w:val="32"/>
          <w:szCs w:val="32"/>
        </w:rPr>
        <w:t>项目资金</w:t>
      </w:r>
      <w:r>
        <w:rPr>
          <w:rFonts w:hint="eastAsia" w:eastAsia="仿宋_GB2312" w:cs="Times New Roman"/>
          <w:color w:val="auto"/>
          <w:kern w:val="2"/>
          <w:sz w:val="32"/>
          <w:szCs w:val="32"/>
          <w:highlight w:val="none"/>
          <w:lang w:val="zh-CN" w:eastAsia="zh-CN" w:bidi="ar-SA"/>
        </w:rPr>
        <w:t>。</w:t>
      </w:r>
    </w:p>
    <w:p w14:paraId="0118BDB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16.自然资源海洋气象等支出（类）自然资源事务（款）自然资源利用与保护（项）:支出决算数为2,491.16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535.24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27.37%，主要原因是：</w:t>
      </w:r>
      <w:r>
        <w:rPr>
          <w:rFonts w:hint="eastAsia" w:eastAsia="仿宋_GB2312" w:cs="Times New Roman"/>
          <w:color w:val="auto"/>
          <w:kern w:val="2"/>
          <w:sz w:val="32"/>
          <w:szCs w:val="32"/>
          <w:highlight w:val="none"/>
          <w:lang w:val="en-US" w:eastAsia="zh-CN" w:bidi="ar-SA"/>
        </w:rPr>
        <w:t>2023年，我厅直属单位整治中心</w:t>
      </w:r>
      <w:r>
        <w:rPr>
          <w:rFonts w:hint="eastAsia" w:ascii="仿宋_GB2312" w:eastAsia="仿宋_GB2312"/>
          <w:sz w:val="32"/>
          <w:szCs w:val="32"/>
          <w:lang w:val="zh-CN"/>
        </w:rPr>
        <w:t>增加全域土地综合整治试点项目</w:t>
      </w:r>
      <w:r>
        <w:rPr>
          <w:rFonts w:hint="eastAsia" w:eastAsia="仿宋_GB2312" w:cs="Times New Roman"/>
          <w:color w:val="auto"/>
          <w:kern w:val="2"/>
          <w:sz w:val="32"/>
          <w:szCs w:val="32"/>
          <w:highlight w:val="none"/>
          <w:lang w:val="zh-CN" w:eastAsia="zh-CN" w:bidi="ar-SA"/>
        </w:rPr>
        <w:t>。</w:t>
      </w:r>
    </w:p>
    <w:p w14:paraId="440212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17.自然资源海洋气象等支出（类）自然资源事务（款）其他自然资源事务支出（项）:支出决算数为15,893.59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1,646.68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9.39%，主要原因是：</w:t>
      </w:r>
      <w:r>
        <w:rPr>
          <w:rFonts w:hint="eastAsia" w:ascii="仿宋_GB2312" w:eastAsia="仿宋_GB2312"/>
          <w:sz w:val="32"/>
          <w:szCs w:val="32"/>
          <w:lang w:val="en-US" w:eastAsia="zh-CN"/>
        </w:rPr>
        <w:t>一</w:t>
      </w:r>
      <w:r>
        <w:rPr>
          <w:rFonts w:hint="eastAsia" w:ascii="仿宋_GB2312" w:eastAsia="仿宋_GB2312"/>
          <w:sz w:val="32"/>
          <w:szCs w:val="32"/>
        </w:rPr>
        <w:t>是自治区财政厅减少项目经费拨款；</w:t>
      </w:r>
      <w:r>
        <w:rPr>
          <w:rFonts w:hint="eastAsia" w:ascii="仿宋_GB2312" w:eastAsia="仿宋_GB2312"/>
          <w:sz w:val="32"/>
          <w:szCs w:val="32"/>
          <w:lang w:val="en-US" w:eastAsia="zh-CN"/>
        </w:rPr>
        <w:t>二</w:t>
      </w:r>
      <w:r>
        <w:rPr>
          <w:rFonts w:hint="eastAsia" w:ascii="仿宋_GB2312" w:eastAsia="仿宋_GB2312"/>
          <w:sz w:val="32"/>
          <w:szCs w:val="32"/>
        </w:rPr>
        <w:t>是我厅直属单位承担的中央项目拨款减少</w:t>
      </w:r>
      <w:r>
        <w:rPr>
          <w:rFonts w:hint="eastAsia" w:eastAsia="仿宋_GB2312" w:cs="Times New Roman"/>
          <w:color w:val="auto"/>
          <w:kern w:val="2"/>
          <w:sz w:val="32"/>
          <w:szCs w:val="32"/>
          <w:highlight w:val="none"/>
          <w:lang w:val="zh-CN" w:eastAsia="zh-CN" w:bidi="ar-SA"/>
        </w:rPr>
        <w:t>。</w:t>
      </w:r>
    </w:p>
    <w:p w14:paraId="6E632FEF">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18.自然资源海洋气象等支出（类）自然资源事务（款）行政运行（项）:支出决算数为13,735.46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388.56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2.91%，主要原因是：</w:t>
      </w:r>
      <w:r>
        <w:rPr>
          <w:rFonts w:hint="eastAsia" w:ascii="仿宋_GB2312" w:eastAsia="仿宋_GB2312"/>
          <w:sz w:val="32"/>
          <w:szCs w:val="32"/>
        </w:rPr>
        <w:t>一是</w:t>
      </w:r>
      <w:r>
        <w:rPr>
          <w:rFonts w:hint="eastAsia" w:eastAsia="仿宋_GB2312" w:cs="Times New Roman"/>
          <w:color w:val="auto"/>
          <w:kern w:val="2"/>
          <w:sz w:val="32"/>
          <w:szCs w:val="32"/>
          <w:highlight w:val="none"/>
          <w:lang w:val="en-US" w:eastAsia="zh-CN" w:bidi="ar-SA"/>
        </w:rPr>
        <w:t>我厅机关及总队系统</w:t>
      </w:r>
      <w:r>
        <w:rPr>
          <w:rFonts w:hint="eastAsia" w:ascii="仿宋_GB2312" w:eastAsia="仿宋_GB2312"/>
          <w:sz w:val="32"/>
          <w:szCs w:val="32"/>
        </w:rPr>
        <w:t>新招录人员或调入人员；二是年中追加丧葬费抚恤金、职业年金、民族团结一家亲结对认亲交通费、访惠聚驻村工作经费；三是调增基本工资、2021年年度考核奖励资金、基础绩效奖等</w:t>
      </w:r>
      <w:r>
        <w:rPr>
          <w:rFonts w:hint="eastAsia" w:eastAsia="仿宋_GB2312" w:cs="Times New Roman"/>
          <w:color w:val="auto"/>
          <w:kern w:val="2"/>
          <w:sz w:val="32"/>
          <w:szCs w:val="32"/>
          <w:highlight w:val="none"/>
          <w:lang w:val="zh-CN" w:eastAsia="zh-CN" w:bidi="ar-SA"/>
        </w:rPr>
        <w:t>。</w:t>
      </w:r>
    </w:p>
    <w:p w14:paraId="53A4857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19.自然资源海洋气象等支出（类）自然资源事务（款）自然资源社会公益服务（项）:支出决算数为2,957.83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498.32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20.26%，主要原因是：</w:t>
      </w:r>
      <w:r>
        <w:rPr>
          <w:rFonts w:hint="eastAsia" w:eastAsia="仿宋_GB2312" w:cs="Times New Roman"/>
          <w:color w:val="auto"/>
          <w:kern w:val="2"/>
          <w:sz w:val="32"/>
          <w:szCs w:val="32"/>
          <w:highlight w:val="none"/>
          <w:lang w:val="en-US" w:eastAsia="zh-CN" w:bidi="ar-SA"/>
        </w:rPr>
        <w:t>我厅直属单位信息中心、综合整治中心</w:t>
      </w:r>
      <w:r>
        <w:rPr>
          <w:rFonts w:hint="eastAsia" w:ascii="仿宋_GB2312" w:eastAsia="仿宋_GB2312"/>
          <w:sz w:val="32"/>
          <w:szCs w:val="32"/>
        </w:rPr>
        <w:t>财政项目支出较2022年增加</w:t>
      </w:r>
      <w:r>
        <w:rPr>
          <w:rFonts w:hint="eastAsia" w:eastAsia="仿宋_GB2312" w:cs="Times New Roman"/>
          <w:color w:val="auto"/>
          <w:kern w:val="2"/>
          <w:sz w:val="32"/>
          <w:szCs w:val="32"/>
          <w:highlight w:val="none"/>
          <w:lang w:val="zh-CN" w:eastAsia="zh-CN" w:bidi="ar-SA"/>
        </w:rPr>
        <w:t>。</w:t>
      </w:r>
    </w:p>
    <w:p w14:paraId="11CE1A2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20.自然资源海洋气象等支出（类）自然资源事务（款）自然资源行业业务管理（项）:支出决算数为149.39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0.49%，主要原因是：</w:t>
      </w:r>
      <w:r>
        <w:rPr>
          <w:rFonts w:hint="eastAsia" w:eastAsia="仿宋_GB2312" w:cs="Times New Roman"/>
          <w:color w:val="auto"/>
          <w:kern w:val="2"/>
          <w:sz w:val="32"/>
          <w:szCs w:val="32"/>
          <w:highlight w:val="none"/>
          <w:lang w:val="en-US" w:eastAsia="zh-CN" w:bidi="ar-SA"/>
        </w:rPr>
        <w:t>2023年没有特殊情况，我厅培训业务正常开展，业务费用较2022年增加</w:t>
      </w:r>
      <w:r>
        <w:rPr>
          <w:rFonts w:hint="eastAsia" w:eastAsia="仿宋_GB2312" w:cs="Times New Roman"/>
          <w:color w:val="auto"/>
          <w:kern w:val="2"/>
          <w:sz w:val="32"/>
          <w:szCs w:val="32"/>
          <w:highlight w:val="none"/>
          <w:lang w:val="zh-CN" w:eastAsia="zh-CN" w:bidi="ar-SA"/>
        </w:rPr>
        <w:t>。</w:t>
      </w:r>
    </w:p>
    <w:p w14:paraId="7907EC5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21.其他支出（类）其他支出（款）其他支出（项）:支出决算数为6,900.52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6,805.32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7148.27%，主要原因是：</w:t>
      </w:r>
      <w:r>
        <w:rPr>
          <w:rFonts w:hint="eastAsia" w:eastAsia="仿宋_GB2312" w:cs="Times New Roman"/>
          <w:color w:val="auto"/>
          <w:kern w:val="2"/>
          <w:sz w:val="32"/>
          <w:szCs w:val="32"/>
          <w:highlight w:val="none"/>
          <w:lang w:val="en-US" w:eastAsia="zh-CN" w:bidi="ar-SA"/>
        </w:rPr>
        <w:t>2023年，我厅机关建设自然资源档案库（馆）基本建设支出财政拨款支出、其他资金支出大幅增加</w:t>
      </w:r>
      <w:r>
        <w:rPr>
          <w:rFonts w:hint="eastAsia" w:eastAsia="仿宋_GB2312" w:cs="Times New Roman"/>
          <w:color w:val="auto"/>
          <w:kern w:val="2"/>
          <w:sz w:val="32"/>
          <w:szCs w:val="32"/>
          <w:highlight w:val="none"/>
          <w:lang w:val="zh-CN" w:eastAsia="zh-CN" w:bidi="ar-SA"/>
        </w:rPr>
        <w:t>。</w:t>
      </w:r>
    </w:p>
    <w:p w14:paraId="2240FC7B">
      <w:pPr>
        <w:keepNext w:val="0"/>
        <w:keepLines w:val="0"/>
        <w:widowControl/>
        <w:suppressLineNumbers w:val="0"/>
        <w:ind w:firstLine="640" w:firstLineChars="200"/>
        <w:jc w:val="left"/>
      </w:pPr>
      <w:r>
        <w:rPr>
          <w:rFonts w:hint="eastAsia" w:ascii="Times New Roman" w:hAnsi="Times New Roman" w:eastAsia="仿宋_GB2312" w:cs="Times New Roman"/>
          <w:color w:val="auto"/>
          <w:kern w:val="2"/>
          <w:sz w:val="32"/>
          <w:szCs w:val="32"/>
          <w:highlight w:val="none"/>
          <w:lang w:val="en-US" w:eastAsia="zh-CN" w:bidi="ar-SA"/>
        </w:rPr>
        <w:t>22.自然资源海洋气象等支出（类）自然资源事务（款）自然资源调查与确权登记（项）:支出决算数为695.00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2.37%，主要原因是：</w:t>
      </w:r>
      <w:r>
        <w:rPr>
          <w:rFonts w:hint="default" w:ascii="Times New Roman" w:hAnsi="Times New Roman" w:eastAsia="宋体" w:cs="Times New Roman"/>
          <w:color w:val="000000"/>
          <w:kern w:val="0"/>
          <w:sz w:val="31"/>
          <w:szCs w:val="31"/>
          <w:lang w:val="en-US" w:eastAsia="zh-CN" w:bidi="ar"/>
        </w:rPr>
        <w:t xml:space="preserve">2022 </w:t>
      </w:r>
    </w:p>
    <w:p w14:paraId="3A9C3FA0">
      <w:pPr>
        <w:keepNext w:val="0"/>
        <w:keepLines w:val="0"/>
        <w:widowControl/>
        <w:suppressLineNumbers w:val="0"/>
        <w:jc w:val="left"/>
        <w:rPr>
          <w:rFonts w:hint="eastAsia" w:ascii="Times New Roman" w:hAnsi="Times New Roman" w:eastAsia="仿宋_GB2312" w:cs="Times New Roman"/>
          <w:color w:val="auto"/>
          <w:kern w:val="2"/>
          <w:sz w:val="32"/>
          <w:szCs w:val="32"/>
          <w:highlight w:val="none"/>
          <w:lang w:val="zh-CN" w:eastAsia="zh-CN" w:bidi="ar-SA"/>
        </w:rPr>
      </w:pPr>
      <w:r>
        <w:rPr>
          <w:rFonts w:ascii="仿宋" w:hAnsi="仿宋" w:eastAsia="仿宋" w:cs="仿宋"/>
          <w:color w:val="000000"/>
          <w:kern w:val="0"/>
          <w:sz w:val="31"/>
          <w:szCs w:val="31"/>
          <w:lang w:val="en-US" w:eastAsia="zh-CN" w:bidi="ar"/>
        </w:rPr>
        <w:t>年</w:t>
      </w:r>
      <w:r>
        <w:rPr>
          <w:rFonts w:hint="eastAsia" w:ascii="仿宋" w:hAnsi="仿宋" w:eastAsia="仿宋" w:cs="仿宋"/>
          <w:color w:val="000000"/>
          <w:kern w:val="0"/>
          <w:sz w:val="31"/>
          <w:szCs w:val="31"/>
          <w:lang w:val="en-US" w:eastAsia="zh-CN" w:bidi="ar"/>
        </w:rPr>
        <w:t>，我厅直属单位不动产登记中心</w:t>
      </w:r>
      <w:r>
        <w:rPr>
          <w:rFonts w:hint="default" w:ascii="Times New Roman" w:hAnsi="Times New Roman" w:eastAsia="宋体" w:cs="Times New Roman"/>
          <w:color w:val="000000"/>
          <w:kern w:val="0"/>
          <w:sz w:val="31"/>
          <w:szCs w:val="31"/>
          <w:lang w:val="en-US" w:eastAsia="zh-CN" w:bidi="ar"/>
        </w:rPr>
        <w:t xml:space="preserve">2023 </w:t>
      </w:r>
      <w:r>
        <w:rPr>
          <w:rFonts w:hint="eastAsia" w:ascii="仿宋" w:hAnsi="仿宋" w:eastAsia="仿宋" w:cs="仿宋"/>
          <w:color w:val="000000"/>
          <w:kern w:val="0"/>
          <w:sz w:val="31"/>
          <w:szCs w:val="31"/>
          <w:lang w:val="en-US" w:eastAsia="zh-CN" w:bidi="ar"/>
        </w:rPr>
        <w:t>年项目按时保质保量验收完工，相应比上年决算数增加</w:t>
      </w:r>
      <w:r>
        <w:rPr>
          <w:rFonts w:hint="eastAsia" w:eastAsia="仿宋_GB2312" w:cs="Times New Roman"/>
          <w:color w:val="auto"/>
          <w:kern w:val="2"/>
          <w:sz w:val="32"/>
          <w:szCs w:val="32"/>
          <w:highlight w:val="none"/>
          <w:lang w:val="zh-CN" w:eastAsia="zh-CN" w:bidi="ar-SA"/>
        </w:rPr>
        <w:t>。</w:t>
      </w:r>
    </w:p>
    <w:p w14:paraId="414FA8D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23.卫生健康支出（类）卫生健康管理事务（款）行政运行（项）:支出决算数为0.00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2023年，我厅系统不存在列支错误科目</w:t>
      </w:r>
      <w:r>
        <w:rPr>
          <w:rFonts w:hint="eastAsia" w:eastAsia="仿宋_GB2312" w:cs="Times New Roman"/>
          <w:color w:val="auto"/>
          <w:kern w:val="2"/>
          <w:sz w:val="32"/>
          <w:szCs w:val="32"/>
          <w:highlight w:val="none"/>
          <w:lang w:val="zh-CN" w:eastAsia="zh-CN" w:bidi="ar-SA"/>
        </w:rPr>
        <w:t>。</w:t>
      </w:r>
    </w:p>
    <w:p w14:paraId="40E61B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24.自然资源海洋气象等支出（类）自然资源事务（款）地质矿产资源与环境调查（项）:支出决算数为0.00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2023年，我厅未在此科目下列支项目</w:t>
      </w:r>
      <w:r>
        <w:rPr>
          <w:rFonts w:hint="eastAsia" w:eastAsia="仿宋_GB2312" w:cs="Times New Roman"/>
          <w:color w:val="auto"/>
          <w:kern w:val="2"/>
          <w:sz w:val="32"/>
          <w:szCs w:val="32"/>
          <w:highlight w:val="none"/>
          <w:lang w:val="zh-CN" w:eastAsia="zh-CN" w:bidi="ar-SA"/>
        </w:rPr>
        <w:t>。</w:t>
      </w:r>
    </w:p>
    <w:p w14:paraId="2850EE5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673ADC5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36,452.16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33,833.75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其他工资福利支出、离休费、退休费、抚恤金、生活补助、医疗费补助、奖励金、其他对个人和家庭的补助。</w:t>
      </w:r>
    </w:p>
    <w:p w14:paraId="0F54F85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2,618.41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w:t>
      </w:r>
    </w:p>
    <w:p w14:paraId="5002FB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404F75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“三公”经费支出168.07万元，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增加1.22万元，</w:t>
      </w:r>
      <w:r>
        <w:rPr>
          <w:rFonts w:hint="eastAsia" w:ascii="仿宋_GB2312" w:eastAsia="仿宋_GB2312"/>
          <w:color w:val="auto"/>
          <w:spacing w:val="0"/>
          <w:sz w:val="32"/>
          <w:szCs w:val="32"/>
          <w:highlight w:val="none"/>
          <w:lang w:val="en-US" w:eastAsia="zh-CN"/>
        </w:rPr>
        <w:t>增长0.73%,</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2023年不存在特殊封闭情况，所有活动正常开展</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因公出国（境）费支出；公务用车购置及运行维护费支出160.00万元，占95.20%，比上年增加0.09万元，</w:t>
      </w:r>
      <w:r>
        <w:rPr>
          <w:rFonts w:hint="eastAsia" w:ascii="仿宋_GB2312" w:eastAsia="仿宋_GB2312"/>
          <w:color w:val="auto"/>
          <w:spacing w:val="0"/>
          <w:sz w:val="32"/>
          <w:szCs w:val="32"/>
          <w:highlight w:val="none"/>
          <w:lang w:val="en-US" w:eastAsia="zh-CN"/>
        </w:rPr>
        <w:t>增长0.05%,</w:t>
      </w:r>
      <w:r>
        <w:rPr>
          <w:rFonts w:hint="eastAsia" w:ascii="仿宋_GB2312" w:eastAsia="仿宋_GB2312"/>
          <w:color w:val="auto"/>
          <w:sz w:val="32"/>
          <w:szCs w:val="32"/>
          <w:highlight w:val="none"/>
          <w:lang w:val="zh-CN" w:eastAsia="zh-CN"/>
        </w:rPr>
        <w:t>主要原因是：2022年8-11月因疫情封控等原因基本上未开展业务活动，导致公务用车费用减少，</w:t>
      </w:r>
      <w:r>
        <w:rPr>
          <w:rFonts w:hint="eastAsia" w:ascii="仿宋_GB2312" w:eastAsia="仿宋_GB2312"/>
          <w:color w:val="auto"/>
          <w:sz w:val="32"/>
          <w:szCs w:val="32"/>
          <w:highlight w:val="none"/>
          <w:lang w:val="en-US" w:eastAsia="zh-CN"/>
        </w:rPr>
        <w:t>2023年恢复正常支出</w:t>
      </w:r>
      <w:r>
        <w:rPr>
          <w:rFonts w:hint="eastAsia" w:ascii="仿宋_GB2312" w:eastAsia="仿宋_GB2312"/>
          <w:color w:val="auto"/>
          <w:sz w:val="32"/>
          <w:szCs w:val="32"/>
          <w:highlight w:val="none"/>
          <w:lang w:val="zh-CN" w:eastAsia="zh-CN"/>
        </w:rPr>
        <w:t>；公务接待费支出8.08万元，占4.80%，比上年增加1.13万元，</w:t>
      </w:r>
      <w:r>
        <w:rPr>
          <w:rFonts w:hint="eastAsia" w:ascii="仿宋_GB2312" w:eastAsia="仿宋_GB2312"/>
          <w:color w:val="auto"/>
          <w:spacing w:val="0"/>
          <w:sz w:val="32"/>
          <w:szCs w:val="32"/>
          <w:highlight w:val="none"/>
          <w:lang w:val="en-US" w:eastAsia="zh-CN"/>
        </w:rPr>
        <w:t>增长16.32%,</w:t>
      </w:r>
      <w:r>
        <w:rPr>
          <w:rFonts w:hint="eastAsia" w:ascii="仿宋_GB2312" w:eastAsia="仿宋_GB2312"/>
          <w:color w:val="auto"/>
          <w:sz w:val="32"/>
          <w:szCs w:val="32"/>
          <w:highlight w:val="none"/>
          <w:lang w:val="zh-CN" w:eastAsia="zh-CN"/>
        </w:rPr>
        <w:t>主要原因是：2022年8-11月因疫情封控等原因基本上未开展业务活动，导致公务接待费支出减少，2023年恢复正常支出。</w:t>
      </w:r>
    </w:p>
    <w:p w14:paraId="5B5FBAF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4966FA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支出。单位全年安排的因公出国（境）团组0个，因公出国（境）0人次。</w:t>
      </w:r>
    </w:p>
    <w:p w14:paraId="30D07F9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160.00万元，其中：公务用车购置费36.00万元，公务用车运行维护费124.00万元。公务用车运行维护费开支内容包括燃料费、保险费、过路费，维修费、停车费等相关费用。公务用车购置数2辆，公务用车保有量97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324辆，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我厅系统有大量的执法用车和专业车辆不属于公务用车，使用其他交通费，支付燃油及维修费</w:t>
      </w:r>
      <w:r>
        <w:rPr>
          <w:rFonts w:hint="eastAsia" w:ascii="仿宋_GB2312" w:eastAsia="仿宋_GB2312"/>
          <w:color w:val="auto"/>
          <w:sz w:val="32"/>
          <w:szCs w:val="32"/>
          <w:highlight w:val="none"/>
          <w:lang w:val="zh-CN" w:eastAsia="zh-CN"/>
        </w:rPr>
        <w:t>。</w:t>
      </w:r>
    </w:p>
    <w:p w14:paraId="79EEE44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公务接待费8.08万元，开支内容包括接待上级临时安排的重大会议、重大活动所发生工作餐费</w:t>
      </w:r>
      <w:r>
        <w:rPr>
          <w:rFonts w:hint="eastAsia" w:ascii="仿宋_GB2312" w:eastAsia="仿宋_GB2312"/>
          <w:color w:val="auto"/>
          <w:sz w:val="32"/>
          <w:szCs w:val="32"/>
          <w:highlight w:val="none"/>
          <w:lang w:val="en-US" w:eastAsia="zh-CN"/>
        </w:rPr>
        <w:t>等</w:t>
      </w:r>
      <w:r>
        <w:rPr>
          <w:rFonts w:hint="eastAsia" w:ascii="仿宋_GB2312" w:eastAsia="仿宋_GB2312"/>
          <w:color w:val="auto"/>
          <w:sz w:val="32"/>
          <w:szCs w:val="32"/>
          <w:highlight w:val="none"/>
          <w:lang w:val="zh-CN" w:eastAsia="zh-CN"/>
        </w:rPr>
        <w:t>。单位全年安排的国内公务接待45批次，442人次。</w:t>
      </w:r>
    </w:p>
    <w:p w14:paraId="6A2DFD0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预算数169.28万元，决算数168.07万元，预决算差异率-0.72%，主要原因是：</w:t>
      </w:r>
      <w:r>
        <w:rPr>
          <w:rFonts w:hint="eastAsia" w:ascii="仿宋_GB2312" w:eastAsia="仿宋_GB2312"/>
          <w:color w:val="auto"/>
          <w:sz w:val="32"/>
          <w:szCs w:val="32"/>
          <w:highlight w:val="none"/>
          <w:lang w:val="en-US" w:eastAsia="zh-CN"/>
        </w:rPr>
        <w:t>按只减不增原则，严控三公经费</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0.00万元，决算数0.00万元，预决算差异率0.00%，主要原因是：无因公出国（境）费，</w:t>
      </w:r>
      <w:r>
        <w:rPr>
          <w:rFonts w:hint="eastAsia" w:ascii="仿宋_GB2312" w:eastAsia="仿宋_GB2312"/>
          <w:sz w:val="32"/>
          <w:szCs w:val="32"/>
        </w:rPr>
        <w:t>预决算一致无差异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预算数36.00万元，决算数36.00万元，预决算差异率0.00%，主要原因是：</w:t>
      </w:r>
      <w:r>
        <w:rPr>
          <w:rFonts w:hint="eastAsia" w:ascii="仿宋_GB2312" w:eastAsia="仿宋_GB2312"/>
          <w:sz w:val="32"/>
          <w:szCs w:val="32"/>
        </w:rPr>
        <w:t>预决算一致无差异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预算数124.01万元，决算数124.00万元，预决算差异率-0.01%，主要原因是：</w:t>
      </w:r>
      <w:r>
        <w:rPr>
          <w:rFonts w:hint="eastAsia" w:ascii="仿宋_GB2312" w:eastAsia="仿宋_GB2312"/>
          <w:color w:val="auto"/>
          <w:sz w:val="32"/>
          <w:szCs w:val="32"/>
          <w:highlight w:val="none"/>
          <w:lang w:val="en-US" w:eastAsia="zh-CN"/>
        </w:rPr>
        <w:t>按只减不增原则，严控公务用车经费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预算数9.28万元，决算数8.08万元，预决算差异率-12.94%，主要原因是：</w:t>
      </w:r>
      <w:r>
        <w:rPr>
          <w:rFonts w:hint="eastAsia" w:ascii="仿宋_GB2312" w:eastAsia="仿宋_GB2312"/>
          <w:color w:val="auto"/>
          <w:sz w:val="32"/>
          <w:szCs w:val="32"/>
          <w:highlight w:val="none"/>
          <w:lang w:val="en-US" w:eastAsia="zh-CN"/>
        </w:rPr>
        <w:t>按只减不增原则，严控公务接待经费</w:t>
      </w:r>
      <w:r>
        <w:rPr>
          <w:rFonts w:hint="eastAsia" w:ascii="仿宋_GB2312" w:eastAsia="仿宋_GB2312"/>
          <w:color w:val="auto"/>
          <w:sz w:val="32"/>
          <w:szCs w:val="32"/>
          <w:highlight w:val="none"/>
          <w:lang w:val="zh-CN" w:eastAsia="zh-CN"/>
        </w:rPr>
        <w:t>。</w:t>
      </w:r>
    </w:p>
    <w:p w14:paraId="301EDC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75B6F31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97E7E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1963669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2B8491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9FB98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C14A2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自治区自然资源厅（行政单位和参照公务员法管理事业单位）机关运行经费支出1,617.17万元，</w:t>
      </w:r>
      <w:r>
        <w:rPr>
          <w:rFonts w:hint="eastAsia" w:ascii="Times New Roman" w:hAnsi="Times New Roman" w:eastAsia="仿宋_GB2312" w:cs="Times New Roman"/>
          <w:color w:val="auto"/>
          <w:sz w:val="32"/>
          <w:szCs w:val="32"/>
          <w:highlight w:val="none"/>
          <w:lang w:val="zh-CN" w:eastAsia="zh-CN"/>
        </w:rPr>
        <w:t>比上年增加433.50万元，增长36.62%，主要原因是：</w:t>
      </w:r>
      <w:r>
        <w:rPr>
          <w:rFonts w:hint="eastAsia" w:ascii="Times New Roman" w:hAnsi="Times New Roman" w:eastAsia="仿宋_GB2312" w:cs="Times New Roman"/>
          <w:color w:val="auto"/>
          <w:sz w:val="32"/>
          <w:szCs w:val="32"/>
          <w:highlight w:val="none"/>
          <w:lang w:val="en-US" w:eastAsia="zh-CN"/>
        </w:rPr>
        <w:t>我厅2022年8-11月因疫情封控等原因基本上未开展业务活动</w:t>
      </w:r>
      <w:r>
        <w:rPr>
          <w:rFonts w:hint="eastAsia" w:eastAsia="仿宋_GB2312" w:cs="Times New Roman"/>
          <w:color w:val="auto"/>
          <w:sz w:val="32"/>
          <w:szCs w:val="32"/>
          <w:highlight w:val="none"/>
          <w:lang w:val="en-US" w:eastAsia="zh-CN"/>
        </w:rPr>
        <w:t>，2023年恢复正常支出，</w:t>
      </w:r>
      <w:r>
        <w:rPr>
          <w:rFonts w:hint="eastAsia" w:ascii="Times New Roman" w:hAnsi="Times New Roman" w:eastAsia="仿宋_GB2312" w:cs="Times New Roman"/>
          <w:color w:val="auto"/>
          <w:sz w:val="32"/>
          <w:szCs w:val="32"/>
          <w:highlight w:val="none"/>
          <w:lang w:val="en-US" w:eastAsia="zh-CN"/>
        </w:rPr>
        <w:t>机关运行经费支出</w:t>
      </w:r>
      <w:r>
        <w:rPr>
          <w:rFonts w:hint="eastAsia"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en-US" w:eastAsia="zh-CN"/>
        </w:rPr>
        <w:t>。</w:t>
      </w:r>
    </w:p>
    <w:p w14:paraId="08B34E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自治区自然资源厅（事业单位）</w:t>
      </w:r>
      <w:r>
        <w:rPr>
          <w:rFonts w:hint="eastAsia" w:eastAsia="仿宋_GB2312" w:cs="Times New Roman"/>
          <w:color w:val="auto"/>
          <w:sz w:val="32"/>
          <w:szCs w:val="32"/>
          <w:highlight w:val="none"/>
          <w:lang w:val="en-US" w:eastAsia="zh-CN"/>
        </w:rPr>
        <w:t>公用经费</w:t>
      </w:r>
      <w:r>
        <w:rPr>
          <w:rFonts w:hint="eastAsia" w:ascii="Times New Roman" w:hAnsi="Times New Roman" w:eastAsia="仿宋_GB2312" w:cs="Times New Roman"/>
          <w:color w:val="auto"/>
          <w:sz w:val="32"/>
          <w:szCs w:val="32"/>
          <w:highlight w:val="none"/>
          <w:lang w:val="en-US" w:eastAsia="zh-CN"/>
        </w:rPr>
        <w:t>支出1,</w:t>
      </w:r>
      <w:r>
        <w:rPr>
          <w:rFonts w:hint="eastAsia" w:eastAsia="仿宋_GB2312" w:cs="Times New Roman"/>
          <w:color w:val="auto"/>
          <w:sz w:val="32"/>
          <w:szCs w:val="32"/>
          <w:highlight w:val="none"/>
          <w:lang w:val="en-US" w:eastAsia="zh-CN"/>
        </w:rPr>
        <w:t>000.24</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eastAsia="zh-CN"/>
        </w:rPr>
        <w:t>比上年增加</w:t>
      </w:r>
      <w:r>
        <w:rPr>
          <w:rFonts w:hint="eastAsia" w:eastAsia="仿宋_GB2312" w:cs="Times New Roman"/>
          <w:color w:val="auto"/>
          <w:sz w:val="32"/>
          <w:szCs w:val="32"/>
          <w:highlight w:val="none"/>
          <w:lang w:val="en-US" w:eastAsia="zh-CN"/>
        </w:rPr>
        <w:t>35.87</w:t>
      </w:r>
      <w:r>
        <w:rPr>
          <w:rFonts w:hint="eastAsia" w:ascii="Times New Roman" w:hAnsi="Times New Roman" w:eastAsia="仿宋_GB2312" w:cs="Times New Roman"/>
          <w:color w:val="auto"/>
          <w:sz w:val="32"/>
          <w:szCs w:val="32"/>
          <w:highlight w:val="none"/>
          <w:lang w:val="zh-CN" w:eastAsia="zh-CN"/>
        </w:rPr>
        <w:t>万元，增长</w:t>
      </w:r>
      <w:r>
        <w:rPr>
          <w:rFonts w:hint="eastAsia" w:eastAsia="仿宋_GB2312" w:cs="Times New Roman"/>
          <w:color w:val="auto"/>
          <w:sz w:val="32"/>
          <w:szCs w:val="32"/>
          <w:highlight w:val="none"/>
          <w:lang w:val="en-US" w:eastAsia="zh-CN"/>
        </w:rPr>
        <w:t>3.72</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en-US" w:eastAsia="zh-CN"/>
        </w:rPr>
        <w:t>我厅2022年8-11月因疫情封控等原因基本上未开展业务活动</w:t>
      </w:r>
      <w:r>
        <w:rPr>
          <w:rFonts w:hint="eastAsia" w:eastAsia="仿宋_GB2312" w:cs="Times New Roman"/>
          <w:color w:val="auto"/>
          <w:sz w:val="32"/>
          <w:szCs w:val="32"/>
          <w:highlight w:val="none"/>
          <w:lang w:val="en-US" w:eastAsia="zh-CN"/>
        </w:rPr>
        <w:t>，2023年恢复正常支出，公用经费增加</w:t>
      </w:r>
      <w:r>
        <w:rPr>
          <w:rFonts w:hint="eastAsia" w:ascii="Times New Roman" w:hAnsi="Times New Roman" w:eastAsia="仿宋_GB2312" w:cs="Times New Roman"/>
          <w:color w:val="auto"/>
          <w:sz w:val="32"/>
          <w:szCs w:val="32"/>
          <w:highlight w:val="none"/>
          <w:lang w:val="en-US" w:eastAsia="zh-CN"/>
        </w:rPr>
        <w:t>。</w:t>
      </w:r>
    </w:p>
    <w:p w14:paraId="7EC78C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45BEB3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12,532.05万元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其中：政府采购货物支出1,924.93万元、政府采购工程支出18.03万元、政府采购服务支出10,589.09万元。</w:t>
      </w:r>
    </w:p>
    <w:p w14:paraId="7EC884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授予中小企业合同金额10,002.39万元，占政府采购支出总额的79.81</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，其中：授予小微企业合同金额4,721.11万元，占政府采购支出总额的37.67</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5C6798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825192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82,154.19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屋75,059.31平方米，价值20,879.33万元。车辆324辆，价值8,868.19万元，其中：副部（省）级及以上领导用车0辆、主要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用车0辆、机要通信用车0辆、应急保障用车34辆、执法执勤用车117辆、特种专业技术用车6辆、离退休干部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用车0辆、其他用车167辆，其他用车主要是：</w:t>
      </w:r>
      <w:r>
        <w:rPr>
          <w:rFonts w:hint="eastAsia" w:eastAsia="仿宋_GB2312" w:cs="Times New Roman"/>
          <w:color w:val="auto"/>
          <w:sz w:val="32"/>
          <w:szCs w:val="32"/>
          <w:highlight w:val="none"/>
          <w:lang w:val="en-US" w:eastAsia="zh-CN"/>
        </w:rPr>
        <w:t>业务用车</w:t>
      </w:r>
      <w:r>
        <w:rPr>
          <w:rFonts w:hint="eastAsia" w:ascii="Times New Roman" w:hAnsi="Times New Roman" w:eastAsia="仿宋_GB2312" w:cs="Times New Roman"/>
          <w:color w:val="auto"/>
          <w:sz w:val="32"/>
          <w:szCs w:val="32"/>
          <w:highlight w:val="none"/>
          <w:lang w:val="zh-CN" w:eastAsia="zh-CN"/>
        </w:rPr>
        <w:t>；单价100万元（含）以上设备（不含车辆）47</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0F423C3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59C1E034">
      <w:pPr>
        <w:ind w:firstLine="640" w:firstLineChars="200"/>
        <w:rPr>
          <w:rFonts w:hint="eastAsia" w:ascii="Times New Roman" w:hAnsi="Times New Roman" w:eastAsia="仿宋_GB2312" w:cs="Times New Roman"/>
          <w:color w:val="auto"/>
          <w:sz w:val="32"/>
          <w:szCs w:val="32"/>
          <w:highlight w:val="none"/>
          <w:lang w:val="zh-CN" w:eastAsia="zh-CN"/>
        </w:rPr>
      </w:pPr>
      <w:bookmarkStart w:id="30" w:name="_Toc3250"/>
      <w:bookmarkStart w:id="31" w:name="_Toc24143"/>
      <w:r>
        <w:rPr>
          <w:rFonts w:hint="eastAsia" w:ascii="Times New Roman" w:hAnsi="Times New Roman" w:eastAsia="仿宋_GB2312" w:cs="Times New Roman"/>
          <w:color w:val="auto"/>
          <w:sz w:val="32"/>
          <w:szCs w:val="32"/>
          <w:highlight w:val="none"/>
          <w:lang w:val="zh-CN" w:eastAsia="zh-CN"/>
        </w:rPr>
        <w:t>根据预算绩效管理要求，我</w:t>
      </w:r>
      <w:r>
        <w:rPr>
          <w:rFonts w:hint="eastAsia" w:ascii="Times New Roman" w:hAnsi="Times New Roman" w:eastAsia="仿宋_GB2312" w:cs="Times New Roman"/>
          <w:color w:val="auto"/>
          <w:sz w:val="32"/>
          <w:szCs w:val="32"/>
          <w:highlight w:val="none"/>
          <w:lang w:val="en-US" w:eastAsia="zh-CN"/>
        </w:rPr>
        <w:t>部门</w:t>
      </w:r>
      <w:r>
        <w:rPr>
          <w:rFonts w:hint="eastAsia" w:ascii="Times New Roman" w:hAnsi="Times New Roman" w:eastAsia="仿宋_GB2312" w:cs="Times New Roman"/>
          <w:color w:val="auto"/>
          <w:sz w:val="32"/>
          <w:szCs w:val="32"/>
          <w:highlight w:val="none"/>
          <w:lang w:val="zh-CN" w:eastAsia="zh-CN"/>
        </w:rPr>
        <w:t>2023年度预算绩效管理整体</w:t>
      </w:r>
      <w:r>
        <w:rPr>
          <w:rFonts w:hint="eastAsia" w:ascii="Times New Roman" w:hAnsi="Times New Roman" w:eastAsia="仿宋_GB2312" w:cs="Times New Roman"/>
          <w:color w:val="auto"/>
          <w:sz w:val="32"/>
          <w:szCs w:val="32"/>
          <w:highlight w:val="none"/>
          <w:lang w:val="en-US" w:eastAsia="zh-CN"/>
        </w:rPr>
        <w:t>支出</w:t>
      </w:r>
      <w:r>
        <w:rPr>
          <w:rFonts w:hint="eastAsia" w:ascii="Times New Roman" w:hAnsi="Times New Roman" w:eastAsia="仿宋_GB2312" w:cs="Times New Roman"/>
          <w:color w:val="auto"/>
          <w:sz w:val="32"/>
          <w:szCs w:val="32"/>
          <w:highlight w:val="none"/>
          <w:lang w:val="zh-CN" w:eastAsia="zh-CN"/>
        </w:rPr>
        <w:t>绩效自评表</w:t>
      </w:r>
      <w:r>
        <w:rPr>
          <w:rFonts w:hint="eastAsia" w:ascii="Times New Roman" w:hAnsi="Times New Roman" w:eastAsia="仿宋_GB2312" w:cs="Times New Roman"/>
          <w:color w:val="auto"/>
          <w:sz w:val="32"/>
          <w:szCs w:val="32"/>
          <w:highlight w:val="none"/>
          <w:lang w:val="en-US" w:eastAsia="zh-CN"/>
        </w:rPr>
        <w:t>1个，全年预算总额</w:t>
      </w:r>
      <w:r>
        <w:rPr>
          <w:rFonts w:hint="eastAsia" w:ascii="Times New Roman" w:hAnsi="Times New Roman" w:eastAsia="仿宋_GB2312" w:cs="Times New Roman"/>
          <w:color w:val="auto"/>
          <w:sz w:val="32"/>
          <w:szCs w:val="32"/>
          <w:highlight w:val="none"/>
          <w:lang w:val="zh-CN" w:eastAsia="zh-CN"/>
        </w:rPr>
        <w:t>86230.3</w:t>
      </w:r>
      <w:r>
        <w:rPr>
          <w:rFonts w:hint="eastAsia"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实际执行总额</w:t>
      </w:r>
      <w:r>
        <w:rPr>
          <w:rFonts w:hint="eastAsia" w:ascii="Times New Roman" w:hAnsi="Times New Roman" w:eastAsia="仿宋_GB2312" w:cs="Times New Roman"/>
          <w:color w:val="auto"/>
          <w:sz w:val="32"/>
          <w:szCs w:val="32"/>
          <w:highlight w:val="none"/>
          <w:lang w:val="zh-CN" w:eastAsia="zh-CN"/>
        </w:rPr>
        <w:t>86230.3</w:t>
      </w:r>
      <w:r>
        <w:rPr>
          <w:rFonts w:hint="eastAsia" w:eastAsia="仿宋_GB2312" w:cs="Times New Roman"/>
          <w:color w:val="auto"/>
          <w:sz w:val="32"/>
          <w:szCs w:val="32"/>
          <w:highlight w:val="none"/>
          <w:lang w:val="en-US" w:eastAsia="zh-CN"/>
        </w:rPr>
        <w:t>0</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43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全年预算数46597.22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全年执行数46181.19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zh-CN" w:eastAsia="zh-CN"/>
        </w:rPr>
        <w:t>预算绩效管理取得的成效：一是实施新一轮找矿突破战略行动，成立自治区战略性矿产资源委员会，增编300名，组建地质勘查管理、地质勘查质量评价、地质成果“三中心”，建强厅局级地质局、地研院、新矿集团“三大找矿主力军”，获批设立总规模18.01亿元的风险勘探基金，争取国家在我区划定大型资源基地22个、2024年中央专项资金占比全国第一；二是划定全区耕地保有量7901.04万亩、永久基本农田6318.26万亩（均不含兵团），较国家上轮规划指标分别超出3107.85、2356.26万亩，第一时间足额带位置分解至各地，压实各级耕地保护责任，获自然资源部奖励土地利用计划指标1.23万亩，2022年度耕地保护预考核排名全国第二，为守住18亿亩耕地红线作出了新疆贡献。坚持“以水定地”，深挖耕地后备资源潜力，866.36万亩已通过国家级核查。推动耕地批量增加，印发国有未利用地开发管理办法，依法审批开发项目5个；</w:t>
      </w:r>
      <w:r>
        <w:rPr>
          <w:rFonts w:hint="eastAsia" w:ascii="Times New Roman" w:hAnsi="Times New Roman" w:eastAsia="仿宋_GB2312" w:cs="Times New Roman"/>
          <w:color w:val="auto"/>
          <w:sz w:val="32"/>
          <w:szCs w:val="32"/>
          <w:highlight w:val="none"/>
          <w:lang w:val="en-US" w:eastAsia="zh-CN"/>
        </w:rPr>
        <w:t>三是</w:t>
      </w:r>
      <w:r>
        <w:rPr>
          <w:rFonts w:hint="eastAsia" w:ascii="Times New Roman" w:hAnsi="Times New Roman" w:eastAsia="仿宋_GB2312" w:cs="Times New Roman"/>
          <w:color w:val="auto"/>
          <w:sz w:val="32"/>
          <w:szCs w:val="32"/>
          <w:highlight w:val="none"/>
          <w:lang w:val="zh-CN" w:eastAsia="zh-CN"/>
        </w:rPr>
        <w:t>全面启用“三区三线”划定成果，正式作为用地报批依据，完成各级国土空间总体规划报批前程序，基本建成全区上下贯通的“一张图”实施监督系统，国土空间规划的战略引领和刚性管控作用逐渐显现；</w:t>
      </w:r>
      <w:r>
        <w:rPr>
          <w:rFonts w:hint="eastAsia" w:ascii="Times New Roman" w:hAnsi="Times New Roman" w:eastAsia="仿宋_GB2312" w:cs="Times New Roman"/>
          <w:color w:val="auto"/>
          <w:sz w:val="32"/>
          <w:szCs w:val="32"/>
          <w:highlight w:val="none"/>
          <w:lang w:val="en-US" w:eastAsia="zh-CN"/>
        </w:rPr>
        <w:t>四是</w:t>
      </w:r>
      <w:r>
        <w:rPr>
          <w:rFonts w:hint="eastAsia" w:ascii="Times New Roman" w:hAnsi="Times New Roman" w:eastAsia="仿宋_GB2312" w:cs="Times New Roman"/>
          <w:color w:val="auto"/>
          <w:sz w:val="32"/>
          <w:szCs w:val="32"/>
          <w:highlight w:val="none"/>
          <w:lang w:val="zh-CN" w:eastAsia="zh-CN"/>
        </w:rPr>
        <w:t>落实“增存挂钩”机制，以存量换增量，全年处置批而未供土地58.29万亩、闲置土地16.58万亩，超额完成国家下达任务，居全国前列。发现的问题及原因：一是地质勘查、地质灾害防治项目均为年度项目，由于立项招标、评审及资金下达程序时限要求，项目野外工作年底才能呈现实际效果，在规定监控节点上不能很好反映。二是对项目绩效评价结果分析、运用不够。三是受财力影响，地质勘查、生态修复资金投入逐年减少，地质勘探成果、生态修复受基数影响效果不明显。</w:t>
      </w:r>
      <w:r>
        <w:rPr>
          <w:rFonts w:hint="eastAsia" w:ascii="仿宋_GB2312" w:eastAsia="仿宋_GB2312"/>
          <w:sz w:val="32"/>
          <w:szCs w:val="32"/>
          <w:highlight w:val="none"/>
          <w:lang w:eastAsia="zh-CN"/>
        </w:rPr>
        <w:t>下一步改进措施：</w:t>
      </w:r>
      <w:r>
        <w:rPr>
          <w:rFonts w:hint="eastAsia" w:ascii="Times New Roman" w:hAnsi="Times New Roman" w:eastAsia="仿宋_GB2312" w:cs="Times New Roman"/>
          <w:color w:val="auto"/>
          <w:sz w:val="32"/>
          <w:szCs w:val="32"/>
          <w:highlight w:val="none"/>
          <w:lang w:val="zh-CN" w:eastAsia="zh-CN"/>
        </w:rPr>
        <w:t>一是完善绩效管理制度体系。以“预算编制有目标、预算执行有监控、预算完成有评价、评价结果有反馈、反馈结果有应用”为主要目标，继续完善预算绩效管理流程，提高绩效管理质量，建立健全“全方位、全过程、全覆盖”的预算绩效管理体系。二是实现全覆盖、双监督。进一步加强预算绩效管理，扩大绩效目标管理范围，按照横向到边、纵向到底，推进预算绩效管理全覆盖。完善立项评估决策机制，推动事前评估关口前移，建立随报、随评、随入库的管理机制，为年度纳入项目预算编制奠定基础。建立预算绩效执行管理制度，推进绩效跟踪与预算执行相结合，对目标实现程度和资金执行进度实行“双监控”，绩效监控结果与纳入下一年预算水平相挂钩，最大限度发挥项目资金效益。三是强化预算绩效考核。进一步强化绩效管理日常监督，采取重点督查、随机抽查等方式，着力推进项目绩效管理扎实推进，将预算绩效结果纳入单位年度绩效和干部政绩考核体系，作为领导干部选拔任用、年度考核的重要参考。坚持问题导向，强化整改落实，切实发挥预算绩效管理在优化财政资源配置和提升资金使用效益上的作用，逐步提高单位预算管理水平和政策实施效果。具体项目自评情况见附件。</w:t>
      </w:r>
    </w:p>
    <w:p w14:paraId="2A8FE46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D23EBF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2023年，我厅有两个中央转移支付项目和一个上年结转项目未在绩效自评中反映</w:t>
      </w:r>
      <w:bookmarkStart w:id="48" w:name="_GoBack"/>
      <w:bookmarkEnd w:id="48"/>
      <w:r>
        <w:rPr>
          <w:rFonts w:hint="eastAsia" w:eastAsia="仿宋_GB2312" w:cs="Times New Roman"/>
          <w:color w:val="auto"/>
          <w:sz w:val="32"/>
          <w:szCs w:val="32"/>
          <w:highlight w:val="none"/>
          <w:lang w:val="en-US" w:eastAsia="zh-CN"/>
        </w:rPr>
        <w:t>：</w:t>
      </w:r>
    </w:p>
    <w:p w14:paraId="5858B59F">
      <w:pPr>
        <w:keepNext w:val="0"/>
        <w:keepLines w:val="0"/>
        <w:pageBreakBefore w:val="0"/>
        <w:widowControl w:val="0"/>
        <w:numPr>
          <w:numId w:val="0"/>
        </w:numPr>
        <w:kinsoku/>
        <w:wordWrap/>
        <w:overflowPunct/>
        <w:topLinePunct w:val="0"/>
        <w:bidi w:val="0"/>
        <w:adjustRightInd/>
        <w:snapToGrid/>
        <w:spacing w:line="240" w:lineRule="auto"/>
        <w:ind w:firstLine="640" w:firstLineChars="200"/>
        <w:jc w:val="both"/>
        <w:textAlignment w:val="auto"/>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1.塔里木河重要源流区山水林田湖草沙一体化保护和修复工程项目142810.47万元；</w:t>
      </w:r>
    </w:p>
    <w:p w14:paraId="2797030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2.自然灾害防治体系建设（特大型地质灾害防治）补助资金17950万元；</w:t>
      </w:r>
    </w:p>
    <w:p w14:paraId="05696FDE">
      <w:pPr>
        <w:keepNext w:val="0"/>
        <w:keepLines w:val="0"/>
        <w:pageBreakBefore w:val="0"/>
        <w:widowControl w:val="0"/>
        <w:numPr>
          <w:numId w:val="0"/>
        </w:numPr>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rPr>
      </w:pPr>
      <w:r>
        <w:rPr>
          <w:rFonts w:hint="eastAsia" w:eastAsia="仿宋_GB2312" w:cs="Times New Roman"/>
          <w:color w:val="auto"/>
          <w:sz w:val="32"/>
          <w:szCs w:val="32"/>
          <w:highlight w:val="none"/>
          <w:lang w:val="en-US" w:eastAsia="zh-CN"/>
        </w:rPr>
        <w:t>3.自治区自然资源资料档案库（馆）项目3004.28万元。</w:t>
      </w:r>
      <w:r>
        <w:rPr>
          <w:rFonts w:hint="eastAsia" w:eastAsia="仿宋_GB2312" w:cs="Times New Roman"/>
          <w:color w:val="auto"/>
          <w:sz w:val="32"/>
          <w:szCs w:val="32"/>
          <w:highlight w:val="none"/>
          <w:lang w:val="en-US" w:eastAsia="zh-CN"/>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75BB7E3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003F25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1AF91C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68E926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2D19751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4488F38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B06109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6EA5E0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DCA28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F39445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281D25C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4CECE9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783337E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06F698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1C203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7F081A7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0D8B31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1AB2AC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266FCAF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21F974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7BE34E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8FCFA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5A52EB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237721A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D439A8E">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4734F8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805C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0989F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60989F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yMTVkYzU0ZDg0NjQ1OWU0ZDM3MDI5NmQ1Y2JkMWUifQ=="/>
    <w:docVar w:name="KSO_WPS_MARK_KEY" w:val="41ee2a61-2d54-4f93-83be-afdb9a40d732"/>
  </w:docVars>
  <w:rsids>
    <w:rsidRoot w:val="00000000"/>
    <w:rsid w:val="00213C59"/>
    <w:rsid w:val="003210CE"/>
    <w:rsid w:val="00B70D59"/>
    <w:rsid w:val="00F52A8D"/>
    <w:rsid w:val="00FB3788"/>
    <w:rsid w:val="019404F8"/>
    <w:rsid w:val="02714EEA"/>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2E5519"/>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A41AC3"/>
    <w:rsid w:val="0E640559"/>
    <w:rsid w:val="0F1113DA"/>
    <w:rsid w:val="0F78534A"/>
    <w:rsid w:val="0F89358A"/>
    <w:rsid w:val="0F8C6D51"/>
    <w:rsid w:val="105B0B5E"/>
    <w:rsid w:val="112E58D0"/>
    <w:rsid w:val="11731CAC"/>
    <w:rsid w:val="119500A0"/>
    <w:rsid w:val="11C0733B"/>
    <w:rsid w:val="11D50D17"/>
    <w:rsid w:val="120E0809"/>
    <w:rsid w:val="12482ADA"/>
    <w:rsid w:val="127F665A"/>
    <w:rsid w:val="12F7068C"/>
    <w:rsid w:val="14207DC0"/>
    <w:rsid w:val="14B932DA"/>
    <w:rsid w:val="150A66AF"/>
    <w:rsid w:val="154C1139"/>
    <w:rsid w:val="158C5B77"/>
    <w:rsid w:val="160D1149"/>
    <w:rsid w:val="1619228C"/>
    <w:rsid w:val="161D4A83"/>
    <w:rsid w:val="163563C0"/>
    <w:rsid w:val="164315EF"/>
    <w:rsid w:val="16557DFE"/>
    <w:rsid w:val="167268FB"/>
    <w:rsid w:val="16770D0A"/>
    <w:rsid w:val="16D50C50"/>
    <w:rsid w:val="16E120E1"/>
    <w:rsid w:val="17175AFE"/>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C60B05"/>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9A660B"/>
    <w:rsid w:val="2ABC1DF7"/>
    <w:rsid w:val="2AF5378F"/>
    <w:rsid w:val="2BB94DBF"/>
    <w:rsid w:val="2C165AE7"/>
    <w:rsid w:val="2C6F314E"/>
    <w:rsid w:val="2CC206BE"/>
    <w:rsid w:val="2D1136DF"/>
    <w:rsid w:val="2D20606D"/>
    <w:rsid w:val="2DB87198"/>
    <w:rsid w:val="2DB93C54"/>
    <w:rsid w:val="2DDD6790"/>
    <w:rsid w:val="2E3D144C"/>
    <w:rsid w:val="2E891204"/>
    <w:rsid w:val="2EB9097F"/>
    <w:rsid w:val="2F3F0A28"/>
    <w:rsid w:val="2FBF7029"/>
    <w:rsid w:val="2FD0187F"/>
    <w:rsid w:val="2FD27414"/>
    <w:rsid w:val="2FFE4BB0"/>
    <w:rsid w:val="300E7B60"/>
    <w:rsid w:val="300F6E18"/>
    <w:rsid w:val="30862F5F"/>
    <w:rsid w:val="314029C9"/>
    <w:rsid w:val="31C63837"/>
    <w:rsid w:val="31C82E39"/>
    <w:rsid w:val="31C8619A"/>
    <w:rsid w:val="32601BAD"/>
    <w:rsid w:val="329F6389"/>
    <w:rsid w:val="3389023A"/>
    <w:rsid w:val="33CB74FA"/>
    <w:rsid w:val="343642F2"/>
    <w:rsid w:val="343F3010"/>
    <w:rsid w:val="345D0A00"/>
    <w:rsid w:val="34713BFD"/>
    <w:rsid w:val="34C13589"/>
    <w:rsid w:val="353369E3"/>
    <w:rsid w:val="35BC703C"/>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0C3BD9"/>
    <w:rsid w:val="3F183429"/>
    <w:rsid w:val="3FB77A1D"/>
    <w:rsid w:val="3FD233A4"/>
    <w:rsid w:val="3FDC3674"/>
    <w:rsid w:val="3FE86807"/>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21BE1"/>
    <w:rsid w:val="464B7E04"/>
    <w:rsid w:val="468041AA"/>
    <w:rsid w:val="468123C6"/>
    <w:rsid w:val="46901EEE"/>
    <w:rsid w:val="469C74D2"/>
    <w:rsid w:val="46FC7C9E"/>
    <w:rsid w:val="47445515"/>
    <w:rsid w:val="474B4782"/>
    <w:rsid w:val="47D90D14"/>
    <w:rsid w:val="48387FB0"/>
    <w:rsid w:val="48392258"/>
    <w:rsid w:val="483A6114"/>
    <w:rsid w:val="488727DB"/>
    <w:rsid w:val="48B82268"/>
    <w:rsid w:val="48C354B3"/>
    <w:rsid w:val="493D58B5"/>
    <w:rsid w:val="494A7A04"/>
    <w:rsid w:val="49FE1800"/>
    <w:rsid w:val="4A0A26D2"/>
    <w:rsid w:val="4A2019A5"/>
    <w:rsid w:val="4A241A0B"/>
    <w:rsid w:val="4A7B2875"/>
    <w:rsid w:val="4A934476"/>
    <w:rsid w:val="4AAA220A"/>
    <w:rsid w:val="4AE12E67"/>
    <w:rsid w:val="4B4C0111"/>
    <w:rsid w:val="4B735176"/>
    <w:rsid w:val="4B8553A9"/>
    <w:rsid w:val="4BDB3730"/>
    <w:rsid w:val="4C200F7A"/>
    <w:rsid w:val="4CEE3180"/>
    <w:rsid w:val="4D0F4AF6"/>
    <w:rsid w:val="4DF94F37"/>
    <w:rsid w:val="4E061D39"/>
    <w:rsid w:val="4E0A1DD5"/>
    <w:rsid w:val="4E3160E5"/>
    <w:rsid w:val="4E4D37AF"/>
    <w:rsid w:val="4E8C6496"/>
    <w:rsid w:val="4EFD18DE"/>
    <w:rsid w:val="4F144236"/>
    <w:rsid w:val="4F663C87"/>
    <w:rsid w:val="4F7E29A8"/>
    <w:rsid w:val="4F9E1FFC"/>
    <w:rsid w:val="50447CC2"/>
    <w:rsid w:val="50874A7C"/>
    <w:rsid w:val="50895EE7"/>
    <w:rsid w:val="50921B9D"/>
    <w:rsid w:val="509C3EA8"/>
    <w:rsid w:val="50D16158"/>
    <w:rsid w:val="50DB5F45"/>
    <w:rsid w:val="51025EB1"/>
    <w:rsid w:val="51141503"/>
    <w:rsid w:val="51687DDB"/>
    <w:rsid w:val="518D0ED5"/>
    <w:rsid w:val="525C687F"/>
    <w:rsid w:val="52F647F7"/>
    <w:rsid w:val="52F92565"/>
    <w:rsid w:val="530C3216"/>
    <w:rsid w:val="53D03877"/>
    <w:rsid w:val="542F73CA"/>
    <w:rsid w:val="5430786D"/>
    <w:rsid w:val="545A1D2A"/>
    <w:rsid w:val="54C811C0"/>
    <w:rsid w:val="54E01871"/>
    <w:rsid w:val="556A442D"/>
    <w:rsid w:val="55DA564E"/>
    <w:rsid w:val="5604127D"/>
    <w:rsid w:val="56166703"/>
    <w:rsid w:val="56510474"/>
    <w:rsid w:val="56861525"/>
    <w:rsid w:val="56A93273"/>
    <w:rsid w:val="56BD550C"/>
    <w:rsid w:val="56E07045"/>
    <w:rsid w:val="56FF28AF"/>
    <w:rsid w:val="57004513"/>
    <w:rsid w:val="57540E7D"/>
    <w:rsid w:val="577B4878"/>
    <w:rsid w:val="57926973"/>
    <w:rsid w:val="58175352"/>
    <w:rsid w:val="581F2200"/>
    <w:rsid w:val="583059FA"/>
    <w:rsid w:val="584A0929"/>
    <w:rsid w:val="58CD2491"/>
    <w:rsid w:val="58D34B82"/>
    <w:rsid w:val="590823F8"/>
    <w:rsid w:val="591B41B2"/>
    <w:rsid w:val="59254A26"/>
    <w:rsid w:val="59326325"/>
    <w:rsid w:val="595C505B"/>
    <w:rsid w:val="595E55C3"/>
    <w:rsid w:val="596E7E20"/>
    <w:rsid w:val="5A60780B"/>
    <w:rsid w:val="5AB34579"/>
    <w:rsid w:val="5AFC6609"/>
    <w:rsid w:val="5B113480"/>
    <w:rsid w:val="5B495D86"/>
    <w:rsid w:val="5BD456CE"/>
    <w:rsid w:val="5C0D1F49"/>
    <w:rsid w:val="5CBB0CE2"/>
    <w:rsid w:val="5CC17177"/>
    <w:rsid w:val="5CF306BC"/>
    <w:rsid w:val="5D38436F"/>
    <w:rsid w:val="5D3F3D64"/>
    <w:rsid w:val="5D833043"/>
    <w:rsid w:val="5DD92690"/>
    <w:rsid w:val="5DDB1CFD"/>
    <w:rsid w:val="5DEF2701"/>
    <w:rsid w:val="5E2D4789"/>
    <w:rsid w:val="5E3F358C"/>
    <w:rsid w:val="5E7E6D93"/>
    <w:rsid w:val="5ED44800"/>
    <w:rsid w:val="5F350BDE"/>
    <w:rsid w:val="5F4812CD"/>
    <w:rsid w:val="5F61632C"/>
    <w:rsid w:val="5FA17648"/>
    <w:rsid w:val="5FE705CB"/>
    <w:rsid w:val="603D5080"/>
    <w:rsid w:val="60D0261B"/>
    <w:rsid w:val="60F36BAA"/>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506CA6"/>
    <w:rsid w:val="69846A0E"/>
    <w:rsid w:val="69AA1366"/>
    <w:rsid w:val="69AD798C"/>
    <w:rsid w:val="69D005C0"/>
    <w:rsid w:val="69D80B96"/>
    <w:rsid w:val="6A663F5D"/>
    <w:rsid w:val="6B68175F"/>
    <w:rsid w:val="6BA030A4"/>
    <w:rsid w:val="6BB077E4"/>
    <w:rsid w:val="6BFD799F"/>
    <w:rsid w:val="6C4A2E5A"/>
    <w:rsid w:val="6C8138D0"/>
    <w:rsid w:val="6CEF0725"/>
    <w:rsid w:val="6D4B2604"/>
    <w:rsid w:val="6D8030E4"/>
    <w:rsid w:val="6DE85FD7"/>
    <w:rsid w:val="6E0E35C4"/>
    <w:rsid w:val="6E0F7A08"/>
    <w:rsid w:val="6E355ADD"/>
    <w:rsid w:val="6E3947F5"/>
    <w:rsid w:val="6E9C74ED"/>
    <w:rsid w:val="6EF72976"/>
    <w:rsid w:val="6F795A80"/>
    <w:rsid w:val="6F7C1D2E"/>
    <w:rsid w:val="6F8E0407"/>
    <w:rsid w:val="6FC1261D"/>
    <w:rsid w:val="6FDD069F"/>
    <w:rsid w:val="70180C13"/>
    <w:rsid w:val="702B4D16"/>
    <w:rsid w:val="70AA6621"/>
    <w:rsid w:val="71011981"/>
    <w:rsid w:val="7111480F"/>
    <w:rsid w:val="71261F49"/>
    <w:rsid w:val="712E6956"/>
    <w:rsid w:val="71473612"/>
    <w:rsid w:val="71504F32"/>
    <w:rsid w:val="7152309F"/>
    <w:rsid w:val="718F7F65"/>
    <w:rsid w:val="727B234E"/>
    <w:rsid w:val="72D068C7"/>
    <w:rsid w:val="72E42ED8"/>
    <w:rsid w:val="72EC0405"/>
    <w:rsid w:val="73243E50"/>
    <w:rsid w:val="735F4CB9"/>
    <w:rsid w:val="73674C62"/>
    <w:rsid w:val="73845865"/>
    <w:rsid w:val="739B6D9E"/>
    <w:rsid w:val="73BC1D76"/>
    <w:rsid w:val="73FB6630"/>
    <w:rsid w:val="7401229C"/>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081C42"/>
    <w:rsid w:val="7C7248A0"/>
    <w:rsid w:val="7C976D69"/>
    <w:rsid w:val="7CC27497"/>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13178</Words>
  <Characters>15005</Characters>
  <Lines>0</Lines>
  <Paragraphs>0</Paragraphs>
  <TotalTime>20</TotalTime>
  <ScaleCrop>false</ScaleCrop>
  <LinksUpToDate>false</LinksUpToDate>
  <CharactersWithSpaces>15098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悦己</cp:lastModifiedBy>
  <dcterms:modified xsi:type="dcterms:W3CDTF">2024-10-16T09:07:30Z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D624B15633CD43C8BF9435464A96BF70</vt:lpwstr>
  </property>
</Properties>
</file>