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406BA">
      <w:pPr>
        <w:rPr>
          <w:rFonts w:ascii="黑体" w:hAnsi="黑体" w:eastAsia="黑体"/>
          <w:sz w:val="32"/>
          <w:szCs w:val="32"/>
        </w:rPr>
      </w:pPr>
    </w:p>
    <w:p w14:paraId="66CA96F8">
      <w:pPr>
        <w:jc w:val="center"/>
        <w:rPr>
          <w:rFonts w:ascii="方正小标宋_GBK" w:hAnsi="宋体" w:eastAsia="方正小标宋_GBK"/>
          <w:sz w:val="44"/>
          <w:szCs w:val="44"/>
        </w:rPr>
      </w:pPr>
    </w:p>
    <w:p w14:paraId="575F95FC">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新疆维吾尔自治区自然资源信息中心（新疆维吾尔自治区自然资源档案馆）</w:t>
      </w:r>
    </w:p>
    <w:p w14:paraId="4A36E4FF">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69CBD3D">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3BF7F06F">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7605E996">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AC140F7">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FD2B8D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6E541E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FC11118">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F082C1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49A0D9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C05585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DE6252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EB3B8D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A4376C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9AF23E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E285D2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40E4DE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50BCCF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893AEB5">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E850682">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E573838">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D01FE0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1FA7BE3">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DDC3A36">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77E3475">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A83F52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47FB5A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A556B8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572AF6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6FA107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5321F5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49EF59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35B4ECF">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F2C2101">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32CF41F">
      <w:r>
        <w:rPr>
          <w:rFonts w:hint="eastAsia" w:ascii="仿宋_GB2312" w:hAnsi="仿宋_GB2312" w:eastAsia="仿宋_GB2312" w:cs="仿宋_GB2312"/>
          <w:sz w:val="32"/>
          <w:szCs w:val="32"/>
        </w:rPr>
        <w:fldChar w:fldCharType="end"/>
      </w:r>
    </w:p>
    <w:p w14:paraId="75B1F761">
      <w:pPr>
        <w:rPr>
          <w:rFonts w:ascii="仿宋_GB2312" w:eastAsia="仿宋_GB2312"/>
          <w:sz w:val="32"/>
          <w:szCs w:val="32"/>
        </w:rPr>
      </w:pPr>
      <w:r>
        <w:rPr>
          <w:rFonts w:hint="eastAsia" w:ascii="仿宋_GB2312" w:eastAsia="仿宋_GB2312"/>
          <w:sz w:val="32"/>
          <w:szCs w:val="32"/>
        </w:rPr>
        <w:br w:type="page"/>
      </w:r>
    </w:p>
    <w:p w14:paraId="28A3AA3E">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9CB9DCF">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F406585">
      <w:pPr>
        <w:ind w:firstLine="640" w:firstLineChars="200"/>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一是指导全区自然资源信息化建设工作，承担厅机关办公自动化网络系统和自然资源网站维护及技术服务</w:t>
      </w:r>
      <w:r>
        <w:rPr>
          <w:rFonts w:hint="eastAsia" w:ascii="仿宋_GB2312" w:eastAsia="仿宋_GB2312"/>
          <w:sz w:val="32"/>
          <w:szCs w:val="32"/>
          <w:lang w:eastAsia="zh-CN"/>
        </w:rPr>
        <w:t>；</w:t>
      </w:r>
    </w:p>
    <w:p w14:paraId="650EEC8E">
      <w:pPr>
        <w:ind w:firstLine="640" w:firstLineChars="200"/>
        <w:rPr>
          <w:rFonts w:ascii="仿宋_GB2312" w:eastAsia="仿宋_GB2312"/>
          <w:sz w:val="32"/>
          <w:szCs w:val="32"/>
        </w:rPr>
      </w:pPr>
      <w:r>
        <w:rPr>
          <w:rFonts w:ascii="仿宋_GB2312" w:eastAsia="仿宋_GB2312"/>
          <w:sz w:val="32"/>
          <w:szCs w:val="32"/>
        </w:rPr>
        <w:t>二是拟定全区土地、地质资料、地质科技档案管理制度并组织实施；保管厅机关综合档案资料；承担全区汇交土地、地质资料的接收、验收、整理、保管、借阅管理；</w:t>
      </w:r>
    </w:p>
    <w:p w14:paraId="633171C0">
      <w:pPr>
        <w:ind w:firstLine="640" w:firstLineChars="200"/>
        <w:rPr>
          <w:rFonts w:ascii="仿宋_GB2312" w:eastAsia="仿宋_GB2312"/>
          <w:sz w:val="32"/>
          <w:szCs w:val="32"/>
        </w:rPr>
      </w:pPr>
      <w:r>
        <w:rPr>
          <w:rFonts w:ascii="仿宋_GB2312" w:eastAsia="仿宋_GB2312"/>
          <w:sz w:val="32"/>
          <w:szCs w:val="32"/>
        </w:rPr>
        <w:t>三是承担自然资源数据库等应用研究工作；</w:t>
      </w:r>
    </w:p>
    <w:p w14:paraId="73D60D46">
      <w:pPr>
        <w:ind w:firstLine="640" w:firstLineChars="200"/>
        <w:rPr>
          <w:rFonts w:ascii="黑体" w:hAnsi="黑体" w:eastAsia="黑体" w:cs="宋体"/>
          <w:bCs/>
          <w:kern w:val="0"/>
          <w:sz w:val="32"/>
          <w:szCs w:val="32"/>
        </w:rPr>
      </w:pPr>
      <w:r>
        <w:rPr>
          <w:rFonts w:ascii="仿宋_GB2312" w:eastAsia="仿宋_GB2312"/>
          <w:sz w:val="32"/>
          <w:szCs w:val="32"/>
        </w:rPr>
        <w:t>四是承担自治区“地政、矿政”等业务报件的接收、发证及厅交办的其他事项</w:t>
      </w:r>
      <w:r>
        <w:rPr>
          <w:rFonts w:hint="eastAsia" w:ascii="仿宋_GB2312" w:eastAsia="仿宋_GB2312"/>
          <w:sz w:val="32"/>
          <w:szCs w:val="32"/>
        </w:rPr>
        <w:t>。</w:t>
      </w:r>
    </w:p>
    <w:p w14:paraId="663D06DE">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A8ED3F7">
      <w:pPr>
        <w:ind w:firstLine="640" w:firstLineChars="200"/>
        <w:jc w:val="left"/>
        <w:rPr>
          <w:rFonts w:hint="eastAsia" w:ascii="仿宋_GB2312" w:hAnsi="黑体" w:eastAsia="仿宋_GB2312" w:cs="宋体"/>
          <w:bCs/>
          <w:kern w:val="0"/>
          <w:sz w:val="32"/>
          <w:szCs w:val="32"/>
        </w:rPr>
      </w:pPr>
      <w:r>
        <w:rPr>
          <w:rFonts w:hint="eastAsia" w:ascii="仿宋_GB2312" w:eastAsia="仿宋_GB2312"/>
          <w:sz w:val="32"/>
          <w:szCs w:val="32"/>
        </w:rPr>
        <w:t>新疆维吾尔自治区自然资源信息中心（新疆维吾尔自治区自然资源档案馆）2023年度，实有人数</w:t>
      </w:r>
      <w:r>
        <w:rPr>
          <w:rFonts w:hint="eastAsia" w:ascii="仿宋_GB2312" w:eastAsia="仿宋_GB2312"/>
          <w:sz w:val="32"/>
          <w:szCs w:val="32"/>
          <w:lang w:val="zh-CN"/>
        </w:rPr>
        <w:t>57</w:t>
      </w:r>
      <w:r>
        <w:rPr>
          <w:rFonts w:hint="eastAsia" w:ascii="仿宋_GB2312" w:eastAsia="仿宋_GB2312"/>
          <w:sz w:val="32"/>
          <w:szCs w:val="32"/>
        </w:rPr>
        <w:t>人，其中：在职人员</w:t>
      </w:r>
      <w:r>
        <w:rPr>
          <w:rFonts w:hint="eastAsia" w:ascii="仿宋_GB2312" w:eastAsia="仿宋_GB2312"/>
          <w:sz w:val="32"/>
          <w:szCs w:val="32"/>
          <w:lang w:val="zh-CN"/>
        </w:rPr>
        <w:t>39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18</w:t>
      </w:r>
      <w:r>
        <w:rPr>
          <w:rFonts w:hint="eastAsia" w:ascii="仿宋_GB2312" w:eastAsia="仿宋_GB2312"/>
          <w:sz w:val="32"/>
          <w:szCs w:val="32"/>
        </w:rPr>
        <w:t>人。</w:t>
      </w:r>
    </w:p>
    <w:p w14:paraId="72F52A1C">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w:t>
      </w:r>
      <w:r>
        <w:rPr>
          <w:rFonts w:hint="eastAsia" w:ascii="仿宋_GB2312" w:eastAsia="仿宋_GB2312"/>
          <w:sz w:val="32"/>
          <w:szCs w:val="32"/>
        </w:rPr>
        <w:t>。</w:t>
      </w:r>
      <w:r>
        <w:rPr>
          <w:rFonts w:hint="eastAsia" w:ascii="仿宋_GB2312" w:hAnsi="黑体" w:eastAsia="仿宋_GB2312" w:cs="宋体"/>
          <w:bCs/>
          <w:kern w:val="0"/>
          <w:sz w:val="32"/>
          <w:szCs w:val="32"/>
        </w:rPr>
        <w:t>下设</w:t>
      </w:r>
      <w:r>
        <w:rPr>
          <w:rFonts w:hint="eastAsia" w:ascii="仿宋_GB2312" w:eastAsia="仿宋_GB2312"/>
          <w:sz w:val="32"/>
          <w:szCs w:val="32"/>
        </w:rPr>
        <w:t>12</w:t>
      </w:r>
      <w:r>
        <w:rPr>
          <w:rFonts w:hint="eastAsia" w:ascii="仿宋_GB2312" w:hAnsi="黑体" w:eastAsia="仿宋_GB2312" w:cs="宋体"/>
          <w:bCs/>
          <w:kern w:val="0"/>
          <w:sz w:val="32"/>
          <w:szCs w:val="32"/>
        </w:rPr>
        <w:t>个科室，分别是：办公室（党办）、计划财务科、规划综合科、系统运行科、网络管理科、数据监测分析室、窗口办公室、档案资料查阅科、档案资料整理科、数据汇交科、激光雷达技术研究所、信息技术咨询服务部</w:t>
      </w:r>
      <w:r>
        <w:rPr>
          <w:rFonts w:hint="eastAsia" w:ascii="仿宋_GB2312" w:hAnsi="宋体" w:eastAsia="仿宋_GB2312" w:cs="宋体"/>
          <w:kern w:val="0"/>
          <w:sz w:val="32"/>
          <w:szCs w:val="32"/>
        </w:rPr>
        <w:t>。</w:t>
      </w:r>
    </w:p>
    <w:p w14:paraId="0B6AA577">
      <w:pPr>
        <w:ind w:firstLine="640" w:firstLineChars="200"/>
        <w:rPr>
          <w:rFonts w:ascii="仿宋_GB2312" w:eastAsia="仿宋_GB2312"/>
          <w:sz w:val="32"/>
          <w:szCs w:val="32"/>
        </w:rPr>
      </w:pPr>
    </w:p>
    <w:p w14:paraId="3A96615D">
      <w:pPr>
        <w:ind w:firstLine="640" w:firstLineChars="200"/>
        <w:rPr>
          <w:rFonts w:ascii="仿宋_GB2312" w:eastAsia="仿宋_GB2312"/>
          <w:sz w:val="32"/>
          <w:szCs w:val="32"/>
        </w:rPr>
      </w:pPr>
    </w:p>
    <w:p w14:paraId="47F85F87">
      <w:pPr>
        <w:ind w:firstLine="640" w:firstLineChars="200"/>
        <w:rPr>
          <w:rFonts w:ascii="仿宋_GB2312" w:eastAsia="仿宋_GB2312"/>
          <w:sz w:val="32"/>
          <w:szCs w:val="32"/>
        </w:rPr>
      </w:pPr>
    </w:p>
    <w:p w14:paraId="047EBBAE">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6B73AFA">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7C1EDFAF">
      <w:pPr>
        <w:ind w:firstLine="640" w:firstLineChars="200"/>
        <w:jc w:val="left"/>
        <w:rPr>
          <w:rFonts w:ascii="仿宋_GB2312" w:eastAsia="仿宋_GB2312"/>
          <w:sz w:val="32"/>
          <w:szCs w:val="32"/>
        </w:rPr>
      </w:pPr>
      <w:r>
        <w:rPr>
          <w:rFonts w:hint="eastAsia" w:ascii="仿宋_GB2312" w:eastAsia="仿宋_GB2312"/>
          <w:sz w:val="32"/>
          <w:szCs w:val="32"/>
        </w:rPr>
        <w:t>2023年度收入总计3,830.46万元，其中：本年收入合计3,747.03万元，使用非财政拨款结余83.43万元，年初结转和结余0.00万元。</w:t>
      </w:r>
    </w:p>
    <w:p w14:paraId="5C8B6F4D">
      <w:pPr>
        <w:ind w:firstLine="640" w:firstLineChars="200"/>
        <w:jc w:val="left"/>
        <w:rPr>
          <w:rFonts w:ascii="仿宋_GB2312" w:eastAsia="仿宋_GB2312"/>
          <w:sz w:val="32"/>
          <w:szCs w:val="32"/>
        </w:rPr>
      </w:pPr>
      <w:r>
        <w:rPr>
          <w:rFonts w:hint="eastAsia" w:ascii="仿宋_GB2312" w:eastAsia="仿宋_GB2312"/>
          <w:sz w:val="32"/>
          <w:szCs w:val="32"/>
        </w:rPr>
        <w:t>2023年度支出总计3,830.46万元，其中：本年支出合计3,587.00万元，结余分配243.46万元，年末结转和结余0.00万元。</w:t>
      </w:r>
    </w:p>
    <w:p w14:paraId="59DBD25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增加690.77万元</w:t>
      </w:r>
      <w:r>
        <w:rPr>
          <w:rFonts w:hint="eastAsia" w:ascii="仿宋_GB2312" w:eastAsia="仿宋_GB2312"/>
          <w:sz w:val="32"/>
          <w:szCs w:val="32"/>
        </w:rPr>
        <w:t>，</w:t>
      </w:r>
      <w:r>
        <w:rPr>
          <w:rFonts w:hint="eastAsia" w:ascii="仿宋_GB2312" w:eastAsia="仿宋_GB2312"/>
          <w:sz w:val="32"/>
          <w:szCs w:val="32"/>
          <w:lang w:val="zh-CN"/>
        </w:rPr>
        <w:t>增长22.00%</w:t>
      </w:r>
      <w:r>
        <w:rPr>
          <w:rFonts w:hint="eastAsia" w:ascii="仿宋_GB2312" w:eastAsia="仿宋_GB2312"/>
          <w:sz w:val="32"/>
          <w:szCs w:val="32"/>
        </w:rPr>
        <w:t>，主要原因是：2023年度人员工资、基础绩效奖、日常公用经费等正常晋升普调，2023年经营收入较2022年增加，财政基本支出、财政项目支出较2022年增加所致。</w:t>
      </w:r>
    </w:p>
    <w:p w14:paraId="6015BD1B">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ED5847C">
      <w:pPr>
        <w:ind w:firstLine="640" w:firstLineChars="200"/>
        <w:jc w:val="left"/>
        <w:rPr>
          <w:rFonts w:ascii="仿宋_GB2312" w:eastAsia="仿宋_GB2312"/>
          <w:sz w:val="32"/>
          <w:szCs w:val="32"/>
        </w:rPr>
      </w:pPr>
      <w:r>
        <w:rPr>
          <w:rFonts w:hint="eastAsia" w:ascii="仿宋_GB2312" w:eastAsia="仿宋_GB2312"/>
          <w:sz w:val="32"/>
          <w:szCs w:val="32"/>
        </w:rPr>
        <w:t>本年收入3,747.03万元，其中：财政拨款收入</w:t>
      </w:r>
      <w:r>
        <w:rPr>
          <w:rFonts w:hint="eastAsia" w:ascii="仿宋_GB2312" w:eastAsia="仿宋_GB2312"/>
          <w:sz w:val="32"/>
          <w:szCs w:val="32"/>
          <w:lang w:val="zh-CN"/>
        </w:rPr>
        <w:t>3,278.59</w:t>
      </w:r>
      <w:r>
        <w:rPr>
          <w:rFonts w:hint="eastAsia" w:ascii="仿宋_GB2312" w:eastAsia="仿宋_GB2312"/>
          <w:sz w:val="32"/>
          <w:szCs w:val="32"/>
        </w:rPr>
        <w:t>万元，占</w:t>
      </w:r>
      <w:r>
        <w:rPr>
          <w:rFonts w:hint="eastAsia" w:ascii="仿宋_GB2312" w:eastAsia="仿宋_GB2312"/>
          <w:sz w:val="32"/>
          <w:szCs w:val="32"/>
          <w:lang w:val="zh-CN"/>
        </w:rPr>
        <w:t>87.50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467.41</w:t>
      </w:r>
      <w:r>
        <w:rPr>
          <w:rFonts w:hint="eastAsia" w:ascii="仿宋_GB2312" w:eastAsia="仿宋_GB2312"/>
          <w:sz w:val="32"/>
          <w:szCs w:val="32"/>
        </w:rPr>
        <w:t>万元，占</w:t>
      </w:r>
      <w:r>
        <w:rPr>
          <w:rFonts w:hint="eastAsia" w:ascii="仿宋_GB2312" w:eastAsia="仿宋_GB2312"/>
          <w:sz w:val="32"/>
          <w:szCs w:val="32"/>
          <w:lang w:val="zh-CN"/>
        </w:rPr>
        <w:t>12.47</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1.03</w:t>
      </w:r>
      <w:r>
        <w:rPr>
          <w:rFonts w:hint="eastAsia" w:ascii="仿宋_GB2312" w:eastAsia="仿宋_GB2312"/>
          <w:sz w:val="32"/>
          <w:szCs w:val="32"/>
        </w:rPr>
        <w:t>万元，占</w:t>
      </w:r>
      <w:r>
        <w:rPr>
          <w:rFonts w:hint="eastAsia" w:ascii="仿宋_GB2312" w:eastAsia="仿宋_GB2312"/>
          <w:sz w:val="32"/>
          <w:szCs w:val="32"/>
          <w:lang w:val="zh-CN"/>
        </w:rPr>
        <w:t>0.03</w:t>
      </w:r>
      <w:r>
        <w:rPr>
          <w:rFonts w:hint="eastAsia" w:ascii="仿宋_GB2312" w:eastAsia="仿宋_GB2312"/>
          <w:sz w:val="32"/>
          <w:szCs w:val="32"/>
        </w:rPr>
        <w:t>%。</w:t>
      </w:r>
    </w:p>
    <w:p w14:paraId="6F1121C2">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7E0EC137">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本年支出3,587.00万元，其中：基本支出1,000.49万元，占27.89%；项目支出2,361.53万元，占65.84%；上缴上级支出0.00万元，占0.00%；经营支出224.98万元，占6.27%；对附属单位补助支出0.00万元，占0.00%。</w:t>
      </w:r>
    </w:p>
    <w:p w14:paraId="05B1BF6B">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BAEBF4C">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2023年度财政拨款收入总计3,278.59万元，其中：年初财政拨款结转和结余0.00万元，本年财政拨款收入3,278.59万元。财政拨款支出总计3,278.59万元，其中：年末财政拨款结转和结余0.00万元，本年财政拨款支出3,278.59万元。</w:t>
      </w:r>
    </w:p>
    <w:p w14:paraId="473E973C">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增加353.11万元</w:t>
      </w:r>
      <w:r>
        <w:rPr>
          <w:rFonts w:hint="eastAsia" w:ascii="仿宋_GB2312" w:eastAsia="仿宋_GB2312"/>
          <w:sz w:val="32"/>
          <w:szCs w:val="32"/>
        </w:rPr>
        <w:t>，</w:t>
      </w:r>
      <w:r>
        <w:rPr>
          <w:rFonts w:hint="eastAsia" w:ascii="仿宋_GB2312" w:eastAsia="仿宋_GB2312"/>
          <w:sz w:val="32"/>
          <w:szCs w:val="32"/>
          <w:lang w:val="zh-CN"/>
        </w:rPr>
        <w:t>增长12.07%，</w:t>
      </w:r>
      <w:r>
        <w:rPr>
          <w:rFonts w:hint="eastAsia" w:ascii="仿宋_GB2312" w:eastAsia="仿宋_GB2312"/>
          <w:sz w:val="32"/>
          <w:szCs w:val="32"/>
        </w:rPr>
        <w:t>主要原因是：2023年度人员工资、基础绩效奖、日常公用经费等正常晋升普调，财政项目支出较2022年增加351.62万元，其中2022年结转财政项目支出174.73万元。与年初预算相比，年初预算数</w:t>
      </w:r>
      <w:r>
        <w:rPr>
          <w:rFonts w:hint="eastAsia" w:ascii="仿宋_GB2312" w:eastAsia="仿宋_GB2312"/>
          <w:sz w:val="32"/>
          <w:szCs w:val="32"/>
          <w:lang w:val="zh-CN"/>
        </w:rPr>
        <w:t>3,218.75</w:t>
      </w:r>
      <w:r>
        <w:rPr>
          <w:rFonts w:hint="eastAsia" w:ascii="仿宋_GB2312" w:eastAsia="仿宋_GB2312"/>
          <w:sz w:val="32"/>
          <w:szCs w:val="32"/>
        </w:rPr>
        <w:t>万元，决算数</w:t>
      </w:r>
      <w:r>
        <w:rPr>
          <w:rFonts w:hint="eastAsia" w:ascii="仿宋_GB2312" w:eastAsia="仿宋_GB2312"/>
          <w:sz w:val="32"/>
          <w:szCs w:val="32"/>
          <w:lang w:val="zh-CN"/>
        </w:rPr>
        <w:t>3,278.59</w:t>
      </w:r>
      <w:r>
        <w:rPr>
          <w:rFonts w:hint="eastAsia" w:ascii="仿宋_GB2312" w:eastAsia="仿宋_GB2312"/>
          <w:sz w:val="32"/>
          <w:szCs w:val="32"/>
        </w:rPr>
        <w:t>万元，预决算差异率1.86%，主要原因是：年中追加访惠聚工作人员津贴补贴、2022-2023年提高基础绩效奖、退休人员基础绩效奖、在职人员2022年度考核奖、民族团结一家亲交通费、职业年金等。</w:t>
      </w:r>
    </w:p>
    <w:p w14:paraId="0C8B280A">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80CD151">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AEFCFCB">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2023年度一般公共预算财政拨款支出3,278.59万元，占本年支出合计的</w:t>
      </w:r>
      <w:r>
        <w:rPr>
          <w:rFonts w:hint="eastAsia" w:ascii="仿宋_GB2312" w:eastAsia="仿宋_GB2312"/>
          <w:sz w:val="32"/>
          <w:szCs w:val="32"/>
          <w:lang w:val="zh-CN"/>
        </w:rPr>
        <w:t>91.40%</w:t>
      </w:r>
      <w:r>
        <w:rPr>
          <w:rFonts w:hint="eastAsia" w:ascii="仿宋_GB2312" w:eastAsia="仿宋_GB2312"/>
          <w:sz w:val="32"/>
          <w:szCs w:val="32"/>
        </w:rPr>
        <w:t>。与上年相比，</w:t>
      </w:r>
      <w:r>
        <w:rPr>
          <w:rFonts w:hint="eastAsia" w:ascii="仿宋_GB2312" w:eastAsia="仿宋_GB2312"/>
          <w:sz w:val="32"/>
          <w:szCs w:val="32"/>
          <w:lang w:val="zh-CN"/>
        </w:rPr>
        <w:t>增加353.11万元</w:t>
      </w:r>
      <w:r>
        <w:rPr>
          <w:rFonts w:hint="eastAsia" w:ascii="仿宋_GB2312" w:eastAsia="仿宋_GB2312"/>
          <w:sz w:val="32"/>
          <w:szCs w:val="32"/>
        </w:rPr>
        <w:t>，</w:t>
      </w:r>
      <w:r>
        <w:rPr>
          <w:rFonts w:hint="eastAsia" w:ascii="仿宋_GB2312" w:eastAsia="仿宋_GB2312"/>
          <w:sz w:val="32"/>
          <w:szCs w:val="32"/>
          <w:lang w:val="zh-CN"/>
        </w:rPr>
        <w:t>增长12.07%，</w:t>
      </w:r>
      <w:r>
        <w:rPr>
          <w:rFonts w:hint="eastAsia" w:ascii="仿宋_GB2312" w:eastAsia="仿宋_GB2312"/>
          <w:sz w:val="32"/>
          <w:szCs w:val="32"/>
        </w:rPr>
        <w:t>主要原因是：财政项目支出较2022年增加351.62万元。与年初预算相比，年初预算数</w:t>
      </w:r>
      <w:r>
        <w:rPr>
          <w:rFonts w:hint="eastAsia" w:ascii="仿宋_GB2312" w:eastAsia="仿宋_GB2312"/>
          <w:sz w:val="32"/>
          <w:szCs w:val="32"/>
          <w:lang w:val="zh-CN"/>
        </w:rPr>
        <w:t>3,218.75</w:t>
      </w:r>
      <w:r>
        <w:rPr>
          <w:rFonts w:hint="eastAsia" w:ascii="仿宋_GB2312" w:eastAsia="仿宋_GB2312"/>
          <w:sz w:val="32"/>
          <w:szCs w:val="32"/>
        </w:rPr>
        <w:t>万元，决算数</w:t>
      </w:r>
      <w:r>
        <w:rPr>
          <w:rFonts w:hint="eastAsia" w:ascii="仿宋_GB2312" w:eastAsia="仿宋_GB2312"/>
          <w:sz w:val="32"/>
          <w:szCs w:val="32"/>
          <w:lang w:val="zh-CN"/>
        </w:rPr>
        <w:t>3,278.59</w:t>
      </w:r>
      <w:r>
        <w:rPr>
          <w:rFonts w:hint="eastAsia" w:ascii="仿宋_GB2312" w:eastAsia="仿宋_GB2312"/>
          <w:sz w:val="32"/>
          <w:szCs w:val="32"/>
        </w:rPr>
        <w:t>万元，预决算差异率</w:t>
      </w:r>
      <w:r>
        <w:rPr>
          <w:rFonts w:hint="eastAsia" w:ascii="仿宋_GB2312" w:eastAsia="仿宋_GB2312"/>
          <w:sz w:val="32"/>
          <w:szCs w:val="32"/>
          <w:lang w:val="zh-CN"/>
        </w:rPr>
        <w:t>1.86%</w:t>
      </w:r>
      <w:r>
        <w:rPr>
          <w:rFonts w:hint="eastAsia" w:ascii="仿宋_GB2312" w:eastAsia="仿宋_GB2312"/>
          <w:sz w:val="32"/>
          <w:szCs w:val="32"/>
        </w:rPr>
        <w:t>，主要原因是：年中追加访惠聚工作人员津贴补贴、2022-2023年提高基础绩效奖、退休人员基础绩效奖、在职人员2022年度考核奖、民族团结一家亲交通费、职业年金等。</w:t>
      </w:r>
    </w:p>
    <w:p w14:paraId="0EEC74AA">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5C42D0C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125.41</w:t>
      </w:r>
      <w:r>
        <w:rPr>
          <w:rFonts w:ascii="仿宋_GB2312" w:eastAsia="仿宋_GB2312"/>
          <w:kern w:val="2"/>
          <w:sz w:val="32"/>
          <w:szCs w:val="32"/>
          <w:lang w:val="zh-CN"/>
        </w:rPr>
        <w:t>万元，占</w:t>
      </w:r>
      <w:r>
        <w:rPr>
          <w:rFonts w:hint="eastAsia" w:ascii="仿宋_GB2312" w:eastAsia="仿宋_GB2312"/>
          <w:kern w:val="2"/>
          <w:sz w:val="32"/>
          <w:szCs w:val="32"/>
          <w:lang w:val="zh-CN"/>
        </w:rPr>
        <w:t>3.83</w:t>
      </w:r>
      <w:r>
        <w:rPr>
          <w:rFonts w:ascii="仿宋_GB2312" w:eastAsia="仿宋_GB2312"/>
          <w:kern w:val="2"/>
          <w:sz w:val="32"/>
          <w:szCs w:val="32"/>
          <w:lang w:val="zh-CN"/>
        </w:rPr>
        <w:t>%；</w:t>
      </w:r>
    </w:p>
    <w:p w14:paraId="7234F59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73.04</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p>
    <w:p w14:paraId="2B9148D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3,020.58</w:t>
      </w:r>
      <w:r>
        <w:rPr>
          <w:rFonts w:ascii="仿宋_GB2312" w:eastAsia="仿宋_GB2312"/>
          <w:kern w:val="2"/>
          <w:sz w:val="32"/>
          <w:szCs w:val="32"/>
          <w:lang w:val="zh-CN"/>
        </w:rPr>
        <w:t>万元，占</w:t>
      </w:r>
      <w:r>
        <w:rPr>
          <w:rFonts w:hint="eastAsia" w:ascii="仿宋_GB2312" w:eastAsia="仿宋_GB2312"/>
          <w:kern w:val="2"/>
          <w:sz w:val="32"/>
          <w:szCs w:val="32"/>
          <w:lang w:val="zh-CN"/>
        </w:rPr>
        <w:t>92.13</w:t>
      </w:r>
      <w:r>
        <w:rPr>
          <w:rFonts w:ascii="仿宋_GB2312" w:eastAsia="仿宋_GB2312"/>
          <w:kern w:val="2"/>
          <w:sz w:val="32"/>
          <w:szCs w:val="32"/>
          <w:lang w:val="zh-CN"/>
        </w:rPr>
        <w:t>%；</w:t>
      </w:r>
    </w:p>
    <w:p w14:paraId="76B56E6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59.56</w:t>
      </w:r>
      <w:r>
        <w:rPr>
          <w:rFonts w:ascii="仿宋_GB2312" w:eastAsia="仿宋_GB2312"/>
          <w:kern w:val="2"/>
          <w:sz w:val="32"/>
          <w:szCs w:val="32"/>
          <w:lang w:val="zh-CN"/>
        </w:rPr>
        <w:t>万元，占</w:t>
      </w:r>
      <w:r>
        <w:rPr>
          <w:rFonts w:hint="eastAsia" w:ascii="仿宋_GB2312" w:eastAsia="仿宋_GB2312"/>
          <w:kern w:val="2"/>
          <w:sz w:val="32"/>
          <w:szCs w:val="32"/>
          <w:lang w:val="zh-CN"/>
        </w:rPr>
        <w:t>1.81</w:t>
      </w:r>
      <w:r>
        <w:rPr>
          <w:rFonts w:ascii="仿宋_GB2312" w:eastAsia="仿宋_GB2312"/>
          <w:kern w:val="2"/>
          <w:sz w:val="32"/>
          <w:szCs w:val="32"/>
          <w:lang w:val="zh-CN"/>
        </w:rPr>
        <w:t>%；</w:t>
      </w:r>
    </w:p>
    <w:p w14:paraId="44C62236">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368B64D3">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1.卫生健康支出（类）行政事业单位医疗（款）事业单位医疗（项）:支出决算数为39.99万元，比上年决算增加0.68万元，增长1.73%，主要原因是：</w:t>
      </w:r>
      <w:r>
        <w:rPr>
          <w:rFonts w:hint="eastAsia" w:ascii="仿宋_GB2312" w:eastAsia="仿宋_GB2312"/>
          <w:sz w:val="32"/>
          <w:szCs w:val="32"/>
        </w:rPr>
        <w:t>2023年度事业单位基本医疗缴费基数上调，</w:t>
      </w:r>
      <w:r>
        <w:rPr>
          <w:rFonts w:hint="eastAsia" w:ascii="仿宋_GB2312" w:eastAsia="仿宋_GB2312"/>
          <w:sz w:val="32"/>
          <w:szCs w:val="32"/>
          <w:lang w:eastAsia="zh-CN"/>
        </w:rPr>
        <w:t>因此</w:t>
      </w:r>
      <w:r>
        <w:rPr>
          <w:rFonts w:hint="eastAsia" w:ascii="仿宋_GB2312" w:eastAsia="仿宋_GB2312"/>
          <w:sz w:val="32"/>
          <w:szCs w:val="32"/>
        </w:rPr>
        <w:t>比上年决算增加</w:t>
      </w:r>
      <w:r>
        <w:rPr>
          <w:rFonts w:hint="eastAsia" w:eastAsia="仿宋_GB2312"/>
          <w:sz w:val="32"/>
          <w:szCs w:val="32"/>
          <w:lang w:val="zh-CN"/>
        </w:rPr>
        <w:t>。</w:t>
      </w:r>
    </w:p>
    <w:p w14:paraId="6BE557B7">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2.卫生健康支出（类）行政事业单位医疗（款）公务员医疗补助（项）:支出决算数为33.05万元，比上年决算增加2.48万元，增长8.11%，主要原因是：</w:t>
      </w:r>
      <w:r>
        <w:rPr>
          <w:rFonts w:hint="eastAsia" w:ascii="仿宋_GB2312" w:eastAsia="仿宋_GB2312"/>
          <w:sz w:val="32"/>
          <w:szCs w:val="32"/>
        </w:rPr>
        <w:t>2023年度公务员医疗补助缴费基数上调，</w:t>
      </w:r>
      <w:r>
        <w:rPr>
          <w:rFonts w:hint="eastAsia" w:ascii="仿宋_GB2312" w:eastAsia="仿宋_GB2312"/>
          <w:sz w:val="32"/>
          <w:szCs w:val="32"/>
          <w:lang w:eastAsia="zh-CN"/>
        </w:rPr>
        <w:t>因此</w:t>
      </w:r>
      <w:r>
        <w:rPr>
          <w:rFonts w:hint="eastAsia" w:ascii="仿宋_GB2312" w:eastAsia="仿宋_GB2312"/>
          <w:sz w:val="32"/>
          <w:szCs w:val="32"/>
        </w:rPr>
        <w:t>比上年决算数增加</w:t>
      </w:r>
      <w:r>
        <w:rPr>
          <w:rFonts w:hint="eastAsia" w:eastAsia="仿宋_GB2312"/>
          <w:sz w:val="32"/>
          <w:szCs w:val="32"/>
          <w:lang w:val="zh-CN"/>
        </w:rPr>
        <w:t>。</w:t>
      </w:r>
    </w:p>
    <w:p w14:paraId="27B69D1F">
      <w:pPr>
        <w:ind w:firstLine="640" w:firstLineChars="200"/>
        <w:rPr>
          <w:rFonts w:eastAsia="仿宋_GB2312"/>
          <w:sz w:val="32"/>
          <w:szCs w:val="32"/>
          <w:lang w:val="zh-CN"/>
        </w:rPr>
      </w:pPr>
      <w:r>
        <w:rPr>
          <w:rFonts w:hint="eastAsia" w:eastAsia="仿宋_GB2312"/>
          <w:sz w:val="32"/>
          <w:szCs w:val="32"/>
        </w:rPr>
        <w:t>3.住房保障支出（类）住房改革支出（款）住房公积金（项）:支出决算数为59.56万元，比上年决算增加4.85万元，增长8.86%，主要原因是：</w:t>
      </w:r>
      <w:r>
        <w:rPr>
          <w:rFonts w:hint="eastAsia" w:ascii="仿宋_GB2312" w:eastAsia="仿宋_GB2312"/>
          <w:sz w:val="32"/>
          <w:szCs w:val="32"/>
        </w:rPr>
        <w:t>2023年度住房公积金缴费基数上调，</w:t>
      </w:r>
      <w:r>
        <w:rPr>
          <w:rFonts w:hint="eastAsia" w:ascii="仿宋_GB2312" w:eastAsia="仿宋_GB2312"/>
          <w:sz w:val="32"/>
          <w:szCs w:val="32"/>
          <w:lang w:eastAsia="zh-CN"/>
        </w:rPr>
        <w:t>因此</w:t>
      </w:r>
      <w:r>
        <w:rPr>
          <w:rFonts w:hint="eastAsia" w:ascii="仿宋_GB2312" w:eastAsia="仿宋_GB2312"/>
          <w:sz w:val="32"/>
          <w:szCs w:val="32"/>
        </w:rPr>
        <w:t>比上年决算数增加</w:t>
      </w:r>
      <w:r>
        <w:rPr>
          <w:rFonts w:hint="eastAsia" w:eastAsia="仿宋_GB2312"/>
          <w:sz w:val="32"/>
          <w:szCs w:val="32"/>
          <w:lang w:val="zh-CN"/>
        </w:rPr>
        <w:t>。</w:t>
      </w:r>
    </w:p>
    <w:p w14:paraId="0861BB67">
      <w:pPr>
        <w:ind w:firstLine="640" w:firstLineChars="200"/>
        <w:rPr>
          <w:rFonts w:eastAsia="仿宋_GB2312"/>
          <w:sz w:val="32"/>
          <w:szCs w:val="32"/>
          <w:lang w:val="zh-CN"/>
        </w:rPr>
      </w:pPr>
      <w:r>
        <w:rPr>
          <w:rFonts w:hint="eastAsia" w:eastAsia="仿宋_GB2312"/>
          <w:sz w:val="32"/>
          <w:szCs w:val="32"/>
        </w:rPr>
        <w:t>4.自然资源海洋气象等支出（类）自然资源事务（款）事业运行（项）:支出决算数为659.06万元，比上年决算减少14.00万元，下降2.08%，主要原因是：</w:t>
      </w:r>
      <w:r>
        <w:rPr>
          <w:rFonts w:hint="eastAsia" w:eastAsia="仿宋_GB2312"/>
          <w:sz w:val="32"/>
          <w:szCs w:val="32"/>
          <w:lang w:val="zh-CN"/>
        </w:rPr>
        <w:t>2023年较2022年在职人员减少2人，其中在职转退休1人，调出1人，</w:t>
      </w:r>
      <w:r>
        <w:rPr>
          <w:rFonts w:hint="eastAsia" w:ascii="仿宋_GB2312" w:eastAsia="仿宋_GB2312"/>
          <w:sz w:val="32"/>
          <w:szCs w:val="32"/>
          <w:lang w:eastAsia="zh-CN"/>
        </w:rPr>
        <w:t>因此</w:t>
      </w:r>
      <w:r>
        <w:rPr>
          <w:rFonts w:hint="eastAsia" w:eastAsia="仿宋_GB2312"/>
          <w:sz w:val="32"/>
          <w:szCs w:val="32"/>
          <w:lang w:val="zh-CN"/>
        </w:rPr>
        <w:t>人员工资支出减少。</w:t>
      </w:r>
    </w:p>
    <w:p w14:paraId="608C219F">
      <w:pPr>
        <w:ind w:firstLine="640" w:firstLineChars="200"/>
        <w:rPr>
          <w:rFonts w:eastAsia="仿宋_GB2312"/>
          <w:sz w:val="32"/>
          <w:szCs w:val="32"/>
          <w:lang w:val="zh-CN"/>
        </w:rPr>
      </w:pPr>
      <w:r>
        <w:rPr>
          <w:rFonts w:hint="eastAsia" w:eastAsia="仿宋_GB2312"/>
          <w:sz w:val="32"/>
          <w:szCs w:val="32"/>
        </w:rPr>
        <w:t>5.社会保障和就业支出（类）行政事业单位养老支出（款）事业单位离退休（项）:支出决算数为31.03万元，比上年决算减少8.07万元，下降20.64%，主要原因是2023年财政不再安排退休人员医疗费补助资金</w:t>
      </w:r>
      <w:r>
        <w:rPr>
          <w:rFonts w:hint="eastAsia" w:eastAsia="仿宋_GB2312"/>
          <w:sz w:val="32"/>
          <w:szCs w:val="32"/>
          <w:lang w:val="zh-CN"/>
        </w:rPr>
        <w:t>。</w:t>
      </w:r>
    </w:p>
    <w:p w14:paraId="69F7C0DA">
      <w:pPr>
        <w:ind w:firstLine="640" w:firstLineChars="200"/>
        <w:rPr>
          <w:rFonts w:eastAsia="仿宋_GB2312"/>
          <w:sz w:val="32"/>
          <w:szCs w:val="32"/>
          <w:lang w:val="zh-CN"/>
        </w:rPr>
      </w:pPr>
      <w:r>
        <w:rPr>
          <w:rFonts w:hint="eastAsia" w:eastAsia="仿宋_GB2312"/>
          <w:sz w:val="32"/>
          <w:szCs w:val="32"/>
        </w:rPr>
        <w:t>6.自然资源海洋气象等支出（类）自然资源事务（款）自然资源社会公益服务（项）:支出决算数为2,361.53万元，比上年决算增加351.62万元，增长17.49%，主要原因是：</w:t>
      </w:r>
      <w:r>
        <w:rPr>
          <w:rFonts w:hint="eastAsia" w:ascii="仿宋_GB2312" w:eastAsia="仿宋_GB2312"/>
          <w:sz w:val="32"/>
          <w:szCs w:val="32"/>
        </w:rPr>
        <w:t>财政项目支出较2022年增加351.62万元</w:t>
      </w:r>
      <w:r>
        <w:rPr>
          <w:rFonts w:hint="eastAsia" w:eastAsia="仿宋_GB2312"/>
          <w:sz w:val="32"/>
          <w:szCs w:val="32"/>
          <w:lang w:val="zh-CN"/>
        </w:rPr>
        <w:t>。</w:t>
      </w:r>
    </w:p>
    <w:p w14:paraId="4894F206">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7.社会保障和就业支出（类）行政事业单位养老支出（款）机关事业单位职业年金缴费支出（项）:支出决算数为20.64万元，比上年决算增加14.75万元，增长250.42%，主要原因是：</w:t>
      </w:r>
      <w:r>
        <w:rPr>
          <w:rFonts w:hint="eastAsia" w:eastAsia="仿宋_GB2312"/>
          <w:sz w:val="32"/>
          <w:szCs w:val="32"/>
          <w:lang w:val="zh-CN"/>
        </w:rPr>
        <w:t>2022年1人职业年金缴费支出，2023年3人职业年金缴费支出，</w:t>
      </w:r>
      <w:r>
        <w:rPr>
          <w:rFonts w:hint="eastAsia" w:ascii="仿宋_GB2312" w:eastAsia="仿宋_GB2312"/>
          <w:sz w:val="32"/>
          <w:szCs w:val="32"/>
          <w:lang w:eastAsia="zh-CN"/>
        </w:rPr>
        <w:t>因此较上年增加</w:t>
      </w:r>
      <w:r>
        <w:rPr>
          <w:rFonts w:hint="eastAsia" w:eastAsia="仿宋_GB2312"/>
          <w:sz w:val="32"/>
          <w:szCs w:val="32"/>
          <w:lang w:val="zh-CN"/>
        </w:rPr>
        <w:t>。</w:t>
      </w:r>
    </w:p>
    <w:p w14:paraId="281E59C5">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8.社会保障和就业支出（类）行政事业单位养老支出（款）机关事业单位基本养老保险缴费支出（项）:支出决算数为73.74万元，比上年决算增加0.80万元，增长1.10%，主要原因是：</w:t>
      </w:r>
      <w:r>
        <w:rPr>
          <w:rFonts w:hint="eastAsia" w:ascii="仿宋_GB2312" w:eastAsia="仿宋_GB2312"/>
          <w:sz w:val="32"/>
          <w:szCs w:val="32"/>
        </w:rPr>
        <w:t>2023年度机关事业单位基本养老保险缴费基数上调，</w:t>
      </w:r>
      <w:r>
        <w:rPr>
          <w:rFonts w:hint="eastAsia" w:ascii="仿宋_GB2312" w:eastAsia="仿宋_GB2312"/>
          <w:sz w:val="32"/>
          <w:szCs w:val="32"/>
          <w:lang w:eastAsia="zh-CN"/>
        </w:rPr>
        <w:t>因此</w:t>
      </w:r>
      <w:r>
        <w:rPr>
          <w:rFonts w:hint="eastAsia" w:ascii="仿宋_GB2312" w:eastAsia="仿宋_GB2312"/>
          <w:sz w:val="32"/>
          <w:szCs w:val="32"/>
        </w:rPr>
        <w:t>比上年决算数增加</w:t>
      </w:r>
      <w:r>
        <w:rPr>
          <w:rFonts w:hint="eastAsia" w:eastAsia="仿宋_GB2312"/>
          <w:sz w:val="32"/>
          <w:szCs w:val="32"/>
          <w:lang w:val="zh-CN"/>
        </w:rPr>
        <w:t>。</w:t>
      </w:r>
    </w:p>
    <w:p w14:paraId="6ACB3800">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51BA9E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917.06万元，其中：人员经费863.11万元，包括：基本工资、津贴补贴、绩效工资、机关事业单位基本养老保险缴费、职业年金缴费、职工基本医疗保险缴费、公务员医疗补助缴费、其他社会保障缴费、住房公积金、退休费、奖励金。</w:t>
      </w:r>
    </w:p>
    <w:p w14:paraId="44F7603E">
      <w:pPr>
        <w:ind w:firstLine="640" w:firstLineChars="200"/>
        <w:jc w:val="left"/>
        <w:rPr>
          <w:rFonts w:ascii="仿宋_GB2312" w:eastAsia="仿宋_GB2312"/>
          <w:sz w:val="32"/>
          <w:szCs w:val="32"/>
        </w:rPr>
      </w:pPr>
      <w:r>
        <w:rPr>
          <w:rFonts w:hint="eastAsia" w:ascii="仿宋_GB2312" w:eastAsia="仿宋_GB2312"/>
          <w:sz w:val="32"/>
          <w:szCs w:val="32"/>
        </w:rPr>
        <w:t>公用经费53.95万元，包括：办公费、水费、电费、取暖费、差旅费、工会经费、福利费、公务用车运行维护费、其他交通费用、其他商品和服务支出。</w:t>
      </w:r>
    </w:p>
    <w:p w14:paraId="69A0A9E4">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0B160D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“三公”经费支出5.00万元，</w:t>
      </w:r>
      <w:r>
        <w:rPr>
          <w:rFonts w:hint="eastAsia" w:ascii="仿宋_GB2312" w:eastAsia="仿宋_GB2312"/>
          <w:sz w:val="32"/>
          <w:szCs w:val="32"/>
        </w:rPr>
        <w:t>比上年</w:t>
      </w:r>
      <w:r>
        <w:rPr>
          <w:rFonts w:hint="eastAsia" w:ascii="仿宋_GB2312" w:eastAsia="仿宋_GB2312"/>
          <w:sz w:val="32"/>
          <w:szCs w:val="32"/>
          <w:lang w:val="zh-CN"/>
        </w:rPr>
        <w:t>减少0.00万元，下降0.00%，主要原因是：</w:t>
      </w:r>
      <w:r>
        <w:rPr>
          <w:rFonts w:ascii="仿宋_GB2312" w:eastAsia="仿宋_GB2312"/>
          <w:sz w:val="32"/>
          <w:szCs w:val="32"/>
        </w:rPr>
        <w:t>厉行节约原则，与上年对比“三公”经费支出无变化</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；公务用车购置及运行维护费支出5.00万元，占100.00%，比上年减少0.00万元，下降0.00%，主要原因是：</w:t>
      </w:r>
      <w:r>
        <w:rPr>
          <w:rFonts w:ascii="仿宋_GB2312" w:eastAsia="仿宋_GB2312"/>
          <w:sz w:val="32"/>
          <w:szCs w:val="32"/>
        </w:rPr>
        <w:t>厉行节约原则，与上年对比“三公”经费支出无变化</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lang w:val="zh-CN"/>
        </w:rPr>
        <w:t>。</w:t>
      </w:r>
    </w:p>
    <w:p w14:paraId="176CC8D6">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具体情况如下：</w:t>
      </w:r>
    </w:p>
    <w:p w14:paraId="232499B3">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000000" w:themeColor="text1"/>
          <w:sz w:val="32"/>
          <w:szCs w:val="32"/>
          <w:lang w:val="zh-CN"/>
        </w:rPr>
        <w:t>。单位全年安排的因公出国（境）团组0个，因公出国（境）0人次。</w:t>
      </w:r>
    </w:p>
    <w:p w14:paraId="38F7B7C0">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公务用车购置及运行维护费5.00万元，其中：公务用车购置费0.00万元，公务用车运行维护费5.00万元。公务用车运行维护费开支内容包括</w:t>
      </w:r>
      <w:r>
        <w:rPr>
          <w:rFonts w:hint="eastAsia" w:ascii="仿宋_GB2312" w:eastAsia="仿宋_GB2312"/>
          <w:sz w:val="32"/>
          <w:szCs w:val="32"/>
        </w:rPr>
        <w:t>公务用车的车辆燃油费、车辆维修费、车辆保险费</w:t>
      </w:r>
      <w:r>
        <w:rPr>
          <w:rFonts w:hint="eastAsia" w:ascii="仿宋_GB2312" w:eastAsia="仿宋_GB2312"/>
          <w:sz w:val="32"/>
          <w:szCs w:val="32"/>
          <w:lang w:val="zh-CN"/>
        </w:rPr>
        <w:t>。公务用车购置数0辆，公务用车保有量3辆。国有资产占用情况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14:paraId="1CCF52E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公务接待费0.00万元，开支内容包括我单位无公务接待费。单位全年安排的国内公务接待0批次，0人次。</w:t>
      </w:r>
    </w:p>
    <w:p w14:paraId="16BAD32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预算数5.00万元，决算数5.00万元，预决算差异率0.00%，主要原因是：</w:t>
      </w:r>
      <w:r>
        <w:rPr>
          <w:rFonts w:hint="eastAsia" w:ascii="仿宋_GB2312" w:eastAsia="仿宋_GB2312"/>
          <w:sz w:val="32"/>
          <w:szCs w:val="32"/>
        </w:rPr>
        <w:t>厉行节约原则，“三公”经费</w:t>
      </w:r>
      <w:r>
        <w:rPr>
          <w:rFonts w:hint="eastAsia" w:ascii="仿宋_GB2312" w:eastAsia="仿宋_GB2312"/>
          <w:sz w:val="32"/>
          <w:szCs w:val="32"/>
          <w:lang w:eastAsia="zh-CN"/>
        </w:rPr>
        <w:t>预决算</w:t>
      </w:r>
      <w:r>
        <w:rPr>
          <w:rFonts w:hint="eastAsia" w:ascii="仿宋_GB2312" w:eastAsia="仿宋_GB2312"/>
          <w:sz w:val="32"/>
          <w:szCs w:val="32"/>
        </w:rPr>
        <w:t>无变化</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预算数5.00万元，决算数5.00万元，预决算差异率0.00%，主要原因是：</w:t>
      </w:r>
      <w:r>
        <w:rPr>
          <w:rFonts w:hint="eastAsia" w:ascii="仿宋_GB2312" w:eastAsia="仿宋_GB2312"/>
          <w:sz w:val="32"/>
          <w:szCs w:val="32"/>
        </w:rPr>
        <w:t>厉行节约原则，公务用车运行维护费</w:t>
      </w:r>
      <w:r>
        <w:rPr>
          <w:rFonts w:hint="eastAsia" w:ascii="仿宋_GB2312" w:eastAsia="仿宋_GB2312"/>
          <w:sz w:val="32"/>
          <w:szCs w:val="32"/>
          <w:lang w:eastAsia="zh-CN"/>
        </w:rPr>
        <w:t>预决算</w:t>
      </w:r>
      <w:r>
        <w:rPr>
          <w:rFonts w:hint="eastAsia" w:ascii="仿宋_GB2312" w:eastAsia="仿宋_GB2312"/>
          <w:sz w:val="32"/>
          <w:szCs w:val="32"/>
        </w:rPr>
        <w:t>无变化</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sz w:val="32"/>
          <w:szCs w:val="32"/>
          <w:lang w:val="zh-CN"/>
        </w:rPr>
        <w:t>。</w:t>
      </w:r>
    </w:p>
    <w:p w14:paraId="72F9427B">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270ED8C">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592C802">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0D08EC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62EFEF1">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82681AF">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9266C0A">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新疆维吾尔自治区自然资源信息中心（新疆维吾尔自治区自然资源档案馆）</w:t>
      </w:r>
      <w:r>
        <w:rPr>
          <w:rFonts w:hint="eastAsia" w:eastAsia="仿宋_GB2312"/>
          <w:sz w:val="32"/>
          <w:szCs w:val="32"/>
          <w:lang w:val="zh-CN"/>
        </w:rPr>
        <w:t>（事业单位）公用经费支出53.95万元，比上年增加7.95万元，增长17.28%，主要原因是：根据单位实际情况及市场物价增长，2023年比2022年公用经费执行数增加，执行情况较好。</w:t>
      </w:r>
    </w:p>
    <w:p w14:paraId="39518D2C">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5014424">
      <w:pPr>
        <w:ind w:firstLine="640" w:firstLineChars="200"/>
        <w:jc w:val="left"/>
        <w:rPr>
          <w:rFonts w:eastAsia="仿宋_GB2312"/>
          <w:sz w:val="32"/>
          <w:szCs w:val="32"/>
          <w:lang w:val="zh-CN"/>
        </w:rPr>
      </w:pPr>
      <w:r>
        <w:rPr>
          <w:rFonts w:hint="eastAsia" w:eastAsia="仿宋_GB2312"/>
          <w:sz w:val="32"/>
          <w:szCs w:val="32"/>
          <w:lang w:val="zh-CN"/>
        </w:rPr>
        <w:t>2023年度政府采购支出总额1,810.73万元，其中：政府采购货物支出731.96万元、政府采购工程支出0.00万元、政府采购服务支出1,078.77万元。</w:t>
      </w:r>
    </w:p>
    <w:p w14:paraId="53B678BA">
      <w:pPr>
        <w:ind w:firstLine="640" w:firstLineChars="200"/>
        <w:jc w:val="left"/>
        <w:rPr>
          <w:rFonts w:eastAsia="仿宋_GB2312"/>
          <w:sz w:val="32"/>
          <w:szCs w:val="32"/>
        </w:rPr>
      </w:pPr>
      <w:r>
        <w:rPr>
          <w:rFonts w:hint="eastAsia" w:eastAsia="仿宋_GB2312"/>
          <w:sz w:val="32"/>
          <w:szCs w:val="32"/>
          <w:lang w:val="zh-CN"/>
        </w:rPr>
        <w:t>授予中小企业合同金额413.49万元，占政府采购支出总额的22.84</w:t>
      </w:r>
      <w:r>
        <w:rPr>
          <w:rFonts w:eastAsia="仿宋_GB2312"/>
          <w:sz w:val="32"/>
          <w:szCs w:val="32"/>
          <w:lang w:val="zh-CN"/>
        </w:rPr>
        <w:t>%</w:t>
      </w:r>
      <w:r>
        <w:rPr>
          <w:rFonts w:hint="eastAsia" w:eastAsia="仿宋_GB2312"/>
          <w:sz w:val="32"/>
          <w:szCs w:val="32"/>
          <w:lang w:val="zh-CN"/>
        </w:rPr>
        <w:t>，其中：授予小微企业合同金额97.37万元，占政府采购支出总额的5.38</w:t>
      </w:r>
      <w:r>
        <w:rPr>
          <w:rFonts w:eastAsia="仿宋_GB2312"/>
          <w:sz w:val="32"/>
          <w:szCs w:val="32"/>
          <w:lang w:val="zh-CN"/>
        </w:rPr>
        <w:t>%</w:t>
      </w:r>
      <w:r>
        <w:rPr>
          <w:rFonts w:hint="eastAsia" w:eastAsia="仿宋_GB2312"/>
          <w:sz w:val="32"/>
          <w:szCs w:val="32"/>
        </w:rPr>
        <w:t>。</w:t>
      </w:r>
    </w:p>
    <w:p w14:paraId="2CB36C1E">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5DA9921">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7,861.51</w:t>
      </w:r>
      <w:r>
        <w:rPr>
          <w:rFonts w:hint="eastAsia" w:eastAsia="仿宋_GB2312"/>
          <w:sz w:val="32"/>
          <w:szCs w:val="32"/>
        </w:rPr>
        <w:t>万元，房</w:t>
      </w:r>
      <w:r>
        <w:rPr>
          <w:rFonts w:hint="eastAsia" w:eastAsia="仿宋_GB2312"/>
          <w:sz w:val="32"/>
          <w:szCs w:val="32"/>
          <w:lang w:val="zh-CN"/>
        </w:rPr>
        <w:t>屋1285.3平方米，价值639.77万元。车辆3辆，价值77.02万元，其中：副部（省）级及以上领导用车0辆、主要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w:t>
      </w:r>
      <w:r>
        <w:rPr>
          <w:rFonts w:hint="eastAsia" w:ascii="仿宋_GB2312" w:eastAsia="仿宋_GB2312"/>
          <w:sz w:val="32"/>
          <w:szCs w:val="32"/>
        </w:rPr>
        <w:t>一般公务用车</w:t>
      </w:r>
      <w:r>
        <w:rPr>
          <w:rFonts w:hint="eastAsia" w:eastAsia="仿宋_GB2312"/>
          <w:sz w:val="32"/>
          <w:szCs w:val="32"/>
          <w:lang w:val="zh-CN"/>
        </w:rPr>
        <w:t>；单价100万元（含）以上设备（不含车辆）8</w:t>
      </w:r>
      <w:r>
        <w:rPr>
          <w:rFonts w:hint="eastAsia" w:eastAsia="仿宋_GB2312"/>
          <w:sz w:val="32"/>
          <w:szCs w:val="32"/>
        </w:rPr>
        <w:t>台（</w:t>
      </w:r>
      <w:r>
        <w:rPr>
          <w:rFonts w:hint="eastAsia" w:eastAsia="仿宋_GB2312"/>
          <w:sz w:val="32"/>
          <w:szCs w:val="32"/>
          <w:lang w:val="zh-CN"/>
        </w:rPr>
        <w:t>套）。</w:t>
      </w:r>
    </w:p>
    <w:p w14:paraId="6C6B3C9A">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16841E8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000000" w:themeColor="text1"/>
          <w:sz w:val="32"/>
          <w:szCs w:val="32"/>
        </w:rPr>
        <w:t>我单位2023年度</w:t>
      </w:r>
      <w:r>
        <w:rPr>
          <w:rFonts w:hint="eastAsia" w:ascii="仿宋_GB2312" w:hAnsi="仿宋_GB2312" w:eastAsia="仿宋_GB2312" w:cs="仿宋_GB2312"/>
          <w:color w:val="000000" w:themeColor="text1"/>
          <w:kern w:val="0"/>
          <w:sz w:val="32"/>
          <w:szCs w:val="32"/>
        </w:rPr>
        <w:t>预算绩效管理整体支出绩效自评表</w:t>
      </w:r>
      <w:r>
        <w:rPr>
          <w:rFonts w:hint="eastAsia" w:ascii="仿宋_GB2312" w:eastAsia="仿宋_GB2312"/>
          <w:color w:val="000000" w:themeColor="text1"/>
          <w:sz w:val="32"/>
          <w:szCs w:val="32"/>
        </w:rPr>
        <w:t>0</w:t>
      </w:r>
      <w:r>
        <w:rPr>
          <w:rFonts w:hint="eastAsia" w:ascii="仿宋_GB2312" w:hAnsi="仿宋_GB2312" w:eastAsia="仿宋_GB2312" w:cs="仿宋_GB2312"/>
          <w:color w:val="000000" w:themeColor="text1"/>
          <w:kern w:val="0"/>
          <w:sz w:val="32"/>
          <w:szCs w:val="32"/>
        </w:rPr>
        <w:t>个，全年</w:t>
      </w:r>
      <w:r>
        <w:rPr>
          <w:rFonts w:hint="eastAsia" w:ascii="仿宋_GB2312" w:eastAsia="仿宋_GB2312"/>
          <w:color w:val="000000" w:themeColor="text1"/>
          <w:sz w:val="32"/>
          <w:szCs w:val="32"/>
        </w:rPr>
        <w:t>预算总额0</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万元，实际执行总额0</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w:t>
      </w:r>
      <w:r>
        <w:rPr>
          <w:rFonts w:hint="eastAsia" w:ascii="仿宋_GB2312" w:hAnsi="仿宋_GB2312" w:eastAsia="仿宋_GB2312" w:cs="仿宋_GB2312"/>
          <w:color w:val="000000" w:themeColor="text1"/>
          <w:kern w:val="0"/>
          <w:sz w:val="32"/>
          <w:szCs w:val="32"/>
        </w:rPr>
        <w:t>；</w:t>
      </w:r>
      <w:r>
        <w:rPr>
          <w:rFonts w:hint="eastAsia" w:ascii="仿宋_GB2312" w:eastAsia="仿宋_GB2312"/>
          <w:sz w:val="32"/>
          <w:szCs w:val="32"/>
        </w:rPr>
        <w:t>预算绩效评价项目3个，全年预算数2564.88万元，全年执行数2495.21万元。预算绩效管理取得的成效：</w:t>
      </w:r>
      <w:r>
        <w:rPr>
          <w:rFonts w:ascii="仿宋_GB2312" w:eastAsia="仿宋_GB2312"/>
          <w:sz w:val="32"/>
          <w:szCs w:val="32"/>
        </w:rPr>
        <w:t>（1）自然资源信息集成和平台业务模块拓展及优化提升</w:t>
      </w:r>
      <w:r>
        <w:rPr>
          <w:rFonts w:hint="eastAsia" w:ascii="仿宋_GB2312" w:eastAsia="仿宋_GB2312"/>
          <w:sz w:val="32"/>
          <w:szCs w:val="32"/>
        </w:rPr>
        <w:t>，</w:t>
      </w:r>
      <w:r>
        <w:rPr>
          <w:rFonts w:ascii="仿宋_GB2312" w:eastAsia="仿宋_GB2312"/>
          <w:sz w:val="32"/>
          <w:szCs w:val="32"/>
        </w:rPr>
        <w:t>一是实现了地政业务审批预检管理、各处室重点事项督办管理、开发未确定使用权的国有荒山、荒地、荒滩从事生产审查业务流程、压覆矿分析功能、调图分析图层、全国测绘资质管理信息与一体化平台数据实时交互，完成了信用体系信息管理升级、查询统计、调图分析功能优化等；实现自然资源要素在移动端的展示浏览、查询统计、在线分析、专题应用，提供高效便捷的服务模式；实现了人事管理、税源信息综合管理、圈而不探专项整治核查、自然资源国产化OA办公统一登录和集成管理。通过与自治区税务局系统、自治区一体化政务平台对接，对厅所有涉税、非税事项进行统一管理，实现</w:t>
      </w:r>
      <w:r>
        <w:rPr>
          <w:rFonts w:hint="eastAsia" w:ascii="仿宋_GB2312" w:eastAsia="仿宋_GB2312"/>
          <w:sz w:val="32"/>
          <w:szCs w:val="32"/>
        </w:rPr>
        <w:t>“</w:t>
      </w:r>
      <w:r>
        <w:rPr>
          <w:rFonts w:ascii="仿宋_GB2312" w:eastAsia="仿宋_GB2312"/>
          <w:sz w:val="32"/>
          <w:szCs w:val="32"/>
        </w:rPr>
        <w:t>一门、一站、一次</w:t>
      </w:r>
      <w:r>
        <w:rPr>
          <w:rFonts w:hint="eastAsia" w:ascii="仿宋_GB2312" w:eastAsia="仿宋_GB2312"/>
          <w:sz w:val="32"/>
          <w:szCs w:val="32"/>
        </w:rPr>
        <w:t>”</w:t>
      </w:r>
      <w:r>
        <w:rPr>
          <w:rFonts w:ascii="仿宋_GB2312" w:eastAsia="仿宋_GB2312"/>
          <w:sz w:val="32"/>
          <w:szCs w:val="32"/>
        </w:rPr>
        <w:t>办理和信息实时共享；实现了建设项目用地预审与规划选址、农用地转用和土地征收及</w:t>
      </w:r>
      <w:r>
        <w:rPr>
          <w:rFonts w:hint="eastAsia" w:ascii="仿宋_GB2312" w:eastAsia="仿宋_GB2312"/>
          <w:sz w:val="32"/>
          <w:szCs w:val="32"/>
        </w:rPr>
        <w:t>“</w:t>
      </w:r>
      <w:r>
        <w:rPr>
          <w:rFonts w:ascii="仿宋_GB2312" w:eastAsia="仿宋_GB2312"/>
          <w:sz w:val="32"/>
          <w:szCs w:val="32"/>
        </w:rPr>
        <w:t>一书三证</w:t>
      </w:r>
      <w:r>
        <w:rPr>
          <w:rFonts w:hint="eastAsia" w:ascii="仿宋_GB2312" w:eastAsia="仿宋_GB2312"/>
          <w:sz w:val="32"/>
          <w:szCs w:val="32"/>
        </w:rPr>
        <w:t>”</w:t>
      </w:r>
      <w:r>
        <w:rPr>
          <w:rFonts w:ascii="仿宋_GB2312" w:eastAsia="仿宋_GB2312"/>
          <w:sz w:val="32"/>
          <w:szCs w:val="32"/>
        </w:rPr>
        <w:t>规划许可共计七类业务的申报、统计及监管工作。二是完成了自然资源网络信息系统合规性检查及风险评估。三是为加强自然资源业务网数据传输安全，启用了VPN安全网关策略。用户均采用实名登录方式接入自然资源业务网，进一步提升网络安全性。为确保厅核心机房外网业务服务器的安全，启用安全策略，关闭远程访问端口，禁止对服务器进行直接远程访问，对互联网区域的网络设备、服务器进行漏洞扫描及渗透测试。较好的完成了自治区相关单位组织的网络安全检查工作。做好服务器的维保工作，完成厅机房日常巡检，确保网络及设备正常运转。四是完成厅政务公开、政务服务、视频会议系统、网络安全;自然资源档案管理、集成及利用服务、地质资料汇交监管等业务的技术服务和保障。做好厅纵向视频会议系统和横向视频会议系统调度、联调及网络线路保障，实现厅视频会议在使用过程中清晰、流畅、安全无差错；为自然资源行政审批、政务公开、政务服务、一体化平台业务提供技术服务。进一步梳理完善了“自治区政务服务一体化平台”自然资源服务事项清单，为后台各系统提供技术支持，厅政务服务能力有了显著的提升。与2022年相比，厅在“网上政务服务在线服务成效度”，“在线办理成熟度”、“政务服务方式完备度”，“服务事项覆盖度”，“办事指南准确度”等5个方面分数均有提升。2023年1-11月自然资源厅在自治区一体化在线政务服务平台服务能力评估体系保持在前4名，11月为第1名；做好文书档案、专业档案的收集、整理、立卷归档及数字化扫描，各类档案资料均已整理完毕并归档入库。完成全区地质资料接收、验收、汇交监管和整理归档，成果地质资料汇交合格率提升至91.25%。</w:t>
      </w:r>
      <w:r>
        <w:rPr>
          <w:rFonts w:ascii="仿宋_GB2312" w:eastAsia="仿宋_GB2312"/>
          <w:b/>
          <w:bCs/>
          <w:sz w:val="32"/>
          <w:szCs w:val="32"/>
        </w:rPr>
        <w:t>（2）</w:t>
      </w:r>
      <w:r>
        <w:rPr>
          <w:rFonts w:ascii="仿宋_GB2312" w:eastAsia="仿宋_GB2312"/>
          <w:sz w:val="32"/>
          <w:szCs w:val="32"/>
        </w:rPr>
        <w:t>档案资料数字化和地质资料开发利用试点研究。一是梳理了馆藏各类地质矿产资料，开展成矿地质背景分析与控矿因素研究，为自治区实施新一轮战略性矿产找矿行动提供支持。二是完成了部分馆藏档案资料的数字化信息采集及档案电子信息管理数据库建设等工作。</w:t>
      </w:r>
      <w:r>
        <w:rPr>
          <w:rFonts w:ascii="仿宋_GB2312" w:eastAsia="仿宋_GB2312"/>
          <w:b/>
          <w:bCs/>
          <w:sz w:val="32"/>
          <w:szCs w:val="32"/>
        </w:rPr>
        <w:t>（</w:t>
      </w:r>
      <w:r>
        <w:rPr>
          <w:rFonts w:hint="eastAsia" w:ascii="仿宋_GB2312" w:eastAsia="仿宋_GB2312"/>
          <w:b/>
          <w:bCs/>
          <w:sz w:val="32"/>
          <w:szCs w:val="32"/>
        </w:rPr>
        <w:t>3</w:t>
      </w:r>
      <w:r>
        <w:rPr>
          <w:rFonts w:ascii="仿宋_GB2312" w:eastAsia="仿宋_GB2312"/>
          <w:b/>
          <w:bCs/>
          <w:sz w:val="32"/>
          <w:szCs w:val="32"/>
        </w:rPr>
        <w:t>）</w:t>
      </w:r>
      <w:r>
        <w:rPr>
          <w:rFonts w:ascii="仿宋_GB2312" w:eastAsia="仿宋_GB2312"/>
          <w:sz w:val="32"/>
          <w:szCs w:val="32"/>
        </w:rPr>
        <w:t>积极探索激光雷达新技术在自然资源管理中的应用。完成了塔里木河干流胡杨林人工实测样方数据采集，样方背包激光雷达数据采集，样地无人机激光雷达数据采集，实现了塔里木河干流胡杨林单木分割，通过深度学习方法实现了塔里木河干流胡杨林树冠检测，绘制了塔里木河干流地上碳储量空间分布图，编制《激光雷达技术在国土（林业）调查中的应用研究报告》，探索国产高分影像进行单木树冠检测能力，为进行大尺度单木参数的反演提供参考；探索融合激光雷达和国产高分影像的胡杨林地上碳储量反演方法，为胡杨林资源的管理与保护及“碳中和”目标提供支撑。</w:t>
      </w:r>
    </w:p>
    <w:p w14:paraId="4E647CEF">
      <w:pPr>
        <w:spacing w:line="560" w:lineRule="exact"/>
        <w:ind w:firstLine="640" w:firstLineChars="200"/>
        <w:rPr>
          <w:rFonts w:ascii="仿宋_GB2312" w:eastAsia="仿宋_GB2312"/>
          <w:sz w:val="32"/>
          <w:szCs w:val="32"/>
        </w:rPr>
      </w:pPr>
      <w:r>
        <w:rPr>
          <w:rFonts w:hint="eastAsia" w:ascii="仿宋_GB2312" w:eastAsia="仿宋_GB2312"/>
          <w:sz w:val="32"/>
          <w:szCs w:val="32"/>
        </w:rPr>
        <w:t>发现的问题及原因：</w:t>
      </w:r>
      <w:r>
        <w:rPr>
          <w:rFonts w:hint="eastAsia" w:eastAsia="仿宋"/>
          <w:color w:val="000000" w:themeColor="text1"/>
          <w:sz w:val="32"/>
          <w:szCs w:val="32"/>
        </w:rPr>
        <w:t>对</w:t>
      </w:r>
      <w:r>
        <w:rPr>
          <w:rFonts w:eastAsia="仿宋"/>
          <w:color w:val="000000" w:themeColor="text1"/>
          <w:sz w:val="32"/>
          <w:szCs w:val="32"/>
        </w:rPr>
        <w:t>项目预算</w:t>
      </w:r>
      <w:r>
        <w:rPr>
          <w:rFonts w:hint="eastAsia" w:eastAsia="仿宋"/>
          <w:color w:val="000000" w:themeColor="text1"/>
          <w:sz w:val="32"/>
          <w:szCs w:val="32"/>
        </w:rPr>
        <w:t>科目</w:t>
      </w:r>
      <w:r>
        <w:rPr>
          <w:rFonts w:eastAsia="仿宋"/>
          <w:color w:val="000000" w:themeColor="text1"/>
          <w:sz w:val="32"/>
          <w:szCs w:val="32"/>
        </w:rPr>
        <w:t>与</w:t>
      </w:r>
      <w:r>
        <w:rPr>
          <w:rFonts w:hint="eastAsia" w:eastAsia="仿宋"/>
          <w:color w:val="000000" w:themeColor="text1"/>
          <w:sz w:val="32"/>
          <w:szCs w:val="32"/>
        </w:rPr>
        <w:t>绩效目标考核指标的含义理解还不够到位、精准，在具体执行时</w:t>
      </w:r>
      <w:r>
        <w:rPr>
          <w:rFonts w:eastAsia="仿宋"/>
          <w:color w:val="000000" w:themeColor="text1"/>
          <w:sz w:val="32"/>
          <w:szCs w:val="32"/>
        </w:rPr>
        <w:t>有一定的偏差</w:t>
      </w:r>
      <w:r>
        <w:rPr>
          <w:rFonts w:hint="eastAsia" w:eastAsia="仿宋"/>
          <w:color w:val="000000" w:themeColor="text1"/>
          <w:sz w:val="32"/>
          <w:szCs w:val="32"/>
        </w:rPr>
        <w:t>。</w:t>
      </w:r>
      <w:r>
        <w:rPr>
          <w:rFonts w:hint="eastAsia" w:ascii="仿宋_GB2312" w:eastAsia="仿宋_GB2312"/>
          <w:sz w:val="32"/>
          <w:szCs w:val="32"/>
        </w:rPr>
        <w:t>下一步改进措施：</w:t>
      </w:r>
      <w:r>
        <w:rPr>
          <w:rFonts w:eastAsia="仿宋"/>
          <w:color w:val="000000" w:themeColor="text1"/>
          <w:sz w:val="32"/>
          <w:szCs w:val="32"/>
        </w:rPr>
        <w:t>需加大对预算编制人员的培训力度，在今后预算编制和绩效考核方面能做到精准，</w:t>
      </w:r>
      <w:r>
        <w:rPr>
          <w:rFonts w:hint="eastAsia" w:eastAsia="仿宋"/>
          <w:color w:val="000000" w:themeColor="text1"/>
          <w:sz w:val="32"/>
          <w:szCs w:val="32"/>
        </w:rPr>
        <w:t>尽量避免执行不到位的现象</w:t>
      </w:r>
      <w:r>
        <w:rPr>
          <w:rFonts w:hint="eastAsia" w:ascii="仿宋_GB2312" w:eastAsia="仿宋_GB2312"/>
          <w:sz w:val="32"/>
          <w:szCs w:val="32"/>
        </w:rPr>
        <w:t>。</w:t>
      </w:r>
    </w:p>
    <w:p w14:paraId="7BDF85FD">
      <w:pPr>
        <w:spacing w:line="560" w:lineRule="exact"/>
        <w:ind w:firstLine="640" w:firstLineChars="200"/>
        <w:rPr>
          <w:rFonts w:eastAsia="仿宋"/>
          <w:color w:val="000000" w:themeColor="text1"/>
          <w:sz w:val="32"/>
          <w:szCs w:val="32"/>
        </w:rPr>
      </w:pPr>
      <w:r>
        <w:rPr>
          <w:rFonts w:hint="eastAsia" w:ascii="仿宋_GB2312" w:eastAsia="仿宋_GB2312"/>
          <w:color w:val="000000" w:themeColor="text1"/>
          <w:sz w:val="32"/>
          <w:szCs w:val="32"/>
        </w:rPr>
        <w:t>具体项目自评情况附绩效自评表及自评报告。</w:t>
      </w:r>
    </w:p>
    <w:p w14:paraId="548BAADF">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3544094">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bookmarkStart w:id="48" w:name="_GoBack"/>
      <w:bookmarkEnd w:id="48"/>
    </w:p>
    <w:p w14:paraId="2A9A50F6">
      <w:pPr>
        <w:jc w:val="center"/>
        <w:outlineLvl w:val="0"/>
        <w:rPr>
          <w:rFonts w:ascii="黑体" w:hAnsi="黑体" w:eastAsia="黑体"/>
          <w:sz w:val="32"/>
          <w:szCs w:val="32"/>
        </w:rPr>
      </w:pPr>
      <w:bookmarkStart w:id="30" w:name="_Toc3250"/>
      <w:bookmarkStart w:id="31" w:name="_Toc24143"/>
    </w:p>
    <w:p w14:paraId="767158B2">
      <w:pPr>
        <w:jc w:val="center"/>
        <w:outlineLvl w:val="0"/>
        <w:rPr>
          <w:rFonts w:ascii="黑体" w:hAnsi="黑体" w:eastAsia="黑体"/>
          <w:sz w:val="32"/>
          <w:szCs w:val="32"/>
        </w:rPr>
      </w:pPr>
    </w:p>
    <w:p w14:paraId="64A7B286">
      <w:pPr>
        <w:jc w:val="center"/>
        <w:outlineLvl w:val="0"/>
        <w:rPr>
          <w:rFonts w:ascii="黑体" w:hAnsi="黑体" w:eastAsia="黑体"/>
          <w:sz w:val="32"/>
          <w:szCs w:val="32"/>
        </w:rPr>
      </w:pPr>
    </w:p>
    <w:p w14:paraId="6E29E103">
      <w:pPr>
        <w:jc w:val="center"/>
        <w:outlineLvl w:val="0"/>
        <w:rPr>
          <w:rFonts w:ascii="黑体" w:hAnsi="黑体" w:eastAsia="黑体"/>
          <w:sz w:val="32"/>
          <w:szCs w:val="32"/>
        </w:rPr>
      </w:pPr>
    </w:p>
    <w:p w14:paraId="18C2B71F">
      <w:pPr>
        <w:jc w:val="center"/>
        <w:outlineLvl w:val="0"/>
        <w:rPr>
          <w:rFonts w:ascii="黑体" w:hAnsi="黑体" w:eastAsia="黑体"/>
          <w:sz w:val="32"/>
          <w:szCs w:val="32"/>
        </w:rPr>
      </w:pPr>
    </w:p>
    <w:p w14:paraId="6368966A">
      <w:pPr>
        <w:jc w:val="center"/>
        <w:outlineLvl w:val="0"/>
        <w:rPr>
          <w:rFonts w:ascii="黑体" w:hAnsi="黑体" w:eastAsia="黑体"/>
          <w:sz w:val="32"/>
          <w:szCs w:val="32"/>
        </w:rPr>
      </w:pPr>
    </w:p>
    <w:p w14:paraId="427B1269">
      <w:pPr>
        <w:jc w:val="center"/>
        <w:outlineLvl w:val="0"/>
        <w:rPr>
          <w:rFonts w:ascii="黑体" w:hAnsi="黑体" w:eastAsia="黑体"/>
          <w:sz w:val="32"/>
          <w:szCs w:val="32"/>
        </w:rPr>
      </w:pPr>
    </w:p>
    <w:p w14:paraId="3292292C">
      <w:pPr>
        <w:jc w:val="center"/>
        <w:outlineLvl w:val="0"/>
        <w:rPr>
          <w:rFonts w:ascii="黑体" w:hAnsi="黑体" w:eastAsia="黑体"/>
          <w:sz w:val="32"/>
          <w:szCs w:val="32"/>
        </w:rPr>
      </w:pPr>
    </w:p>
    <w:p w14:paraId="49F63E89">
      <w:pPr>
        <w:jc w:val="center"/>
        <w:outlineLvl w:val="0"/>
        <w:rPr>
          <w:rFonts w:ascii="黑体" w:hAnsi="黑体" w:eastAsia="黑体"/>
          <w:sz w:val="32"/>
          <w:szCs w:val="32"/>
        </w:rPr>
      </w:pPr>
    </w:p>
    <w:p w14:paraId="590DD2FB">
      <w:pPr>
        <w:jc w:val="center"/>
        <w:outlineLvl w:val="0"/>
        <w:rPr>
          <w:rFonts w:ascii="黑体" w:hAnsi="黑体" w:eastAsia="黑体"/>
          <w:sz w:val="32"/>
          <w:szCs w:val="32"/>
        </w:rPr>
      </w:pPr>
    </w:p>
    <w:p w14:paraId="6B6C804F">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14:paraId="1FBAC3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E949AF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A3192A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033C38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4B7DF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D4D23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2DBEA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C19E8B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C3FD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318866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BCEA42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937A13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A8DE06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843D4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86B5F5F">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0AEDD09">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22C2CB4">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06DF48C">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EAC4E05">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F0E00A7">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99D0694">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C8DE991">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F30CDB5">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6BB305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15C22F8">
      <w:pPr>
        <w:ind w:firstLine="640" w:firstLineChars="200"/>
        <w:rPr>
          <w:rFonts w:ascii="仿宋_GB2312" w:eastAsia="仿宋_GB2312"/>
          <w:sz w:val="32"/>
          <w:szCs w:val="32"/>
        </w:rPr>
      </w:pPr>
    </w:p>
    <w:p w14:paraId="29029868">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E3E6D">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1CE0B81E">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zZmRjNGE1MWFhMmQ5YTI4N2U2NGVhNTI5YmQ5NzAifQ=="/>
    <w:docVar w:name="KSO_WPS_MARK_KEY" w:val="41ee2a61-2d54-4f93-83be-afdb9a40d732"/>
  </w:docVars>
  <w:rsids>
    <w:rsidRoot w:val="00B11EDA"/>
    <w:rsid w:val="00016075"/>
    <w:rsid w:val="000746C9"/>
    <w:rsid w:val="00092A37"/>
    <w:rsid w:val="000B3803"/>
    <w:rsid w:val="000E29B4"/>
    <w:rsid w:val="00105842"/>
    <w:rsid w:val="0014278D"/>
    <w:rsid w:val="00193354"/>
    <w:rsid w:val="001A11E3"/>
    <w:rsid w:val="001C352A"/>
    <w:rsid w:val="001D0E4D"/>
    <w:rsid w:val="001D6C2C"/>
    <w:rsid w:val="001F0560"/>
    <w:rsid w:val="00213C59"/>
    <w:rsid w:val="00256735"/>
    <w:rsid w:val="0028263D"/>
    <w:rsid w:val="002B540B"/>
    <w:rsid w:val="003138D9"/>
    <w:rsid w:val="00315EDC"/>
    <w:rsid w:val="003210CE"/>
    <w:rsid w:val="00377DEB"/>
    <w:rsid w:val="003B14BF"/>
    <w:rsid w:val="00480EC3"/>
    <w:rsid w:val="004A7FE8"/>
    <w:rsid w:val="00516FF4"/>
    <w:rsid w:val="00573080"/>
    <w:rsid w:val="00597888"/>
    <w:rsid w:val="00645A85"/>
    <w:rsid w:val="00665777"/>
    <w:rsid w:val="006913C0"/>
    <w:rsid w:val="006B3CBF"/>
    <w:rsid w:val="006E3A15"/>
    <w:rsid w:val="00714CE5"/>
    <w:rsid w:val="00733893"/>
    <w:rsid w:val="007501D8"/>
    <w:rsid w:val="00764406"/>
    <w:rsid w:val="007676FB"/>
    <w:rsid w:val="007A311F"/>
    <w:rsid w:val="007D412B"/>
    <w:rsid w:val="00850F16"/>
    <w:rsid w:val="00871634"/>
    <w:rsid w:val="008A0C2B"/>
    <w:rsid w:val="008C74DE"/>
    <w:rsid w:val="009310C2"/>
    <w:rsid w:val="00950057"/>
    <w:rsid w:val="009C4D4C"/>
    <w:rsid w:val="009C7A98"/>
    <w:rsid w:val="00A81074"/>
    <w:rsid w:val="00A9667F"/>
    <w:rsid w:val="00AC39A3"/>
    <w:rsid w:val="00AD4C8A"/>
    <w:rsid w:val="00AD4FBC"/>
    <w:rsid w:val="00B11EDA"/>
    <w:rsid w:val="00B70A3B"/>
    <w:rsid w:val="00B70D59"/>
    <w:rsid w:val="00C60E06"/>
    <w:rsid w:val="00CA739E"/>
    <w:rsid w:val="00CC5D55"/>
    <w:rsid w:val="00CC65A6"/>
    <w:rsid w:val="00CF43FB"/>
    <w:rsid w:val="00D52B8C"/>
    <w:rsid w:val="00D96DEF"/>
    <w:rsid w:val="00DC59D5"/>
    <w:rsid w:val="00E153AF"/>
    <w:rsid w:val="00E31228"/>
    <w:rsid w:val="00E338B4"/>
    <w:rsid w:val="00E854E3"/>
    <w:rsid w:val="00EB7950"/>
    <w:rsid w:val="00F03994"/>
    <w:rsid w:val="00F410F8"/>
    <w:rsid w:val="00F44BD8"/>
    <w:rsid w:val="00F500E0"/>
    <w:rsid w:val="00F52A8D"/>
    <w:rsid w:val="00FC4D3C"/>
    <w:rsid w:val="00FC691D"/>
    <w:rsid w:val="00FD2EEF"/>
    <w:rsid w:val="00FE6E22"/>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231A35"/>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824847"/>
    <w:rsid w:val="57926973"/>
    <w:rsid w:val="58175352"/>
    <w:rsid w:val="581F2200"/>
    <w:rsid w:val="583059FA"/>
    <w:rsid w:val="584A0929"/>
    <w:rsid w:val="58B04BD7"/>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016EE-53D6-4999-93EE-912E85AF7ADD}">
  <ds:schemaRefs/>
</ds:datastoreItem>
</file>

<file path=docProps/app.xml><?xml version="1.0" encoding="utf-8"?>
<Properties xmlns="http://schemas.openxmlformats.org/officeDocument/2006/extended-properties" xmlns:vt="http://schemas.openxmlformats.org/officeDocument/2006/docPropsVTypes">
  <Template>Normal</Template>
  <Pages>18</Pages>
  <Words>6856</Words>
  <Characters>7659</Characters>
  <Lines>61</Lines>
  <Paragraphs>17</Paragraphs>
  <TotalTime>4</TotalTime>
  <ScaleCrop>false</ScaleCrop>
  <LinksUpToDate>false</LinksUpToDate>
  <CharactersWithSpaces>7670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2024-08-12T12:00:00Z</dcterms:created>
  <dc:creator>GXR</dc:creator>
  <cp:lastModifiedBy>琪琪妈妈</cp:lastModifiedBy>
  <dcterms:modified xsi:type="dcterms:W3CDTF">2024-08-28T03:21:34Z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