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5D48BA">
      <w:pPr>
        <w:rPr>
          <w:rFonts w:hint="eastAsia" w:ascii="黑体" w:hAnsi="黑体" w:eastAsia="黑体"/>
          <w:sz w:val="32"/>
          <w:szCs w:val="32"/>
        </w:rPr>
      </w:pPr>
    </w:p>
    <w:p w14:paraId="1293A4BF">
      <w:pPr>
        <w:jc w:val="center"/>
        <w:rPr>
          <w:rFonts w:ascii="方正小标宋_GBK" w:hAnsi="宋体" w:eastAsia="方正小标宋_GBK"/>
          <w:sz w:val="44"/>
          <w:szCs w:val="44"/>
        </w:rPr>
      </w:pPr>
    </w:p>
    <w:p w14:paraId="43A636BA">
      <w:pPr>
        <w:jc w:val="center"/>
        <w:rPr>
          <w:rFonts w:ascii="方正小标宋_GBK" w:hAnsi="宋体" w:eastAsia="方正小标宋_GBK"/>
          <w:sz w:val="44"/>
          <w:szCs w:val="44"/>
        </w:rPr>
      </w:pPr>
      <w:r>
        <w:rPr>
          <w:rFonts w:hint="eastAsia" w:ascii="方正小标宋_GBK" w:hAnsi="宋体" w:eastAsia="方正小标宋_GBK"/>
          <w:sz w:val="44"/>
          <w:szCs w:val="44"/>
        </w:rPr>
        <w:t>新疆维吾尔自治区第二测绘院</w:t>
      </w:r>
    </w:p>
    <w:p w14:paraId="6D3F8DD1">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14:paraId="42DDA756">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14:paraId="2ECB1089">
      <w:pPr>
        <w:rPr>
          <w:rFonts w:ascii="方正小标宋_GBK" w:hAnsi="宋体" w:eastAsia="方正小标宋_GBK"/>
          <w:sz w:val="44"/>
          <w:szCs w:val="44"/>
        </w:rPr>
      </w:pPr>
      <w:r>
        <w:rPr>
          <w:rFonts w:hint="eastAsia" w:ascii="方正小标宋_GBK" w:hAnsi="宋体" w:eastAsia="方正小标宋_GBK"/>
          <w:sz w:val="44"/>
          <w:szCs w:val="44"/>
        </w:rPr>
        <w:br w:type="page"/>
      </w:r>
    </w:p>
    <w:p w14:paraId="19CD1F0F">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26DD1CB2">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57529BDE">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F1EAA66">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7DA8AC51">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4621D0FB">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57BF6789">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0D3E0B67">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3C4E6A9">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1AB75DA3">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CD2A3A">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4551592E">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02D75A06">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2E3C0C4E">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0F4C4F74">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62DD7F81">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512E7D0C">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77377DCC">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1340073A">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398583C7">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782482C3">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0533A709">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FEC7D5D">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2CA18406">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7A2E7B4E">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35581F0D">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3A10CD6E">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552F334">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75B44FFF">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77FFE7CB">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6DC67A47">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091FDC75">
      <w:r>
        <w:rPr>
          <w:rFonts w:hint="eastAsia" w:ascii="仿宋_GB2312" w:hAnsi="仿宋_GB2312" w:eastAsia="仿宋_GB2312" w:cs="仿宋_GB2312"/>
          <w:sz w:val="32"/>
          <w:szCs w:val="32"/>
        </w:rPr>
        <w:fldChar w:fldCharType="end"/>
      </w:r>
    </w:p>
    <w:p w14:paraId="31868DF6">
      <w:pPr>
        <w:rPr>
          <w:rFonts w:ascii="仿宋_GB2312" w:eastAsia="仿宋_GB2312"/>
          <w:sz w:val="32"/>
          <w:szCs w:val="32"/>
        </w:rPr>
      </w:pPr>
      <w:r>
        <w:rPr>
          <w:rFonts w:hint="eastAsia" w:ascii="仿宋_GB2312" w:eastAsia="仿宋_GB2312"/>
          <w:sz w:val="32"/>
          <w:szCs w:val="32"/>
        </w:rPr>
        <w:br w:type="page"/>
      </w:r>
    </w:p>
    <w:p w14:paraId="18EF275E">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7636419F">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20A489DD">
      <w:pPr>
        <w:ind w:firstLine="640" w:firstLineChars="200"/>
        <w:jc w:val="left"/>
        <w:rPr>
          <w:rFonts w:ascii="仿宋_GB2312" w:eastAsia="仿宋_GB2312"/>
          <w:sz w:val="32"/>
          <w:szCs w:val="32"/>
        </w:rPr>
      </w:pPr>
      <w:bookmarkStart w:id="4" w:name="_Toc31238"/>
      <w:bookmarkStart w:id="5" w:name="_Toc2151"/>
      <w:r>
        <w:rPr>
          <w:rFonts w:hint="eastAsia" w:ascii="仿宋_GB2312" w:eastAsia="仿宋_GB2312"/>
          <w:sz w:val="32"/>
          <w:szCs w:val="32"/>
        </w:rPr>
        <w:t>新疆维吾尔自治区第二测绘院是一支人员素质高，装备精良，技术先进，管理严格，综合实力雄厚、成绩卓著的测绘队伍。生产、开发的各类数字化地图产品及地理信息系统等测绘成果广泛地应用于政府的重大决策及交通、工业、城乡规划、土地管理、环境保护、通讯、能源、维稳等领域。根据国家和自治区测绘规划，承担国家和自治区基础测绘和其他测绘任务，包括：大地测量、地形测量、行政区域界线测绘、地籍测绘、航空摄影、航空摄影测量与遥感、工程测量、地图编制等专业测绘工作。</w:t>
      </w:r>
    </w:p>
    <w:p w14:paraId="6969E5EB">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0F333156">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新疆维吾尔自治区第二测绘院2023年度，实有人数</w:t>
      </w:r>
      <w:r>
        <w:rPr>
          <w:rFonts w:hint="eastAsia" w:ascii="仿宋_GB2312" w:eastAsia="仿宋_GB2312"/>
          <w:sz w:val="32"/>
          <w:szCs w:val="32"/>
          <w:lang w:val="zh-CN"/>
        </w:rPr>
        <w:t>326</w:t>
      </w:r>
      <w:r>
        <w:rPr>
          <w:rFonts w:hint="eastAsia" w:ascii="仿宋_GB2312" w:eastAsia="仿宋_GB2312"/>
          <w:sz w:val="32"/>
          <w:szCs w:val="32"/>
        </w:rPr>
        <w:t>人，其中：在职人员</w:t>
      </w:r>
      <w:r>
        <w:rPr>
          <w:rFonts w:hint="eastAsia" w:ascii="仿宋_GB2312" w:eastAsia="仿宋_GB2312"/>
          <w:sz w:val="32"/>
          <w:szCs w:val="32"/>
          <w:lang w:val="zh-CN"/>
        </w:rPr>
        <w:t>171</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155</w:t>
      </w:r>
      <w:r>
        <w:rPr>
          <w:rFonts w:hint="eastAsia" w:ascii="仿宋_GB2312" w:eastAsia="仿宋_GB2312"/>
          <w:sz w:val="32"/>
          <w:szCs w:val="32"/>
        </w:rPr>
        <w:t>人。</w:t>
      </w:r>
    </w:p>
    <w:p w14:paraId="0E30DFCA">
      <w:pPr>
        <w:ind w:firstLine="640" w:firstLineChars="200"/>
        <w:rPr>
          <w:rFonts w:eastAsia="仿宋_GB2312" w:cs="宋体" w:asciiTheme="minorHAnsi" w:hAnsiTheme="minorHAnsi"/>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eastAsia="仿宋_GB2312" w:asciiTheme="minorHAnsi" w:hAnsiTheme="minorHAnsi"/>
          <w:sz w:val="32"/>
          <w:szCs w:val="32"/>
        </w:rPr>
        <w:t>18</w:t>
      </w:r>
      <w:r>
        <w:rPr>
          <w:rFonts w:eastAsia="仿宋_GB2312" w:asciiTheme="minorHAnsi" w:hAnsiTheme="minorHAnsi"/>
          <w:sz w:val="32"/>
          <w:szCs w:val="32"/>
        </w:rPr>
        <w:t>个科室，分别是：办公室、副总工办、生产技术科、质量管理科、财务科、人事教育科（纪委办）、设备科、退休管理科、服务中心、一分院、二分院、三分院、四分院、五分院、六分院、七分院、工程测量项目部、地理信息工程部。</w:t>
      </w:r>
    </w:p>
    <w:p w14:paraId="0956E787">
      <w:pPr>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45EC99C1">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0444BF44">
      <w:pPr>
        <w:ind w:firstLine="640" w:firstLineChars="200"/>
        <w:jc w:val="left"/>
        <w:rPr>
          <w:rFonts w:ascii="仿宋_GB2312" w:eastAsia="仿宋_GB2312"/>
          <w:sz w:val="32"/>
          <w:szCs w:val="32"/>
        </w:rPr>
      </w:pPr>
      <w:r>
        <w:rPr>
          <w:rFonts w:hint="eastAsia" w:ascii="仿宋_GB2312" w:eastAsia="仿宋_GB2312"/>
          <w:sz w:val="32"/>
          <w:szCs w:val="32"/>
        </w:rPr>
        <w:t>2023年度收入总计6,099.60万元，其中：本年收入合计6,059.18万元，使用非财政拨款结余40.42万元，年初结转和结余0.00万元。</w:t>
      </w:r>
    </w:p>
    <w:p w14:paraId="41A1FD43">
      <w:pPr>
        <w:ind w:firstLine="640" w:firstLineChars="200"/>
        <w:jc w:val="left"/>
        <w:rPr>
          <w:rFonts w:ascii="仿宋_GB2312" w:eastAsia="仿宋_GB2312"/>
          <w:sz w:val="32"/>
          <w:szCs w:val="32"/>
        </w:rPr>
      </w:pPr>
      <w:r>
        <w:rPr>
          <w:rFonts w:hint="eastAsia" w:ascii="仿宋_GB2312" w:eastAsia="仿宋_GB2312"/>
          <w:sz w:val="32"/>
          <w:szCs w:val="32"/>
        </w:rPr>
        <w:t>2023年度支出总计6,099.60万元，其中：本年支出合计6,099.60万元，结余分配0.00万元，年末结转和结余0.00万元。</w:t>
      </w:r>
    </w:p>
    <w:p w14:paraId="3E8748F0">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减少805.02万元</w:t>
      </w:r>
      <w:r>
        <w:rPr>
          <w:rFonts w:hint="eastAsia" w:ascii="仿宋_GB2312" w:eastAsia="仿宋_GB2312"/>
          <w:sz w:val="32"/>
          <w:szCs w:val="32"/>
        </w:rPr>
        <w:t>，下降11.66%，主要原因是：2023年度较2022年度</w:t>
      </w:r>
      <w:r>
        <w:rPr>
          <w:rFonts w:hint="eastAsia" w:eastAsia="仿宋_GB2312"/>
          <w:sz w:val="32"/>
          <w:szCs w:val="32"/>
        </w:rPr>
        <w:t>其他自然资源事务</w:t>
      </w:r>
      <w:r>
        <w:rPr>
          <w:rFonts w:hint="eastAsia" w:ascii="仿宋_GB2312" w:eastAsia="仿宋_GB2312"/>
          <w:sz w:val="32"/>
          <w:szCs w:val="32"/>
        </w:rPr>
        <w:t>财政拨款项目经费减少。</w:t>
      </w:r>
    </w:p>
    <w:p w14:paraId="38A092BD">
      <w:pPr>
        <w:ind w:firstLine="640" w:firstLineChars="200"/>
        <w:jc w:val="left"/>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26324658">
      <w:pPr>
        <w:ind w:firstLine="640" w:firstLineChars="200"/>
        <w:jc w:val="left"/>
        <w:rPr>
          <w:rFonts w:ascii="仿宋_GB2312" w:eastAsia="仿宋_GB2312"/>
          <w:sz w:val="32"/>
          <w:szCs w:val="32"/>
        </w:rPr>
      </w:pPr>
      <w:r>
        <w:rPr>
          <w:rFonts w:hint="eastAsia" w:ascii="仿宋_GB2312" w:eastAsia="仿宋_GB2312"/>
          <w:sz w:val="32"/>
          <w:szCs w:val="32"/>
        </w:rPr>
        <w:t>本年收入6,059.18万元，其中：财政拨款收入</w:t>
      </w:r>
      <w:r>
        <w:rPr>
          <w:rFonts w:hint="eastAsia" w:ascii="仿宋_GB2312" w:eastAsia="仿宋_GB2312"/>
          <w:sz w:val="32"/>
          <w:szCs w:val="32"/>
          <w:lang w:val="zh-CN"/>
        </w:rPr>
        <w:t>5,512.31</w:t>
      </w:r>
      <w:r>
        <w:rPr>
          <w:rFonts w:hint="eastAsia" w:ascii="仿宋_GB2312" w:eastAsia="仿宋_GB2312"/>
          <w:sz w:val="32"/>
          <w:szCs w:val="32"/>
        </w:rPr>
        <w:t>万元，占</w:t>
      </w:r>
      <w:r>
        <w:rPr>
          <w:rFonts w:hint="eastAsia" w:ascii="仿宋_GB2312" w:eastAsia="仿宋_GB2312"/>
          <w:sz w:val="32"/>
          <w:szCs w:val="32"/>
          <w:lang w:val="zh-CN"/>
        </w:rPr>
        <w:t>90.97</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546.56</w:t>
      </w:r>
      <w:r>
        <w:rPr>
          <w:rFonts w:hint="eastAsia" w:ascii="仿宋_GB2312" w:eastAsia="仿宋_GB2312"/>
          <w:sz w:val="32"/>
          <w:szCs w:val="32"/>
        </w:rPr>
        <w:t>万元，占</w:t>
      </w:r>
      <w:r>
        <w:rPr>
          <w:rFonts w:hint="eastAsia" w:ascii="仿宋_GB2312" w:eastAsia="仿宋_GB2312"/>
          <w:sz w:val="32"/>
          <w:szCs w:val="32"/>
          <w:lang w:val="zh-CN"/>
        </w:rPr>
        <w:t>9.02</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0.32</w:t>
      </w:r>
      <w:r>
        <w:rPr>
          <w:rFonts w:hint="eastAsia" w:ascii="仿宋_GB2312" w:eastAsia="仿宋_GB2312"/>
          <w:sz w:val="32"/>
          <w:szCs w:val="32"/>
        </w:rPr>
        <w:t>万元，占</w:t>
      </w:r>
      <w:r>
        <w:rPr>
          <w:rFonts w:hint="eastAsia" w:ascii="仿宋_GB2312" w:eastAsia="仿宋_GB2312"/>
          <w:sz w:val="32"/>
          <w:szCs w:val="32"/>
          <w:lang w:val="zh-CN"/>
        </w:rPr>
        <w:t>0.01</w:t>
      </w:r>
      <w:r>
        <w:rPr>
          <w:rFonts w:hint="eastAsia" w:ascii="仿宋_GB2312" w:eastAsia="仿宋_GB2312"/>
          <w:sz w:val="32"/>
          <w:szCs w:val="32"/>
        </w:rPr>
        <w:t>%。</w:t>
      </w:r>
    </w:p>
    <w:p w14:paraId="2E86DA1A">
      <w:pPr>
        <w:ind w:firstLine="640" w:firstLineChars="200"/>
        <w:jc w:val="left"/>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5258D180">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本年支出6,099.60万元，其中：基本支出4,053.04万元，占66.45%；项目支出1,500.00万元，占24.59%；上缴上级支出0.00万元，占0.00%；经营支出546.56万元，占8.96%；对附属单位补助支出0.00万元，占0.00%。</w:t>
      </w:r>
    </w:p>
    <w:p w14:paraId="3103633A">
      <w:pPr>
        <w:ind w:firstLine="640" w:firstLineChars="200"/>
        <w:jc w:val="left"/>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2DC7F6D6">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5,512.31</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5,512.31</w:t>
      </w:r>
      <w:r>
        <w:rPr>
          <w:rFonts w:hint="eastAsia" w:ascii="仿宋_GB2312" w:eastAsia="仿宋_GB2312"/>
          <w:sz w:val="32"/>
          <w:szCs w:val="32"/>
        </w:rPr>
        <w:t>万元。财政拨款支出总计</w:t>
      </w:r>
      <w:r>
        <w:rPr>
          <w:rFonts w:hint="eastAsia" w:ascii="仿宋_GB2312" w:eastAsia="仿宋_GB2312"/>
          <w:sz w:val="32"/>
          <w:szCs w:val="32"/>
          <w:lang w:val="zh-CN"/>
        </w:rPr>
        <w:t>5,512.31</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5,512.31</w:t>
      </w:r>
      <w:r>
        <w:rPr>
          <w:rFonts w:hint="eastAsia" w:ascii="仿宋_GB2312" w:eastAsia="仿宋_GB2312"/>
          <w:sz w:val="32"/>
          <w:szCs w:val="32"/>
        </w:rPr>
        <w:t>万元。</w:t>
      </w:r>
    </w:p>
    <w:p w14:paraId="1F9C1547">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减少717.01万元</w:t>
      </w:r>
      <w:r>
        <w:rPr>
          <w:rFonts w:hint="eastAsia" w:ascii="仿宋_GB2312" w:eastAsia="仿宋_GB2312"/>
          <w:sz w:val="32"/>
          <w:szCs w:val="32"/>
        </w:rPr>
        <w:t>，下降11.51%,主要原因是：2023年度较2022年度</w:t>
      </w:r>
      <w:r>
        <w:rPr>
          <w:rFonts w:hint="eastAsia" w:eastAsia="仿宋_GB2312"/>
          <w:sz w:val="32"/>
          <w:szCs w:val="32"/>
        </w:rPr>
        <w:t>其他自然资源事务</w:t>
      </w:r>
      <w:r>
        <w:rPr>
          <w:rFonts w:hint="eastAsia" w:ascii="仿宋_GB2312" w:eastAsia="仿宋_GB2312"/>
          <w:sz w:val="32"/>
          <w:szCs w:val="32"/>
        </w:rPr>
        <w:t>财政拨款项目经费减少。与年初预算相比，年初预算数</w:t>
      </w:r>
      <w:r>
        <w:rPr>
          <w:rFonts w:hint="eastAsia" w:ascii="仿宋_GB2312" w:eastAsia="仿宋_GB2312"/>
          <w:sz w:val="32"/>
          <w:szCs w:val="32"/>
          <w:lang w:val="zh-CN"/>
        </w:rPr>
        <w:t>4,963.95</w:t>
      </w:r>
      <w:r>
        <w:rPr>
          <w:rFonts w:hint="eastAsia" w:ascii="仿宋_GB2312" w:eastAsia="仿宋_GB2312"/>
          <w:sz w:val="32"/>
          <w:szCs w:val="32"/>
        </w:rPr>
        <w:t>万元，决算数</w:t>
      </w:r>
      <w:r>
        <w:rPr>
          <w:rFonts w:hint="eastAsia" w:ascii="仿宋_GB2312" w:eastAsia="仿宋_GB2312"/>
          <w:sz w:val="32"/>
          <w:szCs w:val="32"/>
          <w:lang w:val="zh-CN"/>
        </w:rPr>
        <w:t>5,512.31</w:t>
      </w:r>
      <w:r>
        <w:rPr>
          <w:rFonts w:hint="eastAsia" w:ascii="仿宋_GB2312" w:eastAsia="仿宋_GB2312"/>
          <w:sz w:val="32"/>
          <w:szCs w:val="32"/>
        </w:rPr>
        <w:t>万元，预决算差异率11.05%，主要原因是：年中追加基础绩效奖、年度考核奖及自治区民族团结一家亲结对认亲交通费等。</w:t>
      </w:r>
    </w:p>
    <w:p w14:paraId="13116BF8">
      <w:pPr>
        <w:ind w:firstLine="640" w:firstLineChars="200"/>
        <w:jc w:val="left"/>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71893A7C">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14:paraId="29D96597">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2023年度一般公共预算财政拨款支出5,512.31万元，占本年支出合计的</w:t>
      </w:r>
      <w:r>
        <w:rPr>
          <w:rFonts w:hint="eastAsia" w:ascii="仿宋_GB2312" w:eastAsia="仿宋_GB2312"/>
          <w:sz w:val="32"/>
          <w:szCs w:val="32"/>
          <w:lang w:val="zh-CN"/>
        </w:rPr>
        <w:t>90.37%</w:t>
      </w:r>
      <w:r>
        <w:rPr>
          <w:rFonts w:hint="eastAsia" w:ascii="仿宋_GB2312" w:eastAsia="仿宋_GB2312"/>
          <w:sz w:val="32"/>
          <w:szCs w:val="32"/>
        </w:rPr>
        <w:t>。与上年相比，</w:t>
      </w:r>
      <w:r>
        <w:rPr>
          <w:rFonts w:hint="eastAsia" w:ascii="仿宋_GB2312" w:eastAsia="仿宋_GB2312"/>
          <w:sz w:val="32"/>
          <w:szCs w:val="32"/>
          <w:lang w:val="zh-CN"/>
        </w:rPr>
        <w:t>减少717.01万元</w:t>
      </w:r>
      <w:r>
        <w:rPr>
          <w:rFonts w:hint="eastAsia" w:ascii="仿宋_GB2312" w:eastAsia="仿宋_GB2312"/>
          <w:sz w:val="32"/>
          <w:szCs w:val="32"/>
        </w:rPr>
        <w:t>，下降11.51%,主要原因是：2023年度较2022年度</w:t>
      </w:r>
      <w:r>
        <w:rPr>
          <w:rFonts w:hint="eastAsia" w:eastAsia="仿宋_GB2312"/>
          <w:sz w:val="32"/>
          <w:szCs w:val="32"/>
        </w:rPr>
        <w:t>其他自然资源事务</w:t>
      </w:r>
      <w:r>
        <w:rPr>
          <w:rFonts w:hint="eastAsia" w:ascii="仿宋_GB2312" w:eastAsia="仿宋_GB2312"/>
          <w:sz w:val="32"/>
          <w:szCs w:val="32"/>
        </w:rPr>
        <w:t>财政拨款项目经费减少。与年初预算相比，年初预算数</w:t>
      </w:r>
      <w:r>
        <w:rPr>
          <w:rFonts w:hint="eastAsia" w:ascii="仿宋_GB2312" w:eastAsia="仿宋_GB2312"/>
          <w:sz w:val="32"/>
          <w:szCs w:val="32"/>
          <w:lang w:val="zh-CN"/>
        </w:rPr>
        <w:t>4,963.95</w:t>
      </w:r>
      <w:r>
        <w:rPr>
          <w:rFonts w:hint="eastAsia" w:ascii="仿宋_GB2312" w:eastAsia="仿宋_GB2312"/>
          <w:sz w:val="32"/>
          <w:szCs w:val="32"/>
        </w:rPr>
        <w:t>万元，决算数</w:t>
      </w:r>
      <w:r>
        <w:rPr>
          <w:rFonts w:hint="eastAsia" w:ascii="仿宋_GB2312" w:eastAsia="仿宋_GB2312"/>
          <w:sz w:val="32"/>
          <w:szCs w:val="32"/>
          <w:lang w:val="zh-CN"/>
        </w:rPr>
        <w:t>5,512.31</w:t>
      </w:r>
      <w:r>
        <w:rPr>
          <w:rFonts w:hint="eastAsia" w:ascii="仿宋_GB2312" w:eastAsia="仿宋_GB2312"/>
          <w:sz w:val="32"/>
          <w:szCs w:val="32"/>
        </w:rPr>
        <w:t>万元，预决算差异率</w:t>
      </w:r>
      <w:r>
        <w:rPr>
          <w:rFonts w:hint="eastAsia" w:ascii="仿宋_GB2312" w:eastAsia="仿宋_GB2312"/>
          <w:sz w:val="32"/>
          <w:szCs w:val="32"/>
          <w:lang w:val="zh-CN"/>
        </w:rPr>
        <w:t>11.05%</w:t>
      </w:r>
      <w:r>
        <w:rPr>
          <w:rFonts w:hint="eastAsia" w:ascii="仿宋_GB2312" w:eastAsia="仿宋_GB2312"/>
          <w:sz w:val="32"/>
          <w:szCs w:val="32"/>
        </w:rPr>
        <w:t>，主要原因是：年中追加基础绩效奖、年度考核奖及自治区民族团结一家亲结对认亲交通费等。</w:t>
      </w:r>
    </w:p>
    <w:p w14:paraId="4DA0E714">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14:paraId="0CD3B2C2">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681.60</w:t>
      </w:r>
      <w:r>
        <w:rPr>
          <w:rFonts w:ascii="仿宋_GB2312" w:eastAsia="仿宋_GB2312"/>
          <w:kern w:val="2"/>
          <w:sz w:val="32"/>
          <w:szCs w:val="32"/>
          <w:lang w:val="zh-CN"/>
        </w:rPr>
        <w:t>万元，占</w:t>
      </w:r>
      <w:r>
        <w:rPr>
          <w:rFonts w:hint="eastAsia" w:ascii="仿宋_GB2312" w:eastAsia="仿宋_GB2312"/>
          <w:kern w:val="2"/>
          <w:sz w:val="32"/>
          <w:szCs w:val="32"/>
          <w:lang w:val="zh-CN"/>
        </w:rPr>
        <w:t>12.36</w:t>
      </w:r>
      <w:r>
        <w:rPr>
          <w:rFonts w:ascii="仿宋_GB2312" w:eastAsia="仿宋_GB2312"/>
          <w:kern w:val="2"/>
          <w:sz w:val="32"/>
          <w:szCs w:val="32"/>
          <w:lang w:val="zh-CN"/>
        </w:rPr>
        <w:t>%；</w:t>
      </w:r>
    </w:p>
    <w:p w14:paraId="069D7307">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289.35</w:t>
      </w:r>
      <w:r>
        <w:rPr>
          <w:rFonts w:ascii="仿宋_GB2312" w:eastAsia="仿宋_GB2312"/>
          <w:kern w:val="2"/>
          <w:sz w:val="32"/>
          <w:szCs w:val="32"/>
          <w:lang w:val="zh-CN"/>
        </w:rPr>
        <w:t>万元，占</w:t>
      </w:r>
      <w:r>
        <w:rPr>
          <w:rFonts w:hint="eastAsia" w:ascii="仿宋_GB2312" w:eastAsia="仿宋_GB2312"/>
          <w:kern w:val="2"/>
          <w:sz w:val="32"/>
          <w:szCs w:val="32"/>
          <w:lang w:val="zh-CN"/>
        </w:rPr>
        <w:t>5.25</w:t>
      </w:r>
      <w:r>
        <w:rPr>
          <w:rFonts w:ascii="仿宋_GB2312" w:eastAsia="仿宋_GB2312"/>
          <w:kern w:val="2"/>
          <w:sz w:val="32"/>
          <w:szCs w:val="32"/>
          <w:lang w:val="zh-CN"/>
        </w:rPr>
        <w:t>%；</w:t>
      </w:r>
    </w:p>
    <w:p w14:paraId="4E6C47BB">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.自然资源海洋气象等支出（类）</w:t>
      </w:r>
      <w:r>
        <w:rPr>
          <w:rFonts w:hint="eastAsia" w:ascii="仿宋_GB2312" w:eastAsia="仿宋_GB2312"/>
          <w:kern w:val="2"/>
          <w:sz w:val="32"/>
          <w:szCs w:val="32"/>
          <w:lang w:val="zh-CN"/>
        </w:rPr>
        <w:t>4,314.43</w:t>
      </w:r>
      <w:r>
        <w:rPr>
          <w:rFonts w:ascii="仿宋_GB2312" w:eastAsia="仿宋_GB2312"/>
          <w:kern w:val="2"/>
          <w:sz w:val="32"/>
          <w:szCs w:val="32"/>
          <w:lang w:val="zh-CN"/>
        </w:rPr>
        <w:t>万元，占</w:t>
      </w:r>
      <w:r>
        <w:rPr>
          <w:rFonts w:hint="eastAsia" w:ascii="仿宋_GB2312" w:eastAsia="仿宋_GB2312"/>
          <w:kern w:val="2"/>
          <w:sz w:val="32"/>
          <w:szCs w:val="32"/>
          <w:lang w:val="zh-CN"/>
        </w:rPr>
        <w:t>78.27</w:t>
      </w:r>
      <w:r>
        <w:rPr>
          <w:rFonts w:ascii="仿宋_GB2312" w:eastAsia="仿宋_GB2312"/>
          <w:kern w:val="2"/>
          <w:sz w:val="32"/>
          <w:szCs w:val="32"/>
          <w:lang w:val="zh-CN"/>
        </w:rPr>
        <w:t>%；</w:t>
      </w:r>
    </w:p>
    <w:p w14:paraId="4AA9A5BE">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226.94</w:t>
      </w:r>
      <w:r>
        <w:rPr>
          <w:rFonts w:ascii="仿宋_GB2312" w:eastAsia="仿宋_GB2312"/>
          <w:kern w:val="2"/>
          <w:sz w:val="32"/>
          <w:szCs w:val="32"/>
          <w:lang w:val="zh-CN"/>
        </w:rPr>
        <w:t>万元，占</w:t>
      </w:r>
      <w:r>
        <w:rPr>
          <w:rFonts w:hint="eastAsia" w:ascii="仿宋_GB2312" w:eastAsia="仿宋_GB2312"/>
          <w:kern w:val="2"/>
          <w:sz w:val="32"/>
          <w:szCs w:val="32"/>
          <w:lang w:val="zh-CN"/>
        </w:rPr>
        <w:t>4.12</w:t>
      </w:r>
      <w:r>
        <w:rPr>
          <w:rFonts w:ascii="仿宋_GB2312" w:eastAsia="仿宋_GB2312"/>
          <w:kern w:val="2"/>
          <w:sz w:val="32"/>
          <w:szCs w:val="32"/>
          <w:lang w:val="zh-CN"/>
        </w:rPr>
        <w:t>%；</w:t>
      </w:r>
    </w:p>
    <w:p w14:paraId="64DDB03E">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14:paraId="2232DE35">
      <w:pPr>
        <w:ind w:firstLine="640" w:firstLineChars="200"/>
        <w:rPr>
          <w:rFonts w:eastAsia="仿宋_GB2312"/>
          <w:sz w:val="32"/>
          <w:szCs w:val="32"/>
          <w:lang w:val="zh-CN"/>
        </w:rPr>
      </w:pPr>
      <w:r>
        <w:rPr>
          <w:rFonts w:hint="eastAsia" w:eastAsia="仿宋_GB2312"/>
          <w:sz w:val="32"/>
          <w:szCs w:val="32"/>
        </w:rPr>
        <w:t>1.卫生健康支出（类）行政事业单位医疗（款）事业单位医疗（项）:支出决算数为156.97万元，比上年决算增加156.97万元，增长100</w:t>
      </w:r>
      <w:r>
        <w:rPr>
          <w:rFonts w:hint="eastAsia" w:eastAsia="仿宋_GB2312"/>
          <w:sz w:val="32"/>
          <w:szCs w:val="32"/>
          <w:lang w:val="en-US" w:eastAsia="zh-CN"/>
        </w:rPr>
        <w:t>.00</w:t>
      </w:r>
      <w:r>
        <w:rPr>
          <w:rFonts w:hint="eastAsia" w:eastAsia="仿宋_GB2312"/>
          <w:sz w:val="32"/>
          <w:szCs w:val="32"/>
        </w:rPr>
        <w:t>%，主要原因是：</w:t>
      </w:r>
      <w:r>
        <w:rPr>
          <w:rFonts w:hint="eastAsia" w:eastAsia="仿宋_GB2312"/>
          <w:sz w:val="32"/>
          <w:szCs w:val="32"/>
          <w:lang w:val="zh-CN"/>
        </w:rPr>
        <w:t>2022年度无此功能科目，因此2023年度增长100%。</w:t>
      </w:r>
    </w:p>
    <w:p w14:paraId="1A7AFFD2">
      <w:pPr>
        <w:ind w:firstLine="640" w:firstLineChars="200"/>
        <w:rPr>
          <w:rFonts w:eastAsia="仿宋_GB2312"/>
          <w:sz w:val="32"/>
          <w:szCs w:val="32"/>
          <w:lang w:val="zh-CN"/>
        </w:rPr>
      </w:pPr>
      <w:r>
        <w:rPr>
          <w:rFonts w:hint="eastAsia" w:eastAsia="仿宋_GB2312"/>
          <w:sz w:val="32"/>
          <w:szCs w:val="32"/>
        </w:rPr>
        <w:t>2.卫生健康支出（类）行政事业单位医疗（款）公务员医疗补助（项）:支出决算数为132.38万元，比上年决算增加13.63万元，增长11.48%，主要原因是：</w:t>
      </w:r>
      <w:r>
        <w:rPr>
          <w:rFonts w:hint="eastAsia" w:eastAsia="仿宋_GB2312"/>
          <w:sz w:val="32"/>
          <w:szCs w:val="32"/>
          <w:lang w:val="zh-CN"/>
        </w:rPr>
        <w:t>2023年度调增基础绩效奖导致基本支出中公务员医疗补助缴费支出增加。</w:t>
      </w:r>
    </w:p>
    <w:p w14:paraId="7275D071">
      <w:pPr>
        <w:ind w:firstLine="640" w:firstLineChars="200"/>
        <w:rPr>
          <w:rFonts w:eastAsia="仿宋_GB2312"/>
          <w:sz w:val="32"/>
          <w:szCs w:val="32"/>
          <w:lang w:val="zh-CN"/>
        </w:rPr>
      </w:pPr>
      <w:r>
        <w:rPr>
          <w:rFonts w:hint="eastAsia" w:eastAsia="仿宋_GB2312"/>
          <w:sz w:val="32"/>
          <w:szCs w:val="32"/>
        </w:rPr>
        <w:t>3.自然资源海洋气象等支出（类）自然资源事务（款）其他自然资源事务支出（项）:支出决算数为1,500.00万元，比上年决算减少976.19万元，下降39.42%，主要原因是：2023年较2022年其他自然资源事务财政拨款项目经费减少</w:t>
      </w:r>
      <w:r>
        <w:rPr>
          <w:rFonts w:hint="eastAsia" w:eastAsia="仿宋_GB2312"/>
          <w:sz w:val="32"/>
          <w:szCs w:val="32"/>
          <w:lang w:val="zh-CN"/>
        </w:rPr>
        <w:t>。</w:t>
      </w:r>
    </w:p>
    <w:p w14:paraId="57DD98A7">
      <w:pPr>
        <w:ind w:firstLine="640" w:firstLineChars="200"/>
        <w:jc w:val="left"/>
        <w:rPr>
          <w:rFonts w:eastAsia="仿宋_GB2312"/>
          <w:sz w:val="32"/>
          <w:szCs w:val="32"/>
          <w:lang w:val="zh-CN"/>
        </w:rPr>
      </w:pPr>
      <w:r>
        <w:rPr>
          <w:rFonts w:hint="eastAsia" w:eastAsia="仿宋_GB2312"/>
          <w:sz w:val="32"/>
          <w:szCs w:val="32"/>
        </w:rPr>
        <w:t>4.住房保障支出（类）住房改革支出（款）住房公积金（项）:支出决算数为226.94万元，比上年决算增加14.22万元，增长6.68%，主要原因是：</w:t>
      </w:r>
      <w:r>
        <w:rPr>
          <w:rFonts w:hint="eastAsia" w:eastAsia="仿宋_GB2312"/>
          <w:sz w:val="32"/>
          <w:szCs w:val="32"/>
          <w:lang w:val="zh-CN"/>
        </w:rPr>
        <w:t>2023年度调增基础绩效奖导致基本支出中住房公积金缴费支出增加。</w:t>
      </w:r>
    </w:p>
    <w:p w14:paraId="491555D3">
      <w:pPr>
        <w:ind w:firstLine="640" w:firstLineChars="200"/>
        <w:rPr>
          <w:rFonts w:eastAsia="仿宋_GB2312"/>
          <w:sz w:val="32"/>
          <w:szCs w:val="32"/>
          <w:lang w:val="zh-CN"/>
        </w:rPr>
      </w:pPr>
      <w:r>
        <w:rPr>
          <w:rFonts w:hint="eastAsia" w:eastAsia="仿宋_GB2312"/>
          <w:sz w:val="32"/>
          <w:szCs w:val="32"/>
        </w:rPr>
        <w:t>5.自然资源海洋气象等支出（类）自然资源事务（款）事业运行（项）:支出决算数为2,814.43万元，比上年决算增加74.74万元，增长2.73%，主要原因是：</w:t>
      </w:r>
      <w:r>
        <w:rPr>
          <w:rFonts w:hint="eastAsia" w:eastAsia="仿宋_GB2312"/>
          <w:sz w:val="32"/>
          <w:szCs w:val="32"/>
          <w:lang w:val="zh-CN"/>
        </w:rPr>
        <w:t>2023年调增绩效工资导致基本支出中人员费用增加。</w:t>
      </w:r>
    </w:p>
    <w:p w14:paraId="1D3CF00A">
      <w:pPr>
        <w:ind w:firstLine="640" w:firstLineChars="200"/>
        <w:rPr>
          <w:rFonts w:eastAsia="仿宋_GB2312"/>
          <w:sz w:val="32"/>
          <w:szCs w:val="32"/>
          <w:lang w:val="zh-CN"/>
        </w:rPr>
      </w:pPr>
      <w:r>
        <w:rPr>
          <w:rFonts w:hint="eastAsia" w:eastAsia="仿宋_GB2312"/>
          <w:sz w:val="32"/>
          <w:szCs w:val="32"/>
        </w:rPr>
        <w:t>6.社会保障和就业支出（类）行政事业单位养老支出（款）事业单位离退休（项）:支出决算数为295.86万元，比上年决算减少82.32万元，下降21.77%，主要原因是：</w:t>
      </w:r>
      <w:r>
        <w:rPr>
          <w:rFonts w:hint="eastAsia" w:ascii="仿宋_GB2312" w:eastAsia="仿宋_GB2312"/>
          <w:sz w:val="32"/>
          <w:szCs w:val="32"/>
          <w:lang w:val="zh-CN"/>
        </w:rPr>
        <w:t>退休</w:t>
      </w:r>
      <w:r>
        <w:rPr>
          <w:rFonts w:hint="eastAsia" w:ascii="仿宋_GB2312" w:eastAsia="仿宋_GB2312"/>
          <w:sz w:val="32"/>
          <w:szCs w:val="32"/>
          <w:lang w:val="zh-CN" w:eastAsia="zh-CN"/>
        </w:rPr>
        <w:t>人员医疗费经财政收回</w:t>
      </w:r>
      <w:r>
        <w:rPr>
          <w:rFonts w:hint="eastAsia" w:ascii="仿宋_GB2312" w:eastAsia="仿宋_GB2312"/>
          <w:sz w:val="32"/>
          <w:szCs w:val="32"/>
          <w:lang w:val="zh-CN"/>
        </w:rPr>
        <w:t>，基本医疗保险缴费减少导致事业单位离退休支出减少</w:t>
      </w:r>
      <w:r>
        <w:rPr>
          <w:rFonts w:hint="eastAsia" w:eastAsia="仿宋_GB2312"/>
          <w:sz w:val="32"/>
          <w:szCs w:val="32"/>
          <w:lang w:val="zh-CN"/>
        </w:rPr>
        <w:t>。</w:t>
      </w:r>
    </w:p>
    <w:p w14:paraId="7640C704">
      <w:pPr>
        <w:ind w:firstLine="640" w:firstLineChars="200"/>
        <w:rPr>
          <w:rFonts w:eastAsia="仿宋_GB2312"/>
          <w:sz w:val="32"/>
          <w:szCs w:val="32"/>
          <w:lang w:val="zh-CN"/>
        </w:rPr>
      </w:pPr>
      <w:r>
        <w:rPr>
          <w:rFonts w:hint="eastAsia" w:eastAsia="仿宋_GB2312"/>
          <w:sz w:val="32"/>
          <w:szCs w:val="32"/>
        </w:rPr>
        <w:t>7.社会保障和就业支出（类）行政事业单位养老支出（款）机关事业单位职业年金缴费支出（项）:支出决算数为83.15万元，比上年决算增加63.00万元，增长312.63%，主要原因是：</w:t>
      </w:r>
      <w:r>
        <w:rPr>
          <w:rFonts w:hint="eastAsia" w:eastAsia="仿宋_GB2312"/>
          <w:sz w:val="32"/>
          <w:szCs w:val="32"/>
          <w:lang w:val="zh-CN"/>
        </w:rPr>
        <w:t>2022年度因疫情原因导致4名退休人员职业年金单位缴费记实在2023年度发生。</w:t>
      </w:r>
    </w:p>
    <w:p w14:paraId="63CE4450">
      <w:pPr>
        <w:ind w:firstLine="640" w:firstLineChars="200"/>
        <w:rPr>
          <w:rFonts w:eastAsia="仿宋_GB2312"/>
          <w:sz w:val="32"/>
          <w:szCs w:val="32"/>
          <w:lang w:val="zh-CN"/>
        </w:rPr>
      </w:pPr>
      <w:r>
        <w:rPr>
          <w:rFonts w:hint="eastAsia" w:eastAsia="仿宋_GB2312"/>
          <w:sz w:val="32"/>
          <w:szCs w:val="32"/>
        </w:rPr>
        <w:t>8.社会保障和就业支出（类）行政事业单位养老支出（款）机关事业单位基本养老保险缴费支出（项）:支出决算数为302.58万元，比上年决算增加18.95万元，增长6.68%，主要原因是：</w:t>
      </w:r>
      <w:r>
        <w:rPr>
          <w:rFonts w:hint="eastAsia" w:eastAsia="仿宋_GB2312"/>
          <w:sz w:val="32"/>
          <w:szCs w:val="32"/>
          <w:lang w:val="zh-CN"/>
        </w:rPr>
        <w:t>2023年度调增基础绩效奖导致基本支出中机关事业单位基本养老保险缴费支出增加。</w:t>
      </w:r>
    </w:p>
    <w:p w14:paraId="79AE60AC">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1955E242">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4,012.31万元，其中：人员经费3,820.48万元，包括：基本工资、津贴补贴、奖金、绩效工资、机关事业单位基本养老保险缴费、职业年金缴费、职工基本医疗保险缴费、公务员医疗补助缴费、其他社会保障缴费、住房公积金、其他工资福利支出、退休费、抚恤金、其他对个人和家庭的补助。</w:t>
      </w:r>
    </w:p>
    <w:p w14:paraId="49F09DAB">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公用经费191.83万元，包括：办公费、印刷费、水费、电费、邮电费、物业管理费、差旅费、培训费、工会经费、福利费、公务用车运行维护费、其他交通费用、其他商品和服务支出、办公设备购置。</w:t>
      </w:r>
    </w:p>
    <w:p w14:paraId="28988F75">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721AAA0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“三公”经费支出12.92万元，</w:t>
      </w:r>
      <w:r>
        <w:rPr>
          <w:rFonts w:hint="eastAsia" w:ascii="仿宋_GB2312" w:eastAsia="仿宋_GB2312"/>
          <w:sz w:val="32"/>
          <w:szCs w:val="32"/>
        </w:rPr>
        <w:t>比上年</w:t>
      </w:r>
      <w:r>
        <w:rPr>
          <w:rFonts w:hint="eastAsia" w:ascii="仿宋_GB2312" w:eastAsia="仿宋_GB2312"/>
          <w:sz w:val="32"/>
          <w:szCs w:val="32"/>
          <w:lang w:val="zh-CN"/>
        </w:rPr>
        <w:t>增加0.01万元，</w:t>
      </w:r>
      <w:r>
        <w:rPr>
          <w:rFonts w:hint="eastAsia" w:ascii="仿宋_GB2312" w:eastAsia="仿宋_GB2312"/>
          <w:sz w:val="32"/>
          <w:szCs w:val="32"/>
        </w:rPr>
        <w:t>增长0.09%,</w:t>
      </w:r>
      <w:r>
        <w:rPr>
          <w:rFonts w:hint="eastAsia" w:ascii="仿宋_GB2312" w:eastAsia="仿宋_GB2312"/>
          <w:sz w:val="32"/>
          <w:szCs w:val="32"/>
          <w:lang w:val="zh-CN"/>
        </w:rPr>
        <w:t>主要原因是：2022年度因疫情原因导致公务用车运行维护费未100%执行，2023年度公务用车运行维护费执行率达100%。其中：因公出国（境）费支出0.00万元，占0.00%，比上年增加0.00万元，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主要原因是：我单位无因公出国（境）费；公务用车购置及运行维护费支出12.92万元，占100.00%，比上年增加0.30万元，</w:t>
      </w:r>
      <w:r>
        <w:rPr>
          <w:rFonts w:hint="eastAsia" w:ascii="仿宋_GB2312" w:eastAsia="仿宋_GB2312"/>
          <w:sz w:val="32"/>
          <w:szCs w:val="32"/>
        </w:rPr>
        <w:t>增长2.38%,</w:t>
      </w:r>
      <w:r>
        <w:rPr>
          <w:rFonts w:hint="eastAsia" w:ascii="仿宋_GB2312" w:eastAsia="仿宋_GB2312"/>
          <w:sz w:val="32"/>
          <w:szCs w:val="32"/>
          <w:lang w:val="zh-CN"/>
        </w:rPr>
        <w:t>主要原因是：2022年度因疫情原因导致公务用车运行维护费未100%执行，2023年度公务用车运行维护费执行率达100%；公务接待费支出0.00万元，占0.00%，比上年减少0.29万元，</w:t>
      </w:r>
      <w:r>
        <w:rPr>
          <w:rFonts w:hint="eastAsia" w:ascii="仿宋_GB2312" w:eastAsia="仿宋_GB2312"/>
          <w:sz w:val="32"/>
          <w:szCs w:val="32"/>
        </w:rPr>
        <w:t>下降100.00%,</w:t>
      </w:r>
      <w:r>
        <w:rPr>
          <w:rFonts w:hint="eastAsia" w:ascii="仿宋_GB2312" w:eastAsia="仿宋_GB2312"/>
          <w:sz w:val="32"/>
          <w:szCs w:val="32"/>
          <w:lang w:val="zh-CN"/>
        </w:rPr>
        <w:t>主要原因是：根据党政机关“过紧日子”相关要求，我单位2023年度未发生公务接待。</w:t>
      </w:r>
    </w:p>
    <w:p w14:paraId="1BFCADF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2427569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因公出国（境）费支出0.00万元，开支内容包括我单位无因公出国（境）费。单位全年安排的因公出国（境）团组0个，因公出国（境）0人次。</w:t>
      </w:r>
    </w:p>
    <w:p w14:paraId="2E988A4B">
      <w:pPr>
        <w:ind w:firstLine="640" w:firstLineChars="200"/>
        <w:jc w:val="left"/>
        <w:rPr>
          <w:rFonts w:hint="eastAsia" w:ascii="仿宋_GB2312" w:eastAsia="仿宋_GB2312"/>
          <w:sz w:val="32"/>
          <w:szCs w:val="32"/>
          <w:lang w:eastAsia="zh-CN"/>
        </w:rPr>
      </w:pPr>
      <w:r>
        <w:rPr>
          <w:rFonts w:hint="eastAsia" w:ascii="仿宋_GB2312" w:eastAsia="仿宋_GB2312"/>
          <w:sz w:val="32"/>
          <w:szCs w:val="32"/>
          <w:lang w:val="zh-CN"/>
        </w:rPr>
        <w:t>公务用车购置及运行维护费12.92万元，其中：公务用车购置费0.00万元，公务用车运行维护费12.92万元。公务用车运行维护费开支内容包括燃料费、维修费、过路费保险费等。公务用车购置数0辆，公务用车保有量12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12辆。</w:t>
      </w:r>
      <w:r>
        <w:rPr>
          <w:rFonts w:hint="eastAsia" w:ascii="仿宋_GB2312" w:eastAsia="仿宋_GB2312"/>
          <w:sz w:val="32"/>
          <w:szCs w:val="32"/>
          <w:highlight w:val="none"/>
          <w:lang w:val="en-US" w:eastAsia="zh-CN"/>
        </w:rPr>
        <w:t>与</w:t>
      </w:r>
      <w:r>
        <w:rPr>
          <w:rFonts w:hint="eastAsia" w:ascii="仿宋_GB2312" w:eastAsia="仿宋_GB2312"/>
          <w:sz w:val="32"/>
          <w:szCs w:val="32"/>
          <w:highlight w:val="none"/>
        </w:rPr>
        <w:t>公务用车</w:t>
      </w:r>
      <w:r>
        <w:rPr>
          <w:rFonts w:hint="eastAsia" w:ascii="仿宋_GB2312" w:eastAsia="仿宋_GB2312"/>
          <w:sz w:val="32"/>
          <w:szCs w:val="32"/>
          <w:highlight w:val="none"/>
          <w:lang w:val="en-US" w:eastAsia="zh-CN"/>
        </w:rPr>
        <w:t>保有量差异</w:t>
      </w:r>
      <w:r>
        <w:rPr>
          <w:rFonts w:hint="eastAsia" w:ascii="仿宋_GB2312" w:eastAsia="仿宋_GB2312"/>
          <w:sz w:val="32"/>
          <w:szCs w:val="32"/>
          <w:highlight w:val="none"/>
          <w:lang w:eastAsia="zh-CN"/>
        </w:rPr>
        <w:t>原因是</w:t>
      </w:r>
      <w:r>
        <w:rPr>
          <w:rFonts w:hint="eastAsia" w:ascii="仿宋_GB2312" w:eastAsia="仿宋_GB2312"/>
          <w:sz w:val="32"/>
          <w:szCs w:val="32"/>
          <w:highlight w:val="none"/>
        </w:rPr>
        <w:t>：</w:t>
      </w:r>
      <w:r>
        <w:rPr>
          <w:rFonts w:hint="eastAsia" w:ascii="仿宋_GB2312" w:eastAsia="仿宋_GB2312"/>
          <w:sz w:val="32"/>
          <w:szCs w:val="32"/>
          <w:lang w:eastAsia="zh-CN"/>
        </w:rPr>
        <w:t>无差异。</w:t>
      </w:r>
    </w:p>
    <w:p w14:paraId="1A02435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公务接待费0.00万元，开支内容包括我单位2023年度未发生公务接待费。单位全年安排的国内公务接待0批次，0人次。</w:t>
      </w:r>
    </w:p>
    <w:p w14:paraId="15E5B66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预算数13.72万元，决算数12.92万元，预决算差异率-5.83%，主要原因是：根据党政机关“过紧日子”相关要求，我单位2023年度未发生公务接待。其中：因公出国（境）费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0.00万元，决算数0.00万元，预决算差异率0.00%，主要原因是：我单位无因公出国（境）费；公务用车购置费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预算数0.00万元，决算数0.00万元，预决算差异率0.00%，主要原因是：我单位无公务用车购置费；公务用车运行费</w:t>
      </w:r>
      <w:r>
        <w:rPr>
          <w:rFonts w:hint="eastAsia" w:ascii="仿宋_GB2312" w:eastAsia="仿宋_GB2312"/>
          <w:sz w:val="32"/>
          <w:szCs w:val="32"/>
        </w:rPr>
        <w:t>全年</w:t>
      </w:r>
      <w:r>
        <w:rPr>
          <w:rFonts w:hint="eastAsia" w:ascii="仿宋_GB2312" w:eastAsia="仿宋_GB2312"/>
          <w:sz w:val="32"/>
          <w:szCs w:val="32"/>
          <w:lang w:val="zh-CN"/>
        </w:rPr>
        <w:t>预算数12.92万元，决算数12.92万元，预决算差异率0.00%，主要原因是：严格按照预算执行；公务接待费</w:t>
      </w:r>
      <w:r>
        <w:rPr>
          <w:rFonts w:hint="eastAsia" w:ascii="仿宋_GB2312" w:eastAsia="仿宋_GB2312"/>
          <w:sz w:val="32"/>
          <w:szCs w:val="32"/>
        </w:rPr>
        <w:t>全年</w:t>
      </w:r>
      <w:r>
        <w:rPr>
          <w:rFonts w:hint="eastAsia" w:ascii="仿宋_GB2312" w:eastAsia="仿宋_GB2312"/>
          <w:sz w:val="32"/>
          <w:szCs w:val="32"/>
          <w:lang w:val="zh-CN"/>
        </w:rPr>
        <w:t>预算数0.80万元，决算数0.00万元，预决算差异率-100.00%，主要原因是：根据党政机关“过紧日子”相关要求，我单位2023年度未发生公务接待。</w:t>
      </w:r>
    </w:p>
    <w:p w14:paraId="3CCCE666">
      <w:pPr>
        <w:ind w:firstLine="640" w:firstLineChars="200"/>
        <w:jc w:val="left"/>
        <w:outlineLvl w:val="1"/>
        <w:rPr>
          <w:rFonts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5649DF4E">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29C876CA">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07B88069">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3579D3FE">
      <w:pPr>
        <w:ind w:firstLine="640" w:firstLineChars="200"/>
        <w:jc w:val="left"/>
        <w:outlineLvl w:val="1"/>
        <w:rPr>
          <w:rFonts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517F7DE8">
      <w:pPr>
        <w:ind w:firstLine="640" w:firstLineChars="200"/>
        <w:jc w:val="left"/>
        <w:outlineLvl w:val="2"/>
        <w:rPr>
          <w:rFonts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71E43AE2">
      <w:pPr>
        <w:ind w:firstLine="640" w:firstLineChars="200"/>
        <w:jc w:val="left"/>
        <w:rPr>
          <w:rFonts w:eastAsia="仿宋_GB2312"/>
          <w:sz w:val="32"/>
          <w:szCs w:val="32"/>
        </w:rPr>
      </w:pPr>
      <w:bookmarkStart w:id="24" w:name="_Toc227"/>
      <w:bookmarkStart w:id="25" w:name="_Toc26704"/>
      <w:r>
        <w:rPr>
          <w:rFonts w:hint="eastAsia" w:eastAsia="仿宋_GB2312"/>
          <w:sz w:val="32"/>
          <w:szCs w:val="32"/>
          <w:lang w:val="zh-CN"/>
        </w:rPr>
        <w:t>2023年度</w:t>
      </w:r>
      <w:r>
        <w:rPr>
          <w:rFonts w:hint="eastAsia" w:eastAsia="仿宋_GB2312"/>
          <w:sz w:val="32"/>
          <w:szCs w:val="32"/>
        </w:rPr>
        <w:t>新疆维吾尔自治区第二测绘院（事业单位）公用经费支出191.83万元，</w:t>
      </w:r>
      <w:r>
        <w:rPr>
          <w:rFonts w:hint="eastAsia" w:eastAsia="仿宋_GB2312"/>
          <w:sz w:val="32"/>
          <w:szCs w:val="32"/>
          <w:lang w:val="zh-CN"/>
        </w:rPr>
        <w:t>比上年减少19.90万元，下降9.40%，主要原因是：2023年度较2022年度在职人员减少8人，公用经费按照人员经费比例提取测算，公用经费有所减少</w:t>
      </w:r>
      <w:r>
        <w:rPr>
          <w:rFonts w:hint="eastAsia" w:eastAsia="仿宋_GB2312"/>
          <w:sz w:val="32"/>
          <w:szCs w:val="32"/>
        </w:rPr>
        <w:t>。</w:t>
      </w:r>
    </w:p>
    <w:p w14:paraId="67A91A00">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6D24DB1B">
      <w:pPr>
        <w:ind w:firstLine="640" w:firstLineChars="200"/>
        <w:jc w:val="left"/>
        <w:rPr>
          <w:rFonts w:eastAsia="仿宋_GB2312"/>
          <w:sz w:val="32"/>
          <w:szCs w:val="32"/>
          <w:lang w:val="zh-CN"/>
        </w:rPr>
      </w:pPr>
      <w:r>
        <w:rPr>
          <w:rFonts w:hint="eastAsia" w:eastAsia="仿宋_GB2312"/>
          <w:sz w:val="32"/>
          <w:szCs w:val="32"/>
          <w:lang w:val="zh-CN"/>
        </w:rPr>
        <w:t>2023年度政府采购支出总额149.92万元，其中：政府采购货物支出143.75万元、政府采购工程支出0.00万元、政府采购服务支出6.18万元。</w:t>
      </w:r>
    </w:p>
    <w:p w14:paraId="68AA45CA">
      <w:pPr>
        <w:ind w:firstLine="640" w:firstLineChars="200"/>
        <w:jc w:val="left"/>
        <w:rPr>
          <w:rFonts w:eastAsia="仿宋_GB2312"/>
          <w:sz w:val="32"/>
          <w:szCs w:val="32"/>
        </w:rPr>
      </w:pPr>
      <w:r>
        <w:rPr>
          <w:rFonts w:hint="eastAsia" w:eastAsia="仿宋_GB2312"/>
          <w:sz w:val="32"/>
          <w:szCs w:val="32"/>
          <w:lang w:val="zh-CN"/>
        </w:rPr>
        <w:t>授予中小企业合同金额149.67万元，占政府采购支出总额的99.83</w:t>
      </w:r>
      <w:r>
        <w:rPr>
          <w:rFonts w:eastAsia="仿宋_GB2312"/>
          <w:sz w:val="32"/>
          <w:szCs w:val="32"/>
          <w:lang w:val="zh-CN"/>
        </w:rPr>
        <w:t>%</w:t>
      </w:r>
      <w:r>
        <w:rPr>
          <w:rFonts w:hint="eastAsia" w:eastAsia="仿宋_GB2312"/>
          <w:sz w:val="32"/>
          <w:szCs w:val="32"/>
          <w:lang w:val="zh-CN"/>
        </w:rPr>
        <w:t>，其中：授予小微企业合同金额149.67万元，占政府采购支出总额的99.83</w:t>
      </w:r>
      <w:r>
        <w:rPr>
          <w:rFonts w:eastAsia="仿宋_GB2312"/>
          <w:sz w:val="32"/>
          <w:szCs w:val="32"/>
          <w:lang w:val="zh-CN"/>
        </w:rPr>
        <w:t>%</w:t>
      </w:r>
      <w:r>
        <w:rPr>
          <w:rFonts w:hint="eastAsia" w:eastAsia="仿宋_GB2312"/>
          <w:sz w:val="32"/>
          <w:szCs w:val="32"/>
        </w:rPr>
        <w:t>。</w:t>
      </w:r>
    </w:p>
    <w:p w14:paraId="1B5D038C">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3D679938">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6,674.72</w:t>
      </w:r>
      <w:r>
        <w:rPr>
          <w:rFonts w:hint="eastAsia" w:eastAsia="仿宋_GB2312"/>
          <w:sz w:val="32"/>
          <w:szCs w:val="32"/>
        </w:rPr>
        <w:t>万元，房</w:t>
      </w:r>
      <w:r>
        <w:rPr>
          <w:rFonts w:hint="eastAsia" w:eastAsia="仿宋_GB2312"/>
          <w:sz w:val="32"/>
          <w:szCs w:val="32"/>
          <w:lang w:val="zh-CN"/>
        </w:rPr>
        <w:t>屋0.0平方米，价值0.00万元。车辆12辆，价值463.67万元，其中：副部（省）级及以上领导用车0辆、主要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用车0辆、机要通信用车0辆、应急保障用车0辆、执法执勤用车0辆、特种专业技术用车0辆、离退休干部</w:t>
      </w:r>
      <w:r>
        <w:rPr>
          <w:rFonts w:hint="eastAsia" w:eastAsia="仿宋_GB2312"/>
          <w:sz w:val="32"/>
          <w:szCs w:val="32"/>
        </w:rPr>
        <w:t>服务</w:t>
      </w:r>
      <w:r>
        <w:rPr>
          <w:rFonts w:hint="eastAsia" w:eastAsia="仿宋_GB2312"/>
          <w:sz w:val="32"/>
          <w:szCs w:val="32"/>
          <w:lang w:val="zh-CN"/>
        </w:rPr>
        <w:t>用车0辆、其他用车12辆，其他用车主要是：机关公务用车；单价100万元（含）以上设备（不含车辆）7</w:t>
      </w:r>
      <w:r>
        <w:rPr>
          <w:rFonts w:hint="eastAsia" w:eastAsia="仿宋_GB2312"/>
          <w:sz w:val="32"/>
          <w:szCs w:val="32"/>
        </w:rPr>
        <w:t>台（</w:t>
      </w:r>
      <w:r>
        <w:rPr>
          <w:rFonts w:hint="eastAsia" w:eastAsia="仿宋_GB2312"/>
          <w:sz w:val="32"/>
          <w:szCs w:val="32"/>
          <w:lang w:val="zh-CN"/>
        </w:rPr>
        <w:t>套）。</w:t>
      </w:r>
    </w:p>
    <w:p w14:paraId="6992546A">
      <w:pPr>
        <w:ind w:firstLine="640" w:firstLineChars="200"/>
        <w:jc w:val="left"/>
        <w:outlineLvl w:val="1"/>
        <w:rPr>
          <w:rFonts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01B17C9C">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根据预算绩效管理要求，我单位2023年度预算绩效评价项目2个，全年预算数2046.56</w:t>
      </w:r>
      <w:bookmarkStart w:id="48" w:name="_GoBack"/>
      <w:bookmarkEnd w:id="48"/>
      <w:r>
        <w:rPr>
          <w:rFonts w:hint="eastAsia" w:ascii="仿宋_GB2312" w:eastAsia="仿宋_GB2312"/>
          <w:sz w:val="32"/>
          <w:szCs w:val="32"/>
        </w:rPr>
        <w:t>万元，全年执行数2046.56万元。预算绩效管理取得的成效：</w:t>
      </w:r>
      <w:r>
        <w:rPr>
          <w:rFonts w:ascii="仿宋_GB2312" w:eastAsia="仿宋_GB2312"/>
          <w:sz w:val="32"/>
          <w:szCs w:val="32"/>
        </w:rPr>
        <w:t>一是围绕自然资源部“两统一”职责履行，在自然资源统一调查监测评价框架下开展系列遥感监测工作，掌握全区耕地资源、林草资源、湿地资源、水资源以及其他自然资源和人工建（构）筑物的类型、面积、范围、分布和变化等情况。二是通过对自治区城乡建设用地增减挂钩跨省域调剂实施规划项目区域进行控制测量、无人机影像获取、纠正、镶嵌和裁切等工作，制作得到自治区城乡建设用地增减挂钩跨省域调剂实施规划项目区域的正射影像图，分析项目拆旧区的建筑物拆除和复垦情况，变更区的合理性和复垦情况，建新安置区的建设情况是否满足项目规划和各项指标要求。三是整合自治区行政区划图、地貌交通图、自治区工作用图系列、自治区第三次全国国土调查成果地图集、自治区矿产资源开发利用简明图集、地图上的中国新疆（修订版）等近年来编制出版的地图成果资源，融入自然资源领域在国土空间规划、调查监测、矿产开发、确权登记、生态修复等方面的最新业务信息，借助地理信息系统、多媒体、AR等技术手段，以地图分级切片浏览查询等方式，以电子地图配合音视频、动画展示等形式，开发制作新疆自然资源APP移动端地图服务系统。四是完成项目范围内包括塔城地区、阿勒泰地区、哈密市约1400平方千米的1∶1万地形图基础测绘的更新工作。五是完成10万平方千米卫星影像数据格式转换、正射纠正、影像融合、影像镶嵌、色彩调整、分幅影像制作，为卫星应用需求单位提供数据服务及技术支撑。六是撰写了自治区自然资源管理形势分析统计报告及经济运行形势分析报告，全面深入了解影响自然资源管理、经济运行形势分析涉及的关键业务、关键数据和关键质量点，建立可纵横对比、内外对比分析的合理完备数据链，通过全面客观的数据综合统计，结合国家和自治区相关政策、整体管理情况深入研究分析，找出管理特点和变化重点，特别是自然资源的开发、利用、保护对自然环境和对人类生产、生活的影响及其经济后果，揭示自然资源事业发展中存在的相关问题和内在经济规律，为自然资源管理提供科学决策依据，积极推动自然资源管理水平稳步提高</w:t>
      </w:r>
      <w:r>
        <w:rPr>
          <w:rFonts w:hint="eastAsia" w:ascii="仿宋_GB2312" w:eastAsia="仿宋_GB2312"/>
          <w:sz w:val="32"/>
          <w:szCs w:val="32"/>
        </w:rPr>
        <w:t>。发现的问题及原因：</w:t>
      </w:r>
      <w:r>
        <w:rPr>
          <w:rFonts w:ascii="仿宋_GB2312" w:eastAsia="仿宋_GB2312"/>
          <w:sz w:val="32"/>
          <w:szCs w:val="32"/>
        </w:rPr>
        <w:t>一是预算编制工作可进一步细化。加强预算编制管理，提高项目支出事前审核控制，进一步提高预算编制的合理性及执行力；二是预算完成率可进一步提高。绩效评价对于优化、促进预算管理的作用还没有得到充分体现；三是固定资产管理有待进一步加强。固定资产规模大，数量多，日常监督管理有待进一步加强</w:t>
      </w:r>
      <w:r>
        <w:rPr>
          <w:rFonts w:hint="eastAsia" w:ascii="仿宋_GB2312" w:eastAsia="仿宋_GB2312"/>
          <w:sz w:val="32"/>
          <w:szCs w:val="32"/>
        </w:rPr>
        <w:t>。下一步改进措施：</w:t>
      </w:r>
      <w:r>
        <w:rPr>
          <w:rFonts w:ascii="仿宋_GB2312" w:eastAsia="仿宋_GB2312"/>
          <w:sz w:val="32"/>
          <w:szCs w:val="32"/>
        </w:rPr>
        <w:t>一是细化预算编制工作，保障全年支出。严格按照预算 编制的相关制度和要求，本着“勤俭节约，保障运转”的原则进行预算编制工作。通过对事项的事前论证、事中监督、事后评价，加大对专项资金的统筹力度，有效解决预算编制的长远性、连续性、科学性，从而提高预算编制的精确度。同时进一步加强同财政部门的沟通协调</w:t>
      </w:r>
      <w:r>
        <w:rPr>
          <w:rFonts w:hint="eastAsia" w:ascii="仿宋_GB2312" w:eastAsia="仿宋_GB2312"/>
          <w:sz w:val="32"/>
          <w:szCs w:val="32"/>
        </w:rPr>
        <w:t>。二</w:t>
      </w:r>
      <w:r>
        <w:rPr>
          <w:rFonts w:ascii="仿宋_GB2312" w:eastAsia="仿宋_GB2312"/>
          <w:sz w:val="32"/>
          <w:szCs w:val="32"/>
        </w:rPr>
        <w:t>是提高预算执行率，均衡预算执行进度。将绩效考核与内部控制结合，进一步细化内部绩效考核评价制度，按季度定时考核，确保按时完成年度工作计划，提高预算执行率。对照财政要求的全年执行进度，均衡全年预算执行进度。三是加强固定资产管理，提高资产使用效益。加强对固定资产的清查、登记、统计汇总及日常监督检查工作，做到家底清楚、帐帐相符、帐卡相符、帐实相符，防止国有资产流失</w:t>
      </w:r>
      <w:r>
        <w:rPr>
          <w:rFonts w:hint="eastAsia" w:ascii="仿宋_GB2312" w:eastAsia="仿宋_GB2312"/>
          <w:sz w:val="32"/>
          <w:szCs w:val="32"/>
        </w:rPr>
        <w:t>。具体项目自评情况见附件。</w:t>
      </w:r>
    </w:p>
    <w:p w14:paraId="3F3E4741">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0BDEA319">
      <w:pPr>
        <w:ind w:firstLine="640" w:firstLineChars="200"/>
        <w:jc w:val="left"/>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本单位无其他需说明事项</w:t>
      </w:r>
      <w:r>
        <w:rPr>
          <w:rFonts w:hint="eastAsia" w:ascii="仿宋_GB2312" w:hAnsi="仿宋_GB2312" w:eastAsia="仿宋_GB2312" w:cs="仿宋_GB2312"/>
          <w:kern w:val="0"/>
          <w:sz w:val="32"/>
          <w:szCs w:val="32"/>
          <w:lang w:eastAsia="zh-CN"/>
        </w:rPr>
        <w:t>。</w:t>
      </w:r>
    </w:p>
    <w:p w14:paraId="179E9A87">
      <w:pPr>
        <w:jc w:val="center"/>
        <w:outlineLvl w:val="0"/>
        <w:rPr>
          <w:rFonts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461A1B3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5E54F42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3B8A978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472AB8B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6485B2E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197ACDC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7483C3E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6962944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38CD0A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67EB1B5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7177844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3B433CA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5457CD75">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91FB166">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6009FC36">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0781C441">
      <w:pPr>
        <w:ind w:firstLine="640" w:firstLineChars="200"/>
        <w:outlineLvl w:val="1"/>
        <w:rPr>
          <w:rFonts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50EDFC62">
      <w:pPr>
        <w:ind w:firstLine="640" w:firstLineChars="200"/>
        <w:outlineLvl w:val="1"/>
        <w:rPr>
          <w:rFonts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04C8FD56">
      <w:pPr>
        <w:ind w:firstLine="640" w:firstLineChars="200"/>
        <w:outlineLvl w:val="1"/>
        <w:rPr>
          <w:rFonts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060E0E6C">
      <w:pPr>
        <w:ind w:firstLine="640" w:firstLineChars="200"/>
        <w:outlineLvl w:val="1"/>
        <w:rPr>
          <w:rFonts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65C69D83">
      <w:pPr>
        <w:ind w:firstLine="640" w:firstLineChars="200"/>
        <w:outlineLvl w:val="1"/>
        <w:rPr>
          <w:rFonts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6676BACC">
      <w:pPr>
        <w:ind w:firstLine="640" w:firstLineChars="200"/>
        <w:outlineLvl w:val="1"/>
        <w:rPr>
          <w:rFonts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008CB3D4">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0FF0E33B">
      <w:pPr>
        <w:ind w:firstLine="640" w:firstLineChars="200"/>
        <w:outlineLvl w:val="1"/>
        <w:rPr>
          <w:rFonts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1FAF4BFB">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56212807">
      <w:pPr>
        <w:ind w:firstLine="640" w:firstLineChars="200"/>
        <w:rPr>
          <w:rFonts w:ascii="仿宋_GB2312" w:eastAsia="仿宋_GB2312"/>
          <w:sz w:val="32"/>
          <w:szCs w:val="32"/>
        </w:rPr>
      </w:pPr>
    </w:p>
    <w:p w14:paraId="33919E1C">
      <w:pPr>
        <w:ind w:firstLine="640" w:firstLineChars="200"/>
        <w:outlineLvl w:val="1"/>
        <w:rPr>
          <w:rFonts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B7C12">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0C869EA">
                          <w:pPr>
                            <w:pStyle w:val="4"/>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30C869EA">
                    <w:pPr>
                      <w:pStyle w:val="4"/>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CD5E85"/>
    <w:rsid w:val="00082CE8"/>
    <w:rsid w:val="00213C59"/>
    <w:rsid w:val="003210CE"/>
    <w:rsid w:val="00451E10"/>
    <w:rsid w:val="004D0753"/>
    <w:rsid w:val="004E3E27"/>
    <w:rsid w:val="004F7585"/>
    <w:rsid w:val="005774CB"/>
    <w:rsid w:val="005F62E6"/>
    <w:rsid w:val="006330B7"/>
    <w:rsid w:val="00690BFD"/>
    <w:rsid w:val="006D067C"/>
    <w:rsid w:val="00772F54"/>
    <w:rsid w:val="007F0D36"/>
    <w:rsid w:val="008126DE"/>
    <w:rsid w:val="00986D34"/>
    <w:rsid w:val="009C4AA1"/>
    <w:rsid w:val="009D03AE"/>
    <w:rsid w:val="009D3CAD"/>
    <w:rsid w:val="00A13D38"/>
    <w:rsid w:val="00AA2331"/>
    <w:rsid w:val="00B70D59"/>
    <w:rsid w:val="00C373C9"/>
    <w:rsid w:val="00C703DB"/>
    <w:rsid w:val="00CD5E85"/>
    <w:rsid w:val="00CE4336"/>
    <w:rsid w:val="00D86984"/>
    <w:rsid w:val="00DD29A1"/>
    <w:rsid w:val="00E0735E"/>
    <w:rsid w:val="00F3098E"/>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6E0497"/>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5F47E8C"/>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351DD5"/>
    <w:rsid w:val="565026CE"/>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6629</Words>
  <Characters>7449</Characters>
  <Lines>60</Lines>
  <Paragraphs>17</Paragraphs>
  <TotalTime>0</TotalTime>
  <ScaleCrop>false</ScaleCrop>
  <LinksUpToDate>false</LinksUpToDate>
  <CharactersWithSpaces>7461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2024-08-19T05:48:00Z</dcterms:created>
  <dc:creator>GXR</dc:creator>
  <cp:lastModifiedBy>琪琪妈妈</cp:lastModifiedBy>
  <dcterms:modified xsi:type="dcterms:W3CDTF">2024-09-09T03:10:36Z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