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val="0"/>
          <w:bCs/>
          <w:kern w:val="0"/>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bCs/>
          <w:kern w:val="0"/>
          <w:sz w:val="32"/>
          <w:szCs w:val="32"/>
        </w:rPr>
      </w:pPr>
    </w:p>
    <w:p>
      <w:pPr>
        <w:keepNext w:val="0"/>
        <w:keepLines w:val="0"/>
        <w:pageBreakBefore w:val="0"/>
        <w:widowControl w:val="0"/>
        <w:kinsoku/>
        <w:wordWrap/>
        <w:overflowPunct/>
        <w:topLinePunct w:val="0"/>
        <w:autoSpaceDE/>
        <w:autoSpaceDN/>
        <w:bidi w:val="0"/>
        <w:adjustRightInd/>
        <w:snapToGrid/>
        <w:spacing w:before="120" w:after="120" w:line="660" w:lineRule="exact"/>
        <w:ind w:firstLine="0" w:firstLineChars="0"/>
        <w:jc w:val="center"/>
        <w:textAlignment w:val="auto"/>
        <w:outlineLvl w:val="0"/>
        <w:rPr>
          <w:rFonts w:hint="eastAsia" w:ascii="仿宋" w:hAnsi="仿宋" w:eastAsia="仿宋" w:cs="仿宋"/>
          <w:b/>
          <w:sz w:val="36"/>
          <w:szCs w:val="36"/>
          <w:highlight w:val="none"/>
        </w:rPr>
      </w:pPr>
      <w:r>
        <w:rPr>
          <w:rFonts w:hint="eastAsia" w:ascii="仿宋" w:hAnsi="仿宋" w:eastAsia="仿宋" w:cs="仿宋"/>
          <w:b/>
          <w:sz w:val="36"/>
          <w:szCs w:val="36"/>
          <w:highlight w:val="none"/>
          <w:lang w:val="en-US" w:eastAsia="zh-CN"/>
        </w:rPr>
        <w:t>项目支出绩效评价报告</w:t>
      </w:r>
    </w:p>
    <w:p>
      <w:pPr>
        <w:keepNext w:val="0"/>
        <w:keepLines w:val="0"/>
        <w:pageBreakBefore w:val="0"/>
        <w:kinsoku/>
        <w:wordWrap/>
        <w:overflowPunct/>
        <w:topLinePunct w:val="0"/>
        <w:autoSpaceDE/>
        <w:autoSpaceDN/>
        <w:bidi w:val="0"/>
        <w:adjustRightInd/>
        <w:snapToGrid/>
        <w:spacing w:line="560" w:lineRule="exact"/>
        <w:jc w:val="center"/>
        <w:rPr>
          <w:rFonts w:hint="eastAsia" w:ascii="仿宋" w:hAnsi="仿宋" w:eastAsia="仿宋" w:cs="仿宋"/>
          <w:bCs/>
          <w:kern w:val="0"/>
          <w:sz w:val="28"/>
          <w:szCs w:val="28"/>
        </w:rPr>
      </w:pPr>
      <w:r>
        <w:rPr>
          <w:rFonts w:hint="eastAsia" w:ascii="仿宋" w:hAnsi="仿宋" w:eastAsia="仿宋" w:cs="仿宋"/>
          <w:b/>
          <w:sz w:val="36"/>
          <w:szCs w:val="36"/>
          <w:highlight w:val="none"/>
        </w:rPr>
        <w:t>（2023年度）</w:t>
      </w:r>
    </w:p>
    <w:p>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b w:val="0"/>
          <w:bCs/>
          <w:kern w:val="0"/>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b w:val="0"/>
          <w:bCs/>
          <w:kern w:val="0"/>
          <w:sz w:val="32"/>
          <w:szCs w:val="32"/>
          <w:lang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b w:val="0"/>
          <w:bCs/>
          <w:kern w:val="0"/>
          <w:sz w:val="32"/>
          <w:szCs w:val="32"/>
          <w:lang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b w:val="0"/>
          <w:bCs/>
          <w:kern w:val="0"/>
          <w:sz w:val="32"/>
          <w:szCs w:val="32"/>
          <w:lang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b w:val="0"/>
          <w:bCs/>
          <w:kern w:val="0"/>
          <w:sz w:val="32"/>
          <w:szCs w:val="32"/>
          <w:lang w:eastAsia="zh-CN"/>
        </w:rPr>
      </w:pPr>
    </w:p>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val="0"/>
          <w:bCs/>
          <w:kern w:val="0"/>
          <w:sz w:val="32"/>
          <w:szCs w:val="32"/>
          <w:lang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b w:val="0"/>
          <w:bCs/>
          <w:kern w:val="0"/>
          <w:sz w:val="32"/>
          <w:szCs w:val="32"/>
          <w:lang w:eastAsia="zh-CN"/>
        </w:rPr>
      </w:pPr>
    </w:p>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val="0"/>
          <w:bCs/>
          <w:kern w:val="0"/>
          <w:sz w:val="32"/>
          <w:szCs w:val="32"/>
          <w:lang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b w:val="0"/>
          <w:bCs/>
          <w:kern w:val="0"/>
          <w:sz w:val="32"/>
          <w:szCs w:val="32"/>
          <w:lang w:eastAsia="zh-CN"/>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bCs/>
          <w:kern w:val="0"/>
          <w:sz w:val="32"/>
          <w:szCs w:val="32"/>
          <w:lang w:eastAsia="zh-CN"/>
        </w:rPr>
      </w:pPr>
      <w:r>
        <w:rPr>
          <w:rFonts w:hint="eastAsia" w:ascii="仿宋" w:hAnsi="仿宋" w:eastAsia="仿宋" w:cs="仿宋"/>
          <w:b w:val="0"/>
          <w:bCs/>
          <w:kern w:val="0"/>
          <w:sz w:val="32"/>
          <w:szCs w:val="32"/>
        </w:rPr>
        <w:t>项目名称：</w:t>
      </w:r>
      <w:r>
        <w:rPr>
          <w:rFonts w:hint="eastAsia" w:ascii="仿宋" w:hAnsi="仿宋" w:eastAsia="仿宋" w:cs="仿宋"/>
          <w:b w:val="0"/>
          <w:bCs/>
          <w:kern w:val="0"/>
          <w:sz w:val="32"/>
          <w:szCs w:val="32"/>
          <w:lang w:val="en-US" w:eastAsia="zh-CN"/>
        </w:rPr>
        <w:t>经营收入项目成本性支出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Style w:val="25"/>
          <w:rFonts w:hint="default" w:ascii="仿宋" w:hAnsi="仿宋" w:eastAsia="仿宋" w:cs="仿宋"/>
          <w:b w:val="0"/>
          <w:bCs/>
          <w:spacing w:val="-4"/>
          <w:sz w:val="32"/>
          <w:szCs w:val="32"/>
          <w:lang w:val="en-US"/>
        </w:rPr>
      </w:pPr>
      <w:r>
        <w:rPr>
          <w:rFonts w:hint="eastAsia" w:ascii="仿宋" w:hAnsi="仿宋" w:eastAsia="仿宋" w:cs="仿宋"/>
          <w:b w:val="0"/>
          <w:bCs/>
          <w:kern w:val="0"/>
          <w:sz w:val="32"/>
          <w:szCs w:val="32"/>
        </w:rPr>
        <w:t>实施单位（公章）：</w:t>
      </w:r>
      <w:r>
        <w:rPr>
          <w:rFonts w:hint="eastAsia" w:ascii="仿宋" w:hAnsi="仿宋" w:eastAsia="仿宋" w:cs="仿宋"/>
          <w:b w:val="0"/>
          <w:bCs/>
          <w:kern w:val="0"/>
          <w:sz w:val="32"/>
          <w:szCs w:val="32"/>
          <w:lang w:val="en-US" w:eastAsia="zh-CN"/>
        </w:rPr>
        <w:t>自治区自然资源规划研究院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bCs/>
          <w:spacing w:val="-4"/>
          <w:sz w:val="32"/>
          <w:szCs w:val="32"/>
          <w:lang w:eastAsia="zh-CN"/>
        </w:rPr>
      </w:pPr>
      <w:r>
        <w:rPr>
          <w:rFonts w:hint="eastAsia" w:ascii="仿宋" w:hAnsi="仿宋" w:eastAsia="仿宋" w:cs="仿宋"/>
          <w:b w:val="0"/>
          <w:bCs/>
          <w:kern w:val="0"/>
          <w:sz w:val="32"/>
          <w:szCs w:val="32"/>
        </w:rPr>
        <w:t>主管部门（公章）：</w:t>
      </w:r>
      <w:r>
        <w:rPr>
          <w:rFonts w:hint="eastAsia" w:ascii="仿宋" w:hAnsi="仿宋" w:eastAsia="仿宋" w:cs="仿宋"/>
          <w:b w:val="0"/>
          <w:bCs/>
          <w:kern w:val="0"/>
          <w:sz w:val="32"/>
          <w:szCs w:val="32"/>
          <w:lang w:val="en-US" w:eastAsia="zh-CN"/>
        </w:rPr>
        <w:t>新疆维吾尔自治区自然资源厅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Style w:val="25"/>
          <w:rFonts w:hint="eastAsia" w:ascii="仿宋" w:hAnsi="仿宋" w:eastAsia="仿宋" w:cs="仿宋"/>
          <w:b w:val="0"/>
          <w:bCs/>
          <w:spacing w:val="-4"/>
          <w:sz w:val="32"/>
          <w:szCs w:val="32"/>
          <w:lang w:val="en-US" w:eastAsia="zh-CN"/>
        </w:rPr>
      </w:pPr>
      <w:r>
        <w:rPr>
          <w:rFonts w:hint="eastAsia" w:ascii="仿宋" w:hAnsi="仿宋" w:eastAsia="仿宋" w:cs="仿宋"/>
          <w:b w:val="0"/>
          <w:bCs/>
          <w:kern w:val="0"/>
          <w:sz w:val="32"/>
          <w:szCs w:val="32"/>
        </w:rPr>
        <w:t>项目负责人（签章）：</w:t>
      </w:r>
      <w:r>
        <w:rPr>
          <w:rFonts w:hint="eastAsia" w:ascii="仿宋" w:hAnsi="仿宋" w:eastAsia="仿宋" w:cs="仿宋"/>
          <w:b w:val="0"/>
          <w:bCs/>
          <w:kern w:val="0"/>
          <w:sz w:val="32"/>
          <w:szCs w:val="32"/>
          <w:lang w:val="en-US" w:eastAsia="zh-CN"/>
        </w:rPr>
        <w:t>吴音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Style w:val="25"/>
          <w:rFonts w:hint="eastAsia" w:ascii="仿宋" w:hAnsi="仿宋" w:eastAsia="仿宋" w:cs="仿宋"/>
          <w:b w:val="0"/>
          <w:bCs/>
          <w:spacing w:val="-4"/>
          <w:sz w:val="32"/>
          <w:szCs w:val="32"/>
        </w:rPr>
      </w:pPr>
      <w:r>
        <w:rPr>
          <w:rFonts w:hint="eastAsia" w:ascii="仿宋" w:hAnsi="仿宋" w:eastAsia="仿宋" w:cs="仿宋"/>
          <w:b w:val="0"/>
          <w:bCs/>
          <w:kern w:val="0"/>
          <w:sz w:val="32"/>
          <w:szCs w:val="32"/>
        </w:rPr>
        <w:t>填报时间：</w:t>
      </w:r>
      <w:r>
        <w:rPr>
          <w:rStyle w:val="25"/>
          <w:rFonts w:hint="eastAsia" w:ascii="仿宋" w:hAnsi="仿宋" w:eastAsia="仿宋" w:cs="仿宋"/>
          <w:b w:val="0"/>
          <w:bCs/>
          <w:spacing w:val="-4"/>
          <w:sz w:val="32"/>
          <w:szCs w:val="32"/>
        </w:rPr>
        <w:t>202</w:t>
      </w:r>
      <w:r>
        <w:rPr>
          <w:rStyle w:val="25"/>
          <w:rFonts w:hint="eastAsia" w:ascii="仿宋" w:hAnsi="仿宋" w:eastAsia="仿宋" w:cs="仿宋"/>
          <w:b w:val="0"/>
          <w:bCs/>
          <w:spacing w:val="-4"/>
          <w:sz w:val="32"/>
          <w:szCs w:val="32"/>
          <w:lang w:val="en-US" w:eastAsia="zh-CN"/>
        </w:rPr>
        <w:t>4</w:t>
      </w:r>
      <w:r>
        <w:rPr>
          <w:rStyle w:val="25"/>
          <w:rFonts w:hint="eastAsia" w:ascii="仿宋" w:hAnsi="仿宋" w:eastAsia="仿宋" w:cs="仿宋"/>
          <w:b w:val="0"/>
          <w:bCs/>
          <w:spacing w:val="-4"/>
          <w:sz w:val="32"/>
          <w:szCs w:val="32"/>
        </w:rPr>
        <w:t>年</w:t>
      </w:r>
      <w:r>
        <w:rPr>
          <w:rStyle w:val="25"/>
          <w:rFonts w:hint="eastAsia" w:ascii="仿宋" w:hAnsi="仿宋" w:eastAsia="仿宋" w:cs="仿宋"/>
          <w:b w:val="0"/>
          <w:bCs/>
          <w:spacing w:val="-4"/>
          <w:sz w:val="32"/>
          <w:szCs w:val="32"/>
          <w:lang w:val="en-US" w:eastAsia="zh-CN"/>
        </w:rPr>
        <w:t xml:space="preserve">3 </w:t>
      </w:r>
      <w:r>
        <w:rPr>
          <w:rStyle w:val="25"/>
          <w:rFonts w:hint="eastAsia" w:ascii="仿宋" w:hAnsi="仿宋" w:eastAsia="仿宋" w:cs="仿宋"/>
          <w:b w:val="0"/>
          <w:bCs/>
          <w:spacing w:val="-4"/>
          <w:sz w:val="32"/>
          <w:szCs w:val="32"/>
        </w:rPr>
        <w:t>月</w:t>
      </w:r>
      <w:r>
        <w:rPr>
          <w:rStyle w:val="25"/>
          <w:rFonts w:hint="eastAsia" w:ascii="仿宋" w:hAnsi="仿宋" w:eastAsia="仿宋" w:cs="仿宋"/>
          <w:b w:val="0"/>
          <w:bCs/>
          <w:spacing w:val="-4"/>
          <w:sz w:val="32"/>
          <w:szCs w:val="32"/>
          <w:lang w:val="en-US" w:eastAsia="zh-CN"/>
        </w:rPr>
        <w:t xml:space="preserve">25 </w:t>
      </w:r>
      <w:r>
        <w:rPr>
          <w:rStyle w:val="25"/>
          <w:rFonts w:hint="eastAsia" w:ascii="仿宋" w:hAnsi="仿宋" w:eastAsia="仿宋" w:cs="仿宋"/>
          <w:b w:val="0"/>
          <w:bCs/>
          <w:spacing w:val="-4"/>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Style w:val="25"/>
          <w:rFonts w:hint="eastAsia" w:ascii="仿宋" w:hAnsi="仿宋" w:eastAsia="仿宋" w:cs="仿宋"/>
          <w:b w:val="0"/>
          <w:bCs/>
          <w:spacing w:val="-4"/>
          <w:sz w:val="32"/>
          <w:szCs w:val="32"/>
        </w:rPr>
      </w:pPr>
      <w:r>
        <w:rPr>
          <w:rStyle w:val="25"/>
          <w:rFonts w:hint="eastAsia" w:ascii="仿宋" w:hAnsi="仿宋" w:eastAsia="仿宋" w:cs="仿宋"/>
          <w:b w:val="0"/>
          <w:bCs/>
          <w:spacing w:val="-4"/>
          <w:sz w:val="32"/>
          <w:szCs w:val="32"/>
        </w:rPr>
        <w:br w:type="page"/>
      </w:r>
    </w:p>
    <w:p>
      <w:pPr>
        <w:ind w:firstLine="643"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一、基本情况</w:t>
      </w:r>
    </w:p>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i w:val="0"/>
          <w:iCs w:val="0"/>
          <w:kern w:val="0"/>
          <w:sz w:val="28"/>
          <w:szCs w:val="28"/>
          <w:highlight w:val="none"/>
          <w:lang w:val="en-US" w:eastAsia="zh-CN" w:bidi="ar-SA"/>
        </w:rPr>
      </w:pPr>
      <w:r>
        <w:rPr>
          <w:rFonts w:hint="eastAsia" w:ascii="仿宋" w:hAnsi="仿宋" w:eastAsia="仿宋" w:cs="仿宋"/>
          <w:b/>
          <w:bCs/>
          <w:i w:val="0"/>
          <w:iCs w:val="0"/>
          <w:kern w:val="0"/>
          <w:sz w:val="28"/>
          <w:szCs w:val="28"/>
          <w:highlight w:val="none"/>
          <w:lang w:val="en-US" w:eastAsia="zh-CN" w:bidi="ar-SA"/>
        </w:rPr>
        <w:t>（一）项目概况</w:t>
      </w:r>
    </w:p>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kern w:val="0"/>
          <w:sz w:val="28"/>
          <w:szCs w:val="28"/>
          <w:lang w:val="zh-CN" w:eastAsia="zh-CN" w:bidi="ar-SA"/>
        </w:rPr>
      </w:pPr>
      <w:r>
        <w:rPr>
          <w:rFonts w:hint="eastAsia" w:ascii="仿宋" w:hAnsi="仿宋" w:eastAsia="仿宋" w:cs="仿宋"/>
          <w:b/>
          <w:bCs/>
          <w:kern w:val="0"/>
          <w:sz w:val="28"/>
          <w:szCs w:val="28"/>
          <w:lang w:val="zh-CN" w:eastAsia="zh-CN" w:bidi="ar-SA"/>
        </w:rPr>
        <w:t>1.项目背景</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color w:val="000000"/>
          <w:sz w:val="28"/>
          <w:szCs w:val="36"/>
          <w:lang w:val="en-US" w:eastAsia="zh-CN"/>
        </w:rPr>
        <w:t>本项目遵循财政部《项目支出绩效评价管理办法》（财预〔2020〕10号）和自治区财政厅《自治区财政支出绩效评价管理暂行办法》（新财预〔2018〕189号）等相关政策文件与规定，旨在评价</w:t>
      </w:r>
      <w:r>
        <w:rPr>
          <w:rFonts w:hint="eastAsia" w:ascii="仿宋" w:hAnsi="仿宋" w:eastAsia="仿宋" w:cs="仿宋"/>
          <w:b w:val="0"/>
          <w:bCs/>
          <w:kern w:val="0"/>
          <w:sz w:val="28"/>
          <w:szCs w:val="28"/>
          <w:lang w:val="en-US" w:eastAsia="zh-CN"/>
        </w:rPr>
        <w:t>经营收入项目成本性支出</w:t>
      </w:r>
      <w:r>
        <w:rPr>
          <w:rFonts w:hint="eastAsia" w:ascii="仿宋" w:hAnsi="仿宋" w:eastAsia="仿宋" w:cs="仿宋"/>
          <w:color w:val="000000"/>
          <w:sz w:val="28"/>
          <w:szCs w:val="28"/>
          <w:lang w:val="en-US" w:eastAsia="zh-CN"/>
        </w:rPr>
        <w:t>项目实施前期、过程及效果，评价财政预算</w:t>
      </w:r>
      <w:r>
        <w:rPr>
          <w:rFonts w:hint="eastAsia" w:ascii="仿宋" w:hAnsi="仿宋" w:eastAsia="仿宋" w:cs="仿宋"/>
          <w:color w:val="000000"/>
          <w:sz w:val="28"/>
          <w:szCs w:val="36"/>
          <w:lang w:val="en-US" w:eastAsia="zh-CN"/>
        </w:rPr>
        <w:t>资金使用的效率及效益。</w:t>
      </w:r>
      <w:r>
        <w:rPr>
          <w:rFonts w:hint="eastAsia" w:ascii="仿宋" w:hAnsi="仿宋" w:eastAsia="仿宋" w:cs="仿宋"/>
          <w:kern w:val="0"/>
          <w:sz w:val="28"/>
          <w:szCs w:val="28"/>
          <w:lang w:val="en-US" w:eastAsia="zh-CN" w:bidi="ar-SA"/>
        </w:rPr>
        <w:t>我院经营收入项目成本性支出项目，实施周期为2023年1月至12月，项目总金额700.00万元。</w:t>
      </w:r>
      <w:r>
        <w:rPr>
          <w:rFonts w:hint="eastAsia" w:ascii="仿宋" w:hAnsi="仿宋" w:eastAsia="仿宋" w:cs="仿宋"/>
          <w:kern w:val="0"/>
          <w:sz w:val="28"/>
          <w:szCs w:val="28"/>
          <w:lang w:val="zh-CN" w:eastAsia="zh-CN" w:bidi="ar-SA"/>
        </w:rPr>
        <w:t>随着科学技术的发展，国家系列战略的实施及经济实力的日益增强，各类自然资源开发利用活动对国土空间的塑造能力日益强大，人类活动对国土空间的塑造能力日益剧烈，国土空间格局正在发生剧烈演变。</w:t>
      </w:r>
    </w:p>
    <w:p>
      <w:pPr>
        <w:keepNext w:val="0"/>
        <w:keepLines w:val="0"/>
        <w:pageBreakBefore w:val="0"/>
        <w:tabs>
          <w:tab w:val="left" w:pos="1701"/>
          <w:tab w:val="left" w:pos="1843"/>
        </w:tabs>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kern w:val="0"/>
          <w:sz w:val="28"/>
          <w:szCs w:val="28"/>
          <w:lang w:val="en-US" w:eastAsia="zh-CN" w:bidi="ar-SA"/>
        </w:rPr>
      </w:pPr>
      <w:r>
        <w:rPr>
          <w:rFonts w:hint="eastAsia" w:ascii="仿宋" w:hAnsi="仿宋" w:eastAsia="仿宋" w:cs="仿宋"/>
          <w:kern w:val="0"/>
          <w:sz w:val="28"/>
          <w:szCs w:val="28"/>
          <w:lang w:val="zh-CN" w:eastAsia="zh-CN" w:bidi="ar-SA"/>
        </w:rPr>
        <w:t>在新时期国土空间规划体系建立的背景下，为保障规划成功实施和战略目标实现，根据《中共中央国务院关于建立国土空间规划体系并监督实施的若干意见》（中发〔2019〕18号）文件要求，开展具有科学性、前瞻性的国土空间总体规划工作，是推动“到2035年，基本形成生产空间集约高效、生活空间宜居适度、生态空间山清水秀，安全和谐、富有竞争力和可持续发展的国土空间格局”的重要保障。</w:t>
      </w:r>
    </w:p>
    <w:p>
      <w:pPr>
        <w:keepNext w:val="0"/>
        <w:keepLines w:val="0"/>
        <w:pageBreakBefore w:val="0"/>
        <w:kinsoku/>
        <w:wordWrap/>
        <w:overflowPunct/>
        <w:topLinePunct w:val="0"/>
        <w:autoSpaceDE/>
        <w:autoSpaceDN/>
        <w:bidi w:val="0"/>
        <w:adjustRightInd/>
        <w:snapToGrid/>
        <w:spacing w:line="560" w:lineRule="exact"/>
        <w:ind w:firstLine="544" w:firstLineChars="200"/>
        <w:textAlignment w:val="auto"/>
        <w:rPr>
          <w:rStyle w:val="25"/>
          <w:rFonts w:hint="eastAsia" w:ascii="仿宋" w:hAnsi="仿宋" w:eastAsia="仿宋" w:cs="仿宋"/>
          <w:b w:val="0"/>
          <w:bCs/>
          <w:spacing w:val="-4"/>
          <w:sz w:val="28"/>
          <w:szCs w:val="28"/>
          <w:lang w:val="en-US" w:eastAsia="zh-CN"/>
        </w:rPr>
      </w:pPr>
      <w:r>
        <w:rPr>
          <w:rStyle w:val="25"/>
          <w:rFonts w:hint="eastAsia" w:ascii="仿宋" w:hAnsi="仿宋" w:eastAsia="仿宋" w:cs="仿宋"/>
          <w:b w:val="0"/>
          <w:bCs/>
          <w:spacing w:val="-4"/>
          <w:sz w:val="28"/>
          <w:szCs w:val="28"/>
        </w:rPr>
        <w:t>2.主要内容及实施情</w:t>
      </w:r>
      <w:r>
        <w:rPr>
          <w:rStyle w:val="25"/>
          <w:rFonts w:hint="eastAsia" w:ascii="仿宋" w:hAnsi="仿宋" w:eastAsia="仿宋" w:cs="仿宋"/>
          <w:b w:val="0"/>
          <w:bCs/>
          <w:spacing w:val="-4"/>
          <w:sz w:val="28"/>
          <w:szCs w:val="28"/>
          <w:lang w:val="en-US" w:eastAsia="zh-CN"/>
        </w:rPr>
        <w:t>况</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rPr>
          <w:rStyle w:val="25"/>
          <w:rFonts w:hint="eastAsia" w:ascii="仿宋" w:hAnsi="仿宋" w:eastAsia="仿宋" w:cs="仿宋"/>
          <w:b w:val="0"/>
          <w:bCs/>
          <w:spacing w:val="-4"/>
          <w:sz w:val="28"/>
          <w:szCs w:val="28"/>
          <w:lang w:eastAsia="zh-CN"/>
        </w:rPr>
      </w:pPr>
      <w:r>
        <w:rPr>
          <w:rFonts w:hint="eastAsia" w:ascii="仿宋" w:hAnsi="仿宋" w:eastAsia="仿宋" w:cs="仿宋"/>
          <w:b/>
          <w:bCs/>
          <w:kern w:val="0"/>
          <w:sz w:val="28"/>
          <w:szCs w:val="28"/>
          <w:highlight w:val="none"/>
          <w:lang w:val="en-US" w:eastAsia="zh-CN" w:bidi="ar-SA"/>
        </w:rPr>
        <w:t>（1）主要内容</w:t>
      </w:r>
      <w:r>
        <w:rPr>
          <w:rStyle w:val="25"/>
          <w:rFonts w:hint="eastAsia" w:ascii="仿宋" w:hAnsi="仿宋" w:eastAsia="仿宋" w:cs="仿宋"/>
          <w:b w:val="0"/>
          <w:bCs/>
          <w:spacing w:val="-4"/>
          <w:sz w:val="28"/>
          <w:szCs w:val="28"/>
          <w:lang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val="0"/>
          <w:bCs/>
          <w:sz w:val="28"/>
          <w:szCs w:val="28"/>
          <w:lang w:val="en-US" w:eastAsia="zh-CN"/>
        </w:rPr>
      </w:pPr>
      <w:r>
        <w:rPr>
          <w:rFonts w:hint="eastAsia" w:ascii="仿宋" w:hAnsi="仿宋" w:eastAsia="仿宋" w:cs="仿宋"/>
          <w:sz w:val="28"/>
          <w:szCs w:val="28"/>
          <w:lang w:val="en-US" w:eastAsia="zh-CN"/>
        </w:rPr>
        <w:t>按照合同的约定和任务书的规定，按时保质保量完成各阶段任务。依照土地管理法及相关规定、委托方要求对各项建设工程项目进行总体安排和综合部署，满足委托方发展需求，实现建设项目的科学化、规范化、制度化管理。</w:t>
      </w:r>
    </w:p>
    <w:p>
      <w:pPr>
        <w:pStyle w:val="54"/>
        <w:keepNext w:val="0"/>
        <w:keepLines w:val="0"/>
        <w:pageBreakBefore w:val="0"/>
        <w:numPr>
          <w:ilvl w:val="0"/>
          <w:numId w:val="0"/>
        </w:numPr>
        <w:tabs>
          <w:tab w:val="left" w:pos="605"/>
          <w:tab w:val="left" w:pos="835"/>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line="560" w:lineRule="exact"/>
        <w:ind w:firstLine="546" w:firstLineChars="200"/>
        <w:textAlignment w:val="auto"/>
        <w:rPr>
          <w:rStyle w:val="25"/>
          <w:rFonts w:hint="eastAsia" w:ascii="仿宋" w:hAnsi="仿宋" w:eastAsia="仿宋" w:cs="仿宋"/>
          <w:b/>
          <w:bCs w:val="0"/>
          <w:spacing w:val="-4"/>
          <w:sz w:val="28"/>
          <w:szCs w:val="28"/>
          <w:lang w:eastAsia="zh-CN"/>
        </w:rPr>
      </w:pPr>
      <w:r>
        <w:rPr>
          <w:rStyle w:val="25"/>
          <w:rFonts w:hint="eastAsia" w:ascii="仿宋" w:hAnsi="仿宋" w:eastAsia="仿宋" w:cs="仿宋"/>
          <w:b/>
          <w:bCs w:val="0"/>
          <w:spacing w:val="-4"/>
          <w:sz w:val="28"/>
          <w:szCs w:val="28"/>
          <w:lang w:eastAsia="zh-CN"/>
        </w:rPr>
        <w:t>（</w:t>
      </w:r>
      <w:r>
        <w:rPr>
          <w:rStyle w:val="25"/>
          <w:rFonts w:hint="eastAsia" w:ascii="仿宋" w:hAnsi="仿宋" w:eastAsia="仿宋" w:cs="仿宋"/>
          <w:b/>
          <w:bCs w:val="0"/>
          <w:spacing w:val="-4"/>
          <w:sz w:val="28"/>
          <w:szCs w:val="28"/>
          <w:lang w:val="en-US" w:eastAsia="zh-CN"/>
        </w:rPr>
        <w:t>2</w:t>
      </w:r>
      <w:r>
        <w:rPr>
          <w:rStyle w:val="25"/>
          <w:rFonts w:hint="eastAsia" w:ascii="仿宋" w:hAnsi="仿宋" w:eastAsia="仿宋" w:cs="仿宋"/>
          <w:b/>
          <w:bCs w:val="0"/>
          <w:spacing w:val="-4"/>
          <w:sz w:val="28"/>
          <w:szCs w:val="28"/>
          <w:lang w:eastAsia="zh-CN"/>
        </w:rPr>
        <w:t>）</w:t>
      </w:r>
      <w:r>
        <w:rPr>
          <w:rStyle w:val="25"/>
          <w:rFonts w:hint="eastAsia" w:ascii="仿宋" w:hAnsi="仿宋" w:eastAsia="仿宋" w:cs="仿宋"/>
          <w:b/>
          <w:bCs w:val="0"/>
          <w:spacing w:val="-4"/>
          <w:sz w:val="28"/>
          <w:szCs w:val="28"/>
        </w:rPr>
        <w:t>实施情况</w:t>
      </w:r>
      <w:r>
        <w:rPr>
          <w:rStyle w:val="25"/>
          <w:rFonts w:hint="eastAsia" w:ascii="仿宋" w:hAnsi="仿宋" w:eastAsia="仿宋" w:cs="仿宋"/>
          <w:b/>
          <w:bCs w:val="0"/>
          <w:spacing w:val="-4"/>
          <w:sz w:val="28"/>
          <w:szCs w:val="28"/>
          <w:lang w:eastAsia="zh-CN"/>
        </w:rPr>
        <w:t>：</w:t>
      </w:r>
    </w:p>
    <w:p>
      <w:pPr>
        <w:pStyle w:val="54"/>
        <w:keepNext w:val="0"/>
        <w:keepLines w:val="0"/>
        <w:pageBreakBefore w:val="0"/>
        <w:numPr>
          <w:ilvl w:val="0"/>
          <w:numId w:val="0"/>
        </w:numPr>
        <w:tabs>
          <w:tab w:val="left" w:pos="605"/>
          <w:tab w:val="left" w:pos="835"/>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line="560" w:lineRule="exact"/>
        <w:ind w:firstLine="560" w:firstLineChars="200"/>
        <w:textAlignment w:val="auto"/>
        <w:rPr>
          <w:rStyle w:val="25"/>
          <w:rFonts w:hint="eastAsia" w:ascii="仿宋" w:hAnsi="仿宋" w:eastAsia="仿宋" w:cs="仿宋"/>
          <w:b w:val="0"/>
          <w:bCs/>
          <w:spacing w:val="-4"/>
          <w:sz w:val="28"/>
          <w:szCs w:val="28"/>
          <w:lang w:eastAsia="zh-CN"/>
        </w:rPr>
      </w:pPr>
      <w:r>
        <w:rPr>
          <w:rFonts w:hint="eastAsia" w:ascii="仿宋" w:hAnsi="仿宋" w:eastAsia="仿宋" w:cs="仿宋"/>
          <w:sz w:val="28"/>
          <w:szCs w:val="28"/>
        </w:rPr>
        <w:t>接受用地单位的委托书后,</w:t>
      </w:r>
      <w:r>
        <w:rPr>
          <w:rFonts w:hint="eastAsia" w:ascii="仿宋" w:hAnsi="仿宋" w:eastAsia="仿宋" w:cs="仿宋"/>
          <w:color w:val="333333"/>
          <w:sz w:val="28"/>
          <w:szCs w:val="28"/>
        </w:rPr>
        <w:t xml:space="preserve"> </w:t>
      </w:r>
      <w:r>
        <w:rPr>
          <w:rFonts w:hint="eastAsia" w:ascii="仿宋" w:hAnsi="仿宋" w:eastAsia="仿宋" w:cs="仿宋"/>
          <w:sz w:val="28"/>
          <w:szCs w:val="28"/>
        </w:rPr>
        <w:t>项目负责人就安排人员进行工作的前期组织协调。协调工作包括与用地单位及自然资源局相关土地行政主管部门协商土地勘测定界工作的具体时间、了解用地范围内的权属状况等。线性工程项目勘测定界分为外业调查、外业测量、内业整理汇总三个工作组，在项目实施前还应制定详细的工作计划，编写技术设计书。做好前期的组织协调工作，制定好相应的计划，才能降低工作难度，使土地勘测定界工作顺利进行，保证最终成果的客观准确。</w:t>
      </w:r>
    </w:p>
    <w:p>
      <w:pPr>
        <w:keepNext w:val="0"/>
        <w:keepLines w:val="0"/>
        <w:pageBreakBefore w:val="0"/>
        <w:kinsoku/>
        <w:wordWrap/>
        <w:overflowPunct/>
        <w:topLinePunct w:val="0"/>
        <w:autoSpaceDE/>
        <w:autoSpaceDN/>
        <w:bidi w:val="0"/>
        <w:adjustRightInd/>
        <w:snapToGrid/>
        <w:spacing w:line="560" w:lineRule="exact"/>
        <w:ind w:firstLine="546" w:firstLineChars="200"/>
        <w:textAlignment w:val="auto"/>
        <w:rPr>
          <w:rStyle w:val="25"/>
          <w:rFonts w:hint="eastAsia" w:ascii="仿宋" w:hAnsi="仿宋" w:eastAsia="仿宋" w:cs="仿宋"/>
          <w:b/>
          <w:bCs w:val="0"/>
          <w:spacing w:val="-4"/>
          <w:sz w:val="28"/>
          <w:szCs w:val="28"/>
        </w:rPr>
      </w:pPr>
      <w:r>
        <w:rPr>
          <w:rStyle w:val="25"/>
          <w:rFonts w:hint="eastAsia" w:ascii="仿宋" w:hAnsi="仿宋" w:eastAsia="仿宋" w:cs="仿宋"/>
          <w:b/>
          <w:bCs w:val="0"/>
          <w:spacing w:val="-4"/>
          <w:sz w:val="28"/>
          <w:szCs w:val="28"/>
          <w:lang w:val="en-US" w:eastAsia="zh-CN"/>
        </w:rPr>
        <w:t>3.</w:t>
      </w:r>
      <w:r>
        <w:rPr>
          <w:rStyle w:val="25"/>
          <w:rFonts w:hint="eastAsia" w:ascii="仿宋" w:hAnsi="仿宋" w:eastAsia="仿宋" w:cs="仿宋"/>
          <w:b/>
          <w:bCs w:val="0"/>
          <w:spacing w:val="-4"/>
          <w:sz w:val="28"/>
          <w:szCs w:val="28"/>
        </w:rPr>
        <w:t>项目实施主体</w:t>
      </w:r>
    </w:p>
    <w:p>
      <w:pPr>
        <w:pStyle w:val="39"/>
        <w:spacing w:line="560" w:lineRule="exact"/>
        <w:ind w:firstLine="560"/>
        <w:rPr>
          <w:rFonts w:hint="eastAsia" w:ascii="仿宋" w:hAnsi="仿宋" w:eastAsia="仿宋"/>
          <w:color w:val="000000"/>
          <w:sz w:val="28"/>
          <w:szCs w:val="28"/>
          <w:highlight w:val="none"/>
        </w:rPr>
      </w:pPr>
      <w:r>
        <w:rPr>
          <w:rFonts w:hint="eastAsia" w:ascii="仿宋" w:hAnsi="仿宋" w:eastAsia="仿宋" w:cs="仿宋"/>
          <w:kern w:val="0"/>
          <w:sz w:val="28"/>
          <w:szCs w:val="28"/>
          <w:highlight w:val="none"/>
          <w:lang w:val="en-US" w:eastAsia="zh-CN" w:bidi="ar-SA"/>
        </w:rPr>
        <w:t>该项目由自治区自然资源规划研究院实施，内设13个科室，分别是：</w:t>
      </w:r>
      <w:r>
        <w:rPr>
          <w:rFonts w:hint="eastAsia" w:ascii="仿宋" w:hAnsi="仿宋" w:eastAsia="仿宋"/>
          <w:color w:val="000000"/>
          <w:sz w:val="28"/>
          <w:szCs w:val="28"/>
          <w:highlight w:val="none"/>
        </w:rPr>
        <w:t>办公室（党办）、财务办公室、人力资源办公室、总工程师办公室、规划所、土地利用所、勘界所、土地调查所、地籍所、矿产所、地政研究中心、土地信息工程与数据中心、学术交流办公室。</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en-US" w:eastAsia="zh-CN" w:bidi="ar-SA"/>
        </w:rPr>
        <w:t>主要职能是：</w:t>
      </w:r>
      <w:r>
        <w:rPr>
          <w:rFonts w:hint="eastAsia" w:ascii="仿宋" w:hAnsi="仿宋" w:eastAsia="仿宋" w:cs="仿宋"/>
          <w:kern w:val="0"/>
          <w:sz w:val="28"/>
          <w:szCs w:val="28"/>
          <w:lang w:val="zh-CN" w:eastAsia="zh-CN" w:bidi="ar-SA"/>
        </w:rPr>
        <w:t>（1）承担自治区土地利用，矿产资源总体规划及专项规划业务技术工作，参与指导地、州、市、县（市）土地利用、矿产资源总体规划的有关技术工作。</w:t>
      </w:r>
    </w:p>
    <w:p>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（2）承担城乡土地资源现状调查评价和动态监测中的技术工作及成果应用和技术指导。</w:t>
      </w:r>
    </w:p>
    <w:p>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（3）承担城乡地籍测量和调查的技术工作。</w:t>
      </w:r>
    </w:p>
    <w:p>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（4）从事国家等级内的各项测量工作和制图工作。</w:t>
      </w:r>
    </w:p>
    <w:p>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（5）承担国家、自治区批准建设用地项目的土地权属勘界工作。</w:t>
      </w:r>
    </w:p>
    <w:p>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（6）承担地、州、市土地勘测规划相关业务的技术指导。</w:t>
      </w:r>
    </w:p>
    <w:p>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（7）参与自治区矿产资源补偿费地质勘查项目、矿产资源保护项目和地质勘查专项资金项目的立项审查和成果验收。</w:t>
      </w:r>
    </w:p>
    <w:p>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lang w:val="zh-CN" w:eastAsia="zh-CN" w:bidi="ar-SA"/>
        </w:rPr>
      </w:pPr>
      <w:r>
        <w:rPr>
          <w:rFonts w:hint="eastAsia" w:ascii="仿宋" w:hAnsi="仿宋" w:eastAsia="仿宋" w:cs="仿宋"/>
          <w:kern w:val="0"/>
          <w:sz w:val="28"/>
          <w:szCs w:val="28"/>
          <w:lang w:val="zh-CN" w:eastAsia="zh-CN" w:bidi="ar-SA"/>
        </w:rPr>
        <w:t>（8）承担自治区矿产资源补偿费地质勘查项目、矿产资源保护项目和地质勘查专项资金项目的设计审核、质量监理。</w:t>
      </w:r>
    </w:p>
    <w:p>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highlight w:val="none"/>
          <w:lang w:val="zh-CN" w:eastAsia="zh-CN" w:bidi="ar-SA"/>
        </w:rPr>
      </w:pPr>
      <w:r>
        <w:rPr>
          <w:rFonts w:hint="eastAsia" w:ascii="仿宋" w:hAnsi="仿宋" w:eastAsia="仿宋" w:cs="仿宋"/>
          <w:kern w:val="0"/>
          <w:sz w:val="28"/>
          <w:szCs w:val="28"/>
          <w:highlight w:val="none"/>
          <w:lang w:val="zh-CN" w:eastAsia="zh-CN" w:bidi="ar-SA"/>
        </w:rPr>
        <w:t>（9）承担地、州、市国土资源规划院（队）相关业务的技术指导。</w:t>
      </w:r>
    </w:p>
    <w:p>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highlight w:val="none"/>
          <w:lang w:val="zh-CN" w:eastAsia="zh-CN" w:bidi="ar-SA"/>
        </w:rPr>
      </w:pPr>
      <w:r>
        <w:rPr>
          <w:rFonts w:hint="eastAsia" w:ascii="仿宋" w:hAnsi="仿宋" w:eastAsia="仿宋" w:cs="仿宋"/>
          <w:kern w:val="0"/>
          <w:sz w:val="28"/>
          <w:szCs w:val="28"/>
          <w:highlight w:val="none"/>
          <w:lang w:val="zh-CN" w:eastAsia="zh-CN" w:bidi="ar-SA"/>
        </w:rPr>
        <w:t>（10）开展相关的科研工作。</w:t>
      </w:r>
    </w:p>
    <w:p>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kern w:val="0"/>
          <w:sz w:val="28"/>
          <w:szCs w:val="28"/>
          <w:highlight w:val="none"/>
          <w:lang w:val="zh-CN" w:eastAsia="zh-CN" w:bidi="ar-SA"/>
        </w:rPr>
      </w:pPr>
      <w:r>
        <w:rPr>
          <w:rFonts w:hint="eastAsia" w:ascii="仿宋" w:hAnsi="仿宋" w:eastAsia="仿宋" w:cs="仿宋"/>
          <w:kern w:val="0"/>
          <w:sz w:val="28"/>
          <w:szCs w:val="28"/>
          <w:highlight w:val="none"/>
          <w:lang w:val="zh-CN" w:eastAsia="zh-CN" w:bidi="ar-SA"/>
        </w:rPr>
        <w:t>（11）承办厅交办的其他事项。</w:t>
      </w:r>
    </w:p>
    <w:p>
      <w:pPr>
        <w:pStyle w:val="39"/>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sz w:val="28"/>
          <w:szCs w:val="28"/>
          <w:highlight w:val="none"/>
          <w:lang w:val="en-US" w:eastAsia="zh-CN"/>
        </w:rPr>
        <w:t>编制人数83人，其中：行政人员编制0人、工勤0人、参公0人、事业编制83人。实有在职人数64人，其中：行政在职0人、工勤3人、参公0人、事业在职61人。离退休人员38人，其中：行政退休人员0人、事业退休38人。</w:t>
      </w:r>
    </w:p>
    <w:p>
      <w:pPr>
        <w:pStyle w:val="39"/>
        <w:keepNext w:val="0"/>
        <w:keepLines w:val="0"/>
        <w:pageBreakBefore w:val="0"/>
        <w:kinsoku/>
        <w:wordWrap/>
        <w:overflowPunct/>
        <w:topLinePunct w:val="0"/>
        <w:autoSpaceDE/>
        <w:autoSpaceDN/>
        <w:bidi w:val="0"/>
        <w:adjustRightInd/>
        <w:snapToGrid/>
        <w:spacing w:line="560" w:lineRule="exact"/>
        <w:ind w:left="0" w:leftChars="0" w:firstLine="546" w:firstLineChars="200"/>
        <w:textAlignment w:val="auto"/>
        <w:rPr>
          <w:rStyle w:val="25"/>
          <w:rFonts w:hint="eastAsia" w:ascii="仿宋" w:hAnsi="仿宋" w:eastAsia="仿宋" w:cs="仿宋"/>
          <w:b/>
          <w:bCs w:val="0"/>
          <w:spacing w:val="-4"/>
          <w:sz w:val="28"/>
          <w:szCs w:val="28"/>
          <w:highlight w:val="none"/>
          <w:lang w:eastAsia="zh-CN"/>
        </w:rPr>
      </w:pPr>
      <w:r>
        <w:rPr>
          <w:rStyle w:val="25"/>
          <w:rFonts w:hint="eastAsia" w:ascii="仿宋" w:hAnsi="仿宋" w:eastAsia="仿宋" w:cs="仿宋"/>
          <w:b/>
          <w:bCs w:val="0"/>
          <w:spacing w:val="-4"/>
          <w:sz w:val="28"/>
          <w:szCs w:val="28"/>
          <w:highlight w:val="none"/>
          <w:lang w:val="en-US" w:eastAsia="zh-CN"/>
        </w:rPr>
        <w:t>4.</w:t>
      </w:r>
      <w:r>
        <w:rPr>
          <w:rStyle w:val="25"/>
          <w:rFonts w:hint="eastAsia" w:ascii="仿宋" w:hAnsi="仿宋" w:eastAsia="仿宋" w:cs="仿宋"/>
          <w:b/>
          <w:bCs w:val="0"/>
          <w:spacing w:val="-4"/>
          <w:sz w:val="28"/>
          <w:szCs w:val="28"/>
          <w:highlight w:val="none"/>
        </w:rPr>
        <w:t>资金投入和使用情况</w:t>
      </w:r>
      <w:r>
        <w:rPr>
          <w:rStyle w:val="25"/>
          <w:rFonts w:hint="eastAsia" w:ascii="仿宋" w:hAnsi="仿宋" w:eastAsia="仿宋" w:cs="仿宋"/>
          <w:b/>
          <w:bCs w:val="0"/>
          <w:spacing w:val="-4"/>
          <w:sz w:val="28"/>
          <w:szCs w:val="28"/>
          <w:highlight w:val="none"/>
          <w:lang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（1）资金</w:t>
      </w:r>
      <w:r>
        <w:rPr>
          <w:rFonts w:hint="eastAsia" w:ascii="仿宋" w:hAnsi="仿宋" w:eastAsia="仿宋" w:cs="仿宋"/>
          <w:sz w:val="28"/>
          <w:szCs w:val="28"/>
          <w:highlight w:val="none"/>
          <w:lang w:val="en-US" w:eastAsia="zh-CN"/>
        </w:rPr>
        <w:t>投入情况</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该项目年初预算数</w:t>
      </w:r>
      <w:r>
        <w:rPr>
          <w:rFonts w:hint="eastAsia" w:ascii="仿宋" w:hAnsi="仿宋" w:eastAsia="仿宋" w:cs="仿宋"/>
          <w:sz w:val="28"/>
          <w:szCs w:val="28"/>
          <w:highlight w:val="none"/>
          <w:lang w:val="en-US" w:eastAsia="zh-CN"/>
        </w:rPr>
        <w:t>700</w:t>
      </w:r>
      <w:r>
        <w:rPr>
          <w:rFonts w:hint="eastAsia" w:ascii="仿宋" w:hAnsi="仿宋" w:eastAsia="仿宋" w:cs="仿宋"/>
          <w:sz w:val="28"/>
          <w:szCs w:val="28"/>
          <w:highlight w:val="none"/>
        </w:rPr>
        <w:t>万元，全年预算数</w:t>
      </w:r>
      <w:r>
        <w:rPr>
          <w:rFonts w:hint="eastAsia" w:ascii="仿宋" w:hAnsi="仿宋" w:eastAsia="仿宋" w:cs="仿宋"/>
          <w:sz w:val="28"/>
          <w:szCs w:val="28"/>
          <w:highlight w:val="none"/>
          <w:lang w:val="en-US" w:eastAsia="zh-CN"/>
        </w:rPr>
        <w:t>700</w:t>
      </w:r>
      <w:r>
        <w:rPr>
          <w:rFonts w:hint="eastAsia" w:ascii="仿宋" w:hAnsi="仿宋" w:eastAsia="仿宋" w:cs="仿宋"/>
          <w:sz w:val="28"/>
          <w:szCs w:val="28"/>
          <w:highlight w:val="none"/>
        </w:rPr>
        <w:t>万元，实际总投入</w:t>
      </w:r>
      <w:r>
        <w:rPr>
          <w:rFonts w:hint="eastAsia" w:ascii="仿宋" w:hAnsi="仿宋" w:eastAsia="仿宋" w:cs="仿宋"/>
          <w:sz w:val="28"/>
          <w:szCs w:val="28"/>
          <w:highlight w:val="none"/>
          <w:lang w:val="en-US" w:eastAsia="zh-CN"/>
        </w:rPr>
        <w:t>699.97</w:t>
      </w:r>
      <w:r>
        <w:rPr>
          <w:rFonts w:hint="eastAsia" w:ascii="仿宋" w:hAnsi="仿宋" w:eastAsia="仿宋" w:cs="仿宋"/>
          <w:sz w:val="28"/>
          <w:szCs w:val="28"/>
          <w:highlight w:val="none"/>
        </w:rPr>
        <w:t>万元，该项目资金已全部落实到位，资金来源为</w:t>
      </w:r>
      <w:r>
        <w:rPr>
          <w:rFonts w:hint="eastAsia" w:ascii="仿宋" w:hAnsi="仿宋" w:eastAsia="仿宋" w:cs="仿宋"/>
          <w:sz w:val="28"/>
          <w:szCs w:val="28"/>
          <w:highlight w:val="none"/>
          <w:lang w:eastAsia="zh-CN"/>
        </w:rPr>
        <w:t>当年经营收入资金</w:t>
      </w:r>
      <w:r>
        <w:rPr>
          <w:rFonts w:hint="eastAsia" w:ascii="仿宋" w:hAnsi="仿宋" w:eastAsia="仿宋" w:cs="仿宋"/>
          <w:sz w:val="28"/>
          <w:szCs w:val="28"/>
          <w:highlight w:val="none"/>
        </w:rPr>
        <w:t>。项目总投资</w:t>
      </w:r>
      <w:r>
        <w:rPr>
          <w:rFonts w:hint="eastAsia" w:ascii="仿宋" w:hAnsi="仿宋" w:eastAsia="仿宋" w:cs="仿宋"/>
          <w:sz w:val="28"/>
          <w:szCs w:val="28"/>
          <w:highlight w:val="none"/>
          <w:lang w:val="en-US" w:eastAsia="zh-CN"/>
        </w:rPr>
        <w:t>700</w:t>
      </w:r>
      <w:r>
        <w:rPr>
          <w:rFonts w:hint="eastAsia" w:ascii="仿宋" w:hAnsi="仿宋" w:eastAsia="仿宋" w:cs="仿宋"/>
          <w:sz w:val="28"/>
          <w:szCs w:val="28"/>
          <w:highlight w:val="none"/>
        </w:rPr>
        <w:t>万元</w:t>
      </w:r>
      <w:r>
        <w:rPr>
          <w:rFonts w:hint="eastAsia" w:ascii="仿宋" w:hAnsi="仿宋" w:eastAsia="仿宋" w:cs="仿宋"/>
          <w:sz w:val="28"/>
          <w:szCs w:val="28"/>
          <w:highlight w:val="none"/>
          <w:lang w:eastAsia="zh-CN"/>
        </w:rPr>
        <w:t>。</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（2）资金使用情况</w:t>
      </w:r>
      <w:bookmarkStart w:id="0" w:name="page10"/>
      <w:bookmarkEnd w:id="0"/>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Style w:val="25"/>
          <w:rFonts w:hint="eastAsia" w:ascii="仿宋" w:hAnsi="仿宋" w:eastAsia="仿宋" w:cs="仿宋"/>
          <w:b w:val="0"/>
          <w:bCs/>
          <w:color w:val="auto"/>
          <w:spacing w:val="-4"/>
          <w:sz w:val="28"/>
          <w:szCs w:val="28"/>
          <w:highlight w:val="none"/>
          <w:lang w:val="en-US" w:eastAsia="zh-CN"/>
        </w:rPr>
      </w:pPr>
      <w:r>
        <w:rPr>
          <w:rFonts w:hint="eastAsia" w:ascii="仿宋" w:hAnsi="仿宋" w:eastAsia="仿宋" w:cs="仿宋"/>
          <w:sz w:val="28"/>
          <w:szCs w:val="28"/>
          <w:highlight w:val="none"/>
        </w:rPr>
        <w:t>2023年度按照合同的约定和任务书的规定，按时保质保量完成各阶段任务。依照土地管理法及相关规定、委托方要求对各项建设工程项目进行总体安排和综合部署，满足委托方发展需求，实现建设项目的科学化、规范化、制度化管理。为自治区自然资源管理工作提供强有力的技术支撑和保障服务，我单位保障劳务派遣人员25人社保工资正常发放，保障驻村工作组，各项经费正常支付。完成经营项目顺利实施技术咨询服务3次。</w:t>
      </w:r>
      <w:r>
        <w:rPr>
          <w:rFonts w:hint="eastAsia" w:ascii="仿宋" w:hAnsi="仿宋" w:eastAsia="仿宋" w:cs="仿宋"/>
          <w:color w:val="auto"/>
          <w:sz w:val="28"/>
          <w:szCs w:val="28"/>
          <w:highlight w:val="none"/>
          <w:lang w:val="en-US" w:eastAsia="zh-CN"/>
        </w:rPr>
        <w:t>截至2022年12月31日，实际支出699.97万元，预算执行率100%。</w:t>
      </w:r>
    </w:p>
    <w:p>
      <w:pPr>
        <w:keepNext w:val="0"/>
        <w:keepLines w:val="0"/>
        <w:pageBreakBefore w:val="0"/>
        <w:kinsoku/>
        <w:wordWrap/>
        <w:overflowPunct/>
        <w:topLinePunct w:val="0"/>
        <w:autoSpaceDE/>
        <w:autoSpaceDN/>
        <w:bidi w:val="0"/>
        <w:adjustRightInd/>
        <w:snapToGrid/>
        <w:spacing w:line="560" w:lineRule="exact"/>
        <w:ind w:firstLine="546" w:firstLineChars="200"/>
        <w:textAlignment w:val="auto"/>
        <w:rPr>
          <w:rFonts w:hint="eastAsia" w:ascii="仿宋" w:hAnsi="仿宋" w:eastAsia="仿宋" w:cs="仿宋"/>
          <w:b/>
          <w:bCs w:val="0"/>
          <w:sz w:val="28"/>
          <w:szCs w:val="28"/>
          <w:highlight w:val="none"/>
        </w:rPr>
      </w:pPr>
      <w:r>
        <w:rPr>
          <w:rStyle w:val="25"/>
          <w:rFonts w:hint="eastAsia" w:ascii="仿宋" w:hAnsi="仿宋" w:eastAsia="仿宋" w:cs="仿宋"/>
          <w:b/>
          <w:bCs w:val="0"/>
          <w:spacing w:val="-4"/>
          <w:sz w:val="28"/>
          <w:szCs w:val="28"/>
          <w:highlight w:val="none"/>
        </w:rPr>
        <w:t>（二）项目绩效目标</w:t>
      </w:r>
    </w:p>
    <w:p>
      <w:pPr>
        <w:keepNext w:val="0"/>
        <w:keepLines w:val="0"/>
        <w:pageBreakBefore w:val="0"/>
        <w:kinsoku/>
        <w:wordWrap/>
        <w:overflowPunct/>
        <w:topLinePunct w:val="0"/>
        <w:autoSpaceDE/>
        <w:autoSpaceDN/>
        <w:bidi w:val="0"/>
        <w:adjustRightInd/>
        <w:snapToGrid/>
        <w:spacing w:line="560" w:lineRule="exact"/>
        <w:ind w:firstLine="546" w:firstLineChars="200"/>
        <w:textAlignment w:val="auto"/>
        <w:rPr>
          <w:rStyle w:val="25"/>
          <w:rFonts w:hint="eastAsia" w:ascii="仿宋" w:hAnsi="仿宋" w:eastAsia="仿宋" w:cs="仿宋"/>
          <w:b/>
          <w:bCs w:val="0"/>
          <w:spacing w:val="-4"/>
          <w:sz w:val="28"/>
          <w:szCs w:val="28"/>
          <w:highlight w:val="none"/>
        </w:rPr>
      </w:pPr>
      <w:r>
        <w:rPr>
          <w:rStyle w:val="25"/>
          <w:rFonts w:hint="eastAsia" w:ascii="仿宋" w:hAnsi="仿宋" w:eastAsia="仿宋" w:cs="仿宋"/>
          <w:b/>
          <w:bCs w:val="0"/>
          <w:spacing w:val="-4"/>
          <w:sz w:val="28"/>
          <w:szCs w:val="28"/>
          <w:highlight w:val="none"/>
        </w:rPr>
        <w:t>1.项目绩效总目标</w:t>
      </w:r>
    </w:p>
    <w:p>
      <w:pPr>
        <w:keepNext w:val="0"/>
        <w:keepLines w:val="0"/>
        <w:pageBreakBefore w:val="0"/>
        <w:kinsoku/>
        <w:wordWrap/>
        <w:overflowPunct/>
        <w:topLinePunct w:val="0"/>
        <w:autoSpaceDE/>
        <w:autoSpaceDN/>
        <w:bidi w:val="0"/>
        <w:adjustRightInd/>
        <w:snapToGrid/>
        <w:spacing w:line="560" w:lineRule="exact"/>
        <w:ind w:firstLine="544" w:firstLineChars="200"/>
        <w:textAlignment w:val="auto"/>
        <w:rPr>
          <w:rStyle w:val="25"/>
          <w:rFonts w:hint="eastAsia" w:ascii="仿宋" w:hAnsi="仿宋" w:eastAsia="仿宋" w:cs="仿宋"/>
          <w:b w:val="0"/>
          <w:bCs/>
          <w:spacing w:val="-4"/>
          <w:sz w:val="28"/>
          <w:szCs w:val="28"/>
        </w:rPr>
      </w:pPr>
      <w:r>
        <w:rPr>
          <w:rStyle w:val="25"/>
          <w:rFonts w:hint="eastAsia" w:ascii="仿宋" w:hAnsi="仿宋" w:eastAsia="仿宋" w:cs="仿宋"/>
          <w:b w:val="0"/>
          <w:bCs/>
          <w:spacing w:val="-4"/>
          <w:sz w:val="28"/>
          <w:szCs w:val="28"/>
        </w:rPr>
        <w:t>按照合同的约定和任务书的规定，按时保质保量完成各阶段任务。依照土地管理法及相关规定、委托方要求对各项建设工程项目进行总体安排和综合部署，满足委托方发展需求，实现建设项目的科学化、规范化、制度化管理。</w:t>
      </w:r>
    </w:p>
    <w:p>
      <w:pPr>
        <w:keepNext w:val="0"/>
        <w:keepLines w:val="0"/>
        <w:pageBreakBefore w:val="0"/>
        <w:kinsoku/>
        <w:wordWrap/>
        <w:overflowPunct/>
        <w:topLinePunct w:val="0"/>
        <w:autoSpaceDE/>
        <w:autoSpaceDN/>
        <w:bidi w:val="0"/>
        <w:adjustRightInd/>
        <w:snapToGrid/>
        <w:spacing w:line="560" w:lineRule="exact"/>
        <w:ind w:firstLine="546" w:firstLineChars="200"/>
        <w:textAlignment w:val="auto"/>
        <w:rPr>
          <w:rStyle w:val="25"/>
          <w:rFonts w:hint="eastAsia" w:ascii="仿宋" w:hAnsi="仿宋" w:eastAsia="仿宋" w:cs="仿宋"/>
          <w:b/>
          <w:bCs w:val="0"/>
          <w:spacing w:val="-4"/>
          <w:sz w:val="28"/>
          <w:szCs w:val="28"/>
        </w:rPr>
      </w:pPr>
      <w:r>
        <w:rPr>
          <w:rStyle w:val="25"/>
          <w:rFonts w:hint="eastAsia" w:ascii="仿宋" w:hAnsi="仿宋" w:eastAsia="仿宋" w:cs="仿宋"/>
          <w:b/>
          <w:bCs w:val="0"/>
          <w:spacing w:val="-4"/>
          <w:sz w:val="28"/>
          <w:szCs w:val="28"/>
        </w:rPr>
        <w:t>2.阶段性目标</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（1）项目产出目标</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①数量指标</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“劳务派遣人员人数”指标，预期指标值为≥</w:t>
      </w:r>
      <w:r>
        <w:rPr>
          <w:rFonts w:hint="eastAsia" w:ascii="仿宋" w:hAnsi="仿宋" w:eastAsia="仿宋" w:cs="仿宋"/>
          <w:color w:val="auto"/>
          <w:sz w:val="28"/>
          <w:szCs w:val="28"/>
          <w:highlight w:val="none"/>
          <w:lang w:val="en-US" w:eastAsia="zh-CN"/>
        </w:rPr>
        <w:t>25人</w:t>
      </w:r>
      <w:r>
        <w:rPr>
          <w:rFonts w:hint="eastAsia" w:ascii="仿宋" w:hAnsi="仿宋" w:eastAsia="仿宋" w:cs="仿宋"/>
          <w:color w:val="auto"/>
          <w:sz w:val="28"/>
          <w:szCs w:val="28"/>
          <w:highlight w:val="none"/>
          <w:lang w:eastAsia="zh-CN"/>
        </w:rPr>
        <w:t>；</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“技术咨询服务次数”指标，预期指标值为≥</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次；</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“驻村工作组数量”指标，预期指标值为</w:t>
      </w:r>
      <w:r>
        <w:rPr>
          <w:rFonts w:hint="eastAsia" w:ascii="仿宋" w:hAnsi="仿宋" w:eastAsia="仿宋" w:cs="仿宋"/>
          <w:color w:val="auto"/>
          <w:sz w:val="28"/>
          <w:szCs w:val="28"/>
          <w:highlight w:val="none"/>
          <w:lang w:val="en-US" w:eastAsia="zh-CN"/>
        </w:rPr>
        <w:t>=4个</w:t>
      </w:r>
      <w:r>
        <w:rPr>
          <w:rFonts w:hint="eastAsia" w:ascii="仿宋" w:hAnsi="仿宋" w:eastAsia="仿宋" w:cs="仿宋"/>
          <w:color w:val="auto"/>
          <w:sz w:val="28"/>
          <w:szCs w:val="28"/>
          <w:highlight w:val="none"/>
          <w:lang w:eastAsia="zh-CN"/>
        </w:rPr>
        <w:t>；</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“人员工资及社保发放缴纳次数”指标，预期指标值为</w:t>
      </w:r>
      <w:r>
        <w:rPr>
          <w:rFonts w:hint="eastAsia" w:ascii="仿宋" w:hAnsi="仿宋" w:eastAsia="仿宋" w:cs="仿宋"/>
          <w:color w:val="auto"/>
          <w:sz w:val="28"/>
          <w:szCs w:val="28"/>
          <w:highlight w:val="none"/>
          <w:lang w:val="en-US" w:eastAsia="zh-CN"/>
        </w:rPr>
        <w:t>=12人</w:t>
      </w:r>
      <w:r>
        <w:rPr>
          <w:rFonts w:hint="eastAsia" w:ascii="仿宋" w:hAnsi="仿宋" w:eastAsia="仿宋" w:cs="仿宋"/>
          <w:color w:val="auto"/>
          <w:sz w:val="28"/>
          <w:szCs w:val="28"/>
          <w:highlight w:val="none"/>
          <w:lang w:eastAsia="zh-CN"/>
        </w:rPr>
        <w:t>；</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②质量指标</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“工资发放到到位率”指标，预期指标值为</w:t>
      </w:r>
      <w:r>
        <w:rPr>
          <w:rFonts w:hint="eastAsia" w:ascii="仿宋" w:hAnsi="仿宋" w:eastAsia="仿宋" w:cs="仿宋"/>
          <w:color w:val="auto"/>
          <w:sz w:val="28"/>
          <w:szCs w:val="28"/>
          <w:highlight w:val="none"/>
          <w:lang w:val="en-US" w:eastAsia="zh-CN"/>
        </w:rPr>
        <w:t>＝100%%</w:t>
      </w:r>
      <w:r>
        <w:rPr>
          <w:rFonts w:hint="eastAsia" w:ascii="仿宋" w:hAnsi="仿宋" w:eastAsia="仿宋" w:cs="仿宋"/>
          <w:color w:val="auto"/>
          <w:sz w:val="28"/>
          <w:szCs w:val="28"/>
          <w:highlight w:val="none"/>
          <w:lang w:eastAsia="zh-CN"/>
        </w:rPr>
        <w:t>；</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③时效指标</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“劳务派遣人员工资发放及时率”指标，预期指标值为</w:t>
      </w:r>
      <w:r>
        <w:rPr>
          <w:rFonts w:hint="eastAsia" w:ascii="仿宋" w:hAnsi="仿宋" w:eastAsia="仿宋" w:cs="仿宋"/>
          <w:color w:val="auto"/>
          <w:sz w:val="28"/>
          <w:szCs w:val="28"/>
          <w:highlight w:val="none"/>
          <w:lang w:val="en-US" w:eastAsia="zh-CN"/>
        </w:rPr>
        <w:t>=100%</w:t>
      </w:r>
      <w:r>
        <w:rPr>
          <w:rFonts w:hint="eastAsia" w:ascii="仿宋" w:hAnsi="仿宋" w:eastAsia="仿宋" w:cs="仿宋"/>
          <w:color w:val="auto"/>
          <w:sz w:val="28"/>
          <w:szCs w:val="28"/>
          <w:highlight w:val="none"/>
          <w:lang w:eastAsia="zh-CN"/>
        </w:rPr>
        <w:t>。</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④成本指标</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“人员工资及社会保险费用”指标，预期指标值为</w:t>
      </w:r>
      <w:r>
        <w:rPr>
          <w:rFonts w:hint="eastAsia" w:ascii="仿宋" w:hAnsi="仿宋" w:eastAsia="仿宋" w:cs="仿宋"/>
          <w:color w:val="auto"/>
          <w:sz w:val="28"/>
          <w:szCs w:val="28"/>
          <w:highlight w:val="none"/>
          <w:lang w:val="en-US" w:eastAsia="zh-CN"/>
        </w:rPr>
        <w:t>≤7000/人/次</w:t>
      </w:r>
      <w:r>
        <w:rPr>
          <w:rFonts w:hint="eastAsia" w:ascii="仿宋" w:hAnsi="仿宋" w:eastAsia="仿宋" w:cs="仿宋"/>
          <w:color w:val="auto"/>
          <w:sz w:val="28"/>
          <w:szCs w:val="28"/>
          <w:highlight w:val="none"/>
          <w:lang w:eastAsia="zh-CN"/>
        </w:rPr>
        <w:t>；</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　　“技术服务委托业务</w:t>
      </w:r>
      <w:r>
        <w:rPr>
          <w:rFonts w:hint="eastAsia" w:ascii="仿宋" w:hAnsi="仿宋" w:eastAsia="仿宋" w:cs="仿宋"/>
          <w:color w:val="auto"/>
          <w:sz w:val="28"/>
          <w:szCs w:val="28"/>
          <w:highlight w:val="none"/>
          <w:lang w:val="en-US" w:eastAsia="zh-CN"/>
        </w:rPr>
        <w:t>费</w:t>
      </w:r>
      <w:r>
        <w:rPr>
          <w:rFonts w:hint="eastAsia" w:ascii="仿宋" w:hAnsi="仿宋" w:eastAsia="仿宋" w:cs="仿宋"/>
          <w:color w:val="auto"/>
          <w:sz w:val="28"/>
          <w:szCs w:val="28"/>
          <w:highlight w:val="none"/>
          <w:lang w:eastAsia="zh-CN"/>
        </w:rPr>
        <w:t>”指标，预期指标值为</w:t>
      </w:r>
      <w:r>
        <w:rPr>
          <w:rFonts w:hint="eastAsia" w:ascii="仿宋" w:hAnsi="仿宋" w:eastAsia="仿宋" w:cs="仿宋"/>
          <w:color w:val="auto"/>
          <w:sz w:val="28"/>
          <w:szCs w:val="28"/>
          <w:highlight w:val="none"/>
          <w:lang w:val="en-US" w:eastAsia="zh-CN"/>
        </w:rPr>
        <w:t>≤320万元；</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“访惠聚工作经费”指标，预期指标值为</w:t>
      </w:r>
      <w:r>
        <w:rPr>
          <w:rFonts w:hint="eastAsia" w:ascii="仿宋" w:hAnsi="仿宋" w:eastAsia="仿宋" w:cs="仿宋"/>
          <w:color w:val="auto"/>
          <w:sz w:val="28"/>
          <w:szCs w:val="28"/>
          <w:highlight w:val="none"/>
          <w:lang w:val="en-US" w:eastAsia="zh-CN"/>
        </w:rPr>
        <w:t>≤12.25万元/组。</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（2）项目效益目标</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①经济效益指标</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无</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②社会效益指标</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“保障驻村工作组工作顺利实施”指标，预期指标值为</w:t>
      </w:r>
      <w:r>
        <w:rPr>
          <w:rFonts w:hint="eastAsia" w:ascii="仿宋" w:hAnsi="仿宋" w:eastAsia="仿宋" w:cs="仿宋"/>
          <w:color w:val="auto"/>
          <w:sz w:val="28"/>
          <w:szCs w:val="28"/>
          <w:highlight w:val="none"/>
          <w:lang w:val="en-US" w:eastAsia="zh-CN"/>
        </w:rPr>
        <w:t>有效保障</w:t>
      </w:r>
      <w:r>
        <w:rPr>
          <w:rFonts w:hint="eastAsia" w:ascii="仿宋" w:hAnsi="仿宋" w:eastAsia="仿宋" w:cs="仿宋"/>
          <w:color w:val="auto"/>
          <w:sz w:val="28"/>
          <w:szCs w:val="28"/>
          <w:highlight w:val="none"/>
          <w:lang w:eastAsia="zh-CN"/>
        </w:rPr>
        <w:t>；</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③生态效益指标</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无</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④可持续影响</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无　</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⑤满意度指标</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Style w:val="25"/>
          <w:rFonts w:hint="eastAsia" w:ascii="仿宋" w:hAnsi="仿宋" w:eastAsia="仿宋" w:cs="仿宋"/>
          <w:b w:val="0"/>
          <w:bCs/>
          <w:spacing w:val="-4"/>
          <w:sz w:val="28"/>
          <w:szCs w:val="28"/>
        </w:rPr>
      </w:pPr>
      <w:r>
        <w:rPr>
          <w:rFonts w:hint="eastAsia" w:ascii="仿宋" w:hAnsi="仿宋" w:eastAsia="仿宋" w:cs="仿宋"/>
          <w:color w:val="auto"/>
          <w:sz w:val="28"/>
          <w:szCs w:val="28"/>
          <w:highlight w:val="none"/>
          <w:lang w:eastAsia="zh-CN"/>
        </w:rPr>
        <w:t>　　“工作组对驻村工作服务保障满意度”指标，预期指标值为</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lang w:eastAsia="zh-CN"/>
        </w:rPr>
        <w:t>9</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lang w:eastAsia="zh-CN"/>
        </w:rPr>
        <w:t>。</w:t>
      </w:r>
      <w:r>
        <w:rPr>
          <w:rFonts w:hint="eastAsia" w:ascii="仿宋" w:hAnsi="仿宋" w:eastAsia="仿宋" w:cs="仿宋"/>
          <w:kern w:val="0"/>
          <w:sz w:val="28"/>
          <w:szCs w:val="28"/>
          <w:lang w:val="zh-CN" w:eastAsia="zh-CN" w:bidi="ar-SA"/>
        </w:rPr>
        <w:t xml:space="preserve"> </w:t>
      </w:r>
    </w:p>
    <w:p>
      <w:pPr>
        <w:ind w:firstLine="643"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二、绩效评价工作开展情况</w:t>
      </w:r>
    </w:p>
    <w:p>
      <w:pPr>
        <w:keepNext w:val="0"/>
        <w:keepLines w:val="0"/>
        <w:pageBreakBefore w:val="0"/>
        <w:kinsoku/>
        <w:wordWrap/>
        <w:overflowPunct/>
        <w:topLinePunct w:val="0"/>
        <w:autoSpaceDE/>
        <w:autoSpaceDN/>
        <w:bidi w:val="0"/>
        <w:adjustRightInd/>
        <w:snapToGrid/>
        <w:spacing w:line="560" w:lineRule="exact"/>
        <w:ind w:firstLine="546" w:firstLineChars="200"/>
        <w:jc w:val="left"/>
        <w:textAlignment w:val="auto"/>
        <w:rPr>
          <w:rStyle w:val="25"/>
          <w:rFonts w:hint="eastAsia" w:ascii="仿宋" w:hAnsi="仿宋" w:eastAsia="仿宋" w:cs="仿宋"/>
          <w:b/>
          <w:bCs w:val="0"/>
          <w:spacing w:val="-4"/>
          <w:sz w:val="28"/>
          <w:szCs w:val="28"/>
        </w:rPr>
      </w:pPr>
      <w:r>
        <w:rPr>
          <w:rStyle w:val="25"/>
          <w:rFonts w:hint="eastAsia" w:ascii="仿宋" w:hAnsi="仿宋" w:eastAsia="仿宋" w:cs="仿宋"/>
          <w:b/>
          <w:bCs w:val="0"/>
          <w:spacing w:val="-4"/>
          <w:sz w:val="28"/>
          <w:szCs w:val="28"/>
        </w:rPr>
        <w:t>（一）绩效评价目的、对象和范围。</w:t>
      </w:r>
    </w:p>
    <w:p>
      <w:pPr>
        <w:keepNext w:val="0"/>
        <w:keepLines w:val="0"/>
        <w:pageBreakBefore w:val="0"/>
        <w:kinsoku/>
        <w:wordWrap/>
        <w:overflowPunct/>
        <w:topLinePunct w:val="0"/>
        <w:autoSpaceDE/>
        <w:autoSpaceDN/>
        <w:bidi w:val="0"/>
        <w:adjustRightInd/>
        <w:snapToGrid/>
        <w:spacing w:line="560" w:lineRule="exact"/>
        <w:ind w:firstLine="546" w:firstLineChars="200"/>
        <w:textAlignment w:val="auto"/>
        <w:rPr>
          <w:rStyle w:val="25"/>
          <w:rFonts w:hint="eastAsia" w:ascii="仿宋" w:hAnsi="仿宋" w:eastAsia="仿宋" w:cs="仿宋"/>
          <w:b/>
          <w:bCs w:val="0"/>
          <w:spacing w:val="-4"/>
          <w:sz w:val="28"/>
          <w:szCs w:val="28"/>
        </w:rPr>
      </w:pPr>
      <w:r>
        <w:rPr>
          <w:rStyle w:val="25"/>
          <w:rFonts w:hint="eastAsia" w:ascii="仿宋" w:hAnsi="仿宋" w:eastAsia="仿宋" w:cs="仿宋"/>
          <w:b/>
          <w:bCs w:val="0"/>
          <w:spacing w:val="-4"/>
          <w:sz w:val="28"/>
          <w:szCs w:val="28"/>
        </w:rPr>
        <w:t>1.绩效评价目的</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val="0"/>
          <w:snapToGrid/>
          <w:kern w:val="0"/>
          <w:sz w:val="28"/>
          <w:szCs w:val="28"/>
          <w:highlight w:val="none"/>
          <w:lang w:val="en-US" w:eastAsia="zh-CN" w:bidi="ar-SA"/>
        </w:rPr>
      </w:pPr>
      <w:r>
        <w:rPr>
          <w:rFonts w:hint="eastAsia" w:ascii="仿宋" w:hAnsi="仿宋" w:eastAsia="仿宋" w:cs="仿宋"/>
          <w:b w:val="0"/>
          <w:snapToGrid/>
          <w:kern w:val="0"/>
          <w:sz w:val="28"/>
          <w:szCs w:val="28"/>
          <w:highlight w:val="none"/>
          <w:lang w:val="en-US" w:eastAsia="zh-CN" w:bidi="ar-SA"/>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rPr>
          <w:rStyle w:val="25"/>
          <w:rFonts w:hint="eastAsia" w:ascii="仿宋" w:hAnsi="仿宋" w:eastAsia="仿宋" w:cs="仿宋"/>
          <w:b w:val="0"/>
          <w:bCs/>
          <w:spacing w:val="-4"/>
          <w:sz w:val="28"/>
          <w:szCs w:val="28"/>
          <w:lang w:val="en-US" w:eastAsia="zh-CN"/>
        </w:rPr>
      </w:pPr>
      <w:r>
        <w:rPr>
          <w:rFonts w:hint="eastAsia" w:ascii="仿宋" w:hAnsi="仿宋" w:eastAsia="仿宋" w:cs="仿宋"/>
          <w:b/>
          <w:bCs/>
          <w:snapToGrid/>
          <w:kern w:val="0"/>
          <w:sz w:val="28"/>
          <w:szCs w:val="28"/>
          <w:highlight w:val="none"/>
          <w:lang w:val="en-US" w:eastAsia="zh-CN" w:bidi="ar-SA"/>
        </w:rPr>
        <w:t>2.</w:t>
      </w:r>
      <w:r>
        <w:rPr>
          <w:rStyle w:val="25"/>
          <w:rFonts w:hint="eastAsia" w:ascii="仿宋" w:hAnsi="仿宋" w:eastAsia="仿宋" w:cs="仿宋"/>
          <w:b/>
          <w:bCs/>
          <w:spacing w:val="-4"/>
          <w:sz w:val="28"/>
          <w:szCs w:val="28"/>
        </w:rPr>
        <w:t>绩效评价对象</w:t>
      </w:r>
      <w:r>
        <w:rPr>
          <w:rStyle w:val="25"/>
          <w:rFonts w:hint="eastAsia" w:ascii="仿宋" w:hAnsi="仿宋" w:eastAsia="仿宋" w:cs="仿宋"/>
          <w:b w:val="0"/>
          <w:bCs/>
          <w:spacing w:val="-4"/>
          <w:sz w:val="28"/>
          <w:szCs w:val="28"/>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Style w:val="25"/>
          <w:rFonts w:hint="eastAsia" w:ascii="仿宋" w:hAnsi="仿宋" w:eastAsia="仿宋" w:cs="仿宋"/>
          <w:b w:val="0"/>
          <w:bCs/>
          <w:spacing w:val="-4"/>
          <w:sz w:val="28"/>
          <w:szCs w:val="28"/>
          <w:lang w:val="en-US" w:eastAsia="zh-CN"/>
        </w:rPr>
      </w:pPr>
      <w:r>
        <w:rPr>
          <w:rFonts w:hint="eastAsia" w:ascii="仿宋" w:hAnsi="仿宋" w:eastAsia="仿宋" w:cs="仿宋"/>
          <w:b w:val="0"/>
          <w:snapToGrid/>
          <w:kern w:val="0"/>
          <w:sz w:val="28"/>
          <w:szCs w:val="28"/>
          <w:highlight w:val="none"/>
          <w:lang w:val="en-US" w:eastAsia="zh-CN" w:bidi="ar-SA"/>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46" w:firstLineChars="200"/>
        <w:textAlignment w:val="auto"/>
        <w:rPr>
          <w:rStyle w:val="25"/>
          <w:rFonts w:hint="eastAsia" w:ascii="仿宋" w:hAnsi="仿宋" w:eastAsia="仿宋" w:cs="仿宋"/>
          <w:b/>
          <w:bCs w:val="0"/>
          <w:spacing w:val="-4"/>
          <w:sz w:val="28"/>
          <w:szCs w:val="28"/>
        </w:rPr>
      </w:pPr>
      <w:r>
        <w:rPr>
          <w:rStyle w:val="25"/>
          <w:rFonts w:hint="eastAsia" w:ascii="仿宋" w:hAnsi="仿宋" w:eastAsia="仿宋" w:cs="仿宋"/>
          <w:b/>
          <w:bCs w:val="0"/>
          <w:spacing w:val="-4"/>
          <w:sz w:val="28"/>
          <w:szCs w:val="28"/>
          <w:lang w:val="en-US" w:eastAsia="zh-CN"/>
        </w:rPr>
        <w:t>3.</w:t>
      </w:r>
      <w:r>
        <w:rPr>
          <w:rStyle w:val="25"/>
          <w:rFonts w:hint="eastAsia" w:ascii="仿宋" w:hAnsi="仿宋" w:eastAsia="仿宋" w:cs="仿宋"/>
          <w:b/>
          <w:bCs w:val="0"/>
          <w:spacing w:val="-4"/>
          <w:sz w:val="28"/>
          <w:szCs w:val="28"/>
        </w:rPr>
        <w:t>绩效评价范围</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val="0"/>
          <w:snapToGrid/>
          <w:kern w:val="0"/>
          <w:sz w:val="28"/>
          <w:szCs w:val="28"/>
          <w:highlight w:val="none"/>
          <w:lang w:val="en-US" w:eastAsia="zh-CN" w:bidi="ar-SA"/>
        </w:rPr>
      </w:pPr>
      <w:r>
        <w:rPr>
          <w:rFonts w:hint="eastAsia" w:ascii="仿宋" w:hAnsi="仿宋" w:eastAsia="仿宋" w:cs="仿宋"/>
          <w:b w:val="0"/>
          <w:snapToGrid/>
          <w:kern w:val="0"/>
          <w:sz w:val="28"/>
          <w:szCs w:val="28"/>
          <w:highlight w:val="none"/>
          <w:lang w:val="en-US" w:eastAsia="zh-CN" w:bidi="ar-SA"/>
        </w:rPr>
        <w:t>本次评价范围涵盖项目总体绩效目标、各项绩效指标完成情况以及预算执行情况。覆盖项目预算资金支出的所有内容进行评价。包括项目决策、项目实施和项目成果验收流程等。</w:t>
      </w:r>
    </w:p>
    <w:p>
      <w:pPr>
        <w:keepNext w:val="0"/>
        <w:keepLines w:val="0"/>
        <w:pageBreakBefore w:val="0"/>
        <w:kinsoku/>
        <w:wordWrap/>
        <w:overflowPunct/>
        <w:topLinePunct w:val="0"/>
        <w:autoSpaceDE/>
        <w:autoSpaceDN/>
        <w:bidi w:val="0"/>
        <w:adjustRightInd/>
        <w:snapToGrid/>
        <w:spacing w:line="560" w:lineRule="exact"/>
        <w:ind w:firstLine="546" w:firstLineChars="200"/>
        <w:textAlignment w:val="auto"/>
        <w:rPr>
          <w:rStyle w:val="25"/>
          <w:rFonts w:hint="eastAsia" w:ascii="仿宋" w:hAnsi="仿宋" w:eastAsia="仿宋" w:cs="仿宋"/>
          <w:b/>
          <w:bCs w:val="0"/>
          <w:spacing w:val="-4"/>
          <w:sz w:val="28"/>
          <w:szCs w:val="28"/>
        </w:rPr>
      </w:pPr>
      <w:r>
        <w:rPr>
          <w:rStyle w:val="25"/>
          <w:rFonts w:hint="eastAsia" w:ascii="仿宋" w:hAnsi="仿宋" w:eastAsia="仿宋" w:cs="仿宋"/>
          <w:b/>
          <w:bCs w:val="0"/>
          <w:spacing w:val="-4"/>
          <w:sz w:val="28"/>
          <w:szCs w:val="28"/>
        </w:rPr>
        <w:t>（二）绩效评价原则、评价指标体系、评价方法、评价标准</w:t>
      </w:r>
    </w:p>
    <w:p>
      <w:pPr>
        <w:keepNext w:val="0"/>
        <w:keepLines w:val="0"/>
        <w:pageBreakBefore w:val="0"/>
        <w:kinsoku/>
        <w:wordWrap/>
        <w:overflowPunct/>
        <w:topLinePunct w:val="0"/>
        <w:autoSpaceDE/>
        <w:autoSpaceDN/>
        <w:bidi w:val="0"/>
        <w:adjustRightInd/>
        <w:snapToGrid/>
        <w:spacing w:line="560" w:lineRule="exact"/>
        <w:ind w:firstLine="546" w:firstLineChars="200"/>
        <w:textAlignment w:val="auto"/>
        <w:rPr>
          <w:rStyle w:val="25"/>
          <w:rFonts w:hint="eastAsia" w:ascii="仿宋" w:hAnsi="仿宋" w:eastAsia="仿宋" w:cs="仿宋"/>
          <w:b/>
          <w:bCs w:val="0"/>
          <w:spacing w:val="-4"/>
          <w:sz w:val="28"/>
          <w:szCs w:val="28"/>
        </w:rPr>
      </w:pPr>
      <w:r>
        <w:rPr>
          <w:rStyle w:val="25"/>
          <w:rFonts w:hint="eastAsia" w:ascii="仿宋" w:hAnsi="仿宋" w:eastAsia="仿宋" w:cs="仿宋"/>
          <w:b/>
          <w:bCs w:val="0"/>
          <w:spacing w:val="-4"/>
          <w:sz w:val="28"/>
          <w:szCs w:val="28"/>
        </w:rPr>
        <w:t>1.绩效评价原则</w:t>
      </w:r>
    </w:p>
    <w:p>
      <w:pPr>
        <w:pStyle w:val="21"/>
        <w:keepNext w:val="0"/>
        <w:keepLines w:val="0"/>
        <w:pageBreakBefore w:val="0"/>
        <w:kinsoku/>
        <w:wordWrap/>
        <w:overflowPunct/>
        <w:topLinePunct w:val="0"/>
        <w:autoSpaceDE/>
        <w:autoSpaceDN/>
        <w:bidi w:val="0"/>
        <w:adjustRightInd/>
        <w:snapToGrid/>
        <w:spacing w:before="0" w:after="0" w:line="560" w:lineRule="exact"/>
        <w:ind w:firstLine="560" w:firstLineChars="200"/>
        <w:jc w:val="both"/>
        <w:textAlignment w:val="auto"/>
        <w:outlineLvl w:val="9"/>
        <w:rPr>
          <w:rFonts w:hint="eastAsia" w:ascii="仿宋" w:hAnsi="仿宋" w:eastAsia="仿宋" w:cs="仿宋"/>
          <w:b w:val="0"/>
          <w:snapToGrid/>
          <w:kern w:val="0"/>
          <w:sz w:val="28"/>
          <w:szCs w:val="28"/>
          <w:highlight w:val="none"/>
          <w:lang w:val="en-US" w:eastAsia="zh-CN" w:bidi="ar-SA"/>
        </w:rPr>
      </w:pPr>
      <w:r>
        <w:rPr>
          <w:rFonts w:hint="eastAsia" w:ascii="仿宋" w:hAnsi="仿宋" w:eastAsia="仿宋" w:cs="仿宋"/>
          <w:b w:val="0"/>
          <w:snapToGrid/>
          <w:kern w:val="0"/>
          <w:sz w:val="28"/>
          <w:szCs w:val="28"/>
          <w:highlight w:val="none"/>
          <w:lang w:val="en-US" w:eastAsia="zh-CN" w:bidi="ar-SA"/>
        </w:rPr>
        <w:t>本次评价坚持定量优先、定量与定性相结合的方式，始终遵循科学规范、公正公开、分级分类、绩效相关的基本原则。通过对</w:t>
      </w:r>
      <w:r>
        <w:rPr>
          <w:rFonts w:hint="eastAsia" w:ascii="仿宋" w:hAnsi="仿宋" w:eastAsia="仿宋" w:cs="仿宋"/>
          <w:b w:val="0"/>
          <w:bCs w:val="0"/>
          <w:snapToGrid/>
          <w:color w:val="auto"/>
          <w:kern w:val="0"/>
          <w:sz w:val="28"/>
          <w:szCs w:val="28"/>
          <w:highlight w:val="none"/>
          <w:lang w:val="en-US" w:eastAsia="zh-CN" w:bidi="ar-SA"/>
        </w:rPr>
        <w:t>经营收入项目成本性支出项目资金进行绩效评价，旨在了解项</w:t>
      </w:r>
      <w:r>
        <w:rPr>
          <w:rFonts w:hint="eastAsia" w:ascii="仿宋" w:hAnsi="仿宋" w:eastAsia="仿宋" w:cs="仿宋"/>
          <w:b w:val="0"/>
          <w:snapToGrid/>
          <w:kern w:val="0"/>
          <w:sz w:val="28"/>
          <w:szCs w:val="28"/>
          <w:highlight w:val="none"/>
          <w:lang w:val="en-US" w:eastAsia="zh-CN" w:bidi="ar-SA"/>
        </w:rPr>
        <w:t>目资金使用和项目管理情况、取得的成绩及效益，进而分析在政策执行、预算资金安排、项目实施等方面存在的问题并提出针对性建议。本次绩效评价遵循的原则包括：</w:t>
      </w:r>
    </w:p>
    <w:p>
      <w:pPr>
        <w:pStyle w:val="21"/>
        <w:keepNext w:val="0"/>
        <w:keepLines w:val="0"/>
        <w:pageBreakBefore w:val="0"/>
        <w:kinsoku/>
        <w:wordWrap/>
        <w:overflowPunct/>
        <w:topLinePunct w:val="0"/>
        <w:autoSpaceDE/>
        <w:autoSpaceDN/>
        <w:bidi w:val="0"/>
        <w:adjustRightInd/>
        <w:snapToGrid/>
        <w:spacing w:before="0" w:after="0" w:line="560" w:lineRule="exact"/>
        <w:ind w:firstLine="560" w:firstLineChars="200"/>
        <w:jc w:val="both"/>
        <w:textAlignment w:val="auto"/>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（1）科学公正。绩效评价应当运用科学合理的方法，按照规范的程序，对项目绩效进行客观、公正的反映。</w:t>
      </w:r>
    </w:p>
    <w:p>
      <w:pPr>
        <w:pStyle w:val="21"/>
        <w:keepNext w:val="0"/>
        <w:keepLines w:val="0"/>
        <w:pageBreakBefore w:val="0"/>
        <w:kinsoku/>
        <w:wordWrap/>
        <w:overflowPunct/>
        <w:topLinePunct w:val="0"/>
        <w:autoSpaceDE/>
        <w:autoSpaceDN/>
        <w:bidi w:val="0"/>
        <w:adjustRightInd/>
        <w:snapToGrid/>
        <w:spacing w:before="0" w:after="0" w:line="560" w:lineRule="exact"/>
        <w:ind w:firstLine="560" w:firstLineChars="200"/>
        <w:jc w:val="both"/>
        <w:textAlignment w:val="auto"/>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（2）统筹兼顾。单位自评、部门评价和财政评价应职责明确，各有侧重，相互衔接。单位自评应由项目单位自主实施，即“谁支出、谁自评”。部门评价和财政评价应在单位自评的基础上开展。</w:t>
      </w:r>
    </w:p>
    <w:p>
      <w:pPr>
        <w:pStyle w:val="21"/>
        <w:keepNext w:val="0"/>
        <w:keepLines w:val="0"/>
        <w:pageBreakBefore w:val="0"/>
        <w:kinsoku/>
        <w:wordWrap/>
        <w:overflowPunct/>
        <w:topLinePunct w:val="0"/>
        <w:autoSpaceDE/>
        <w:autoSpaceDN/>
        <w:bidi w:val="0"/>
        <w:adjustRightInd/>
        <w:snapToGrid/>
        <w:spacing w:before="0" w:after="0" w:line="560" w:lineRule="exact"/>
        <w:ind w:firstLine="560" w:firstLineChars="200"/>
        <w:jc w:val="both"/>
        <w:textAlignment w:val="auto"/>
        <w:outlineLvl w:val="9"/>
        <w:rPr>
          <w:rFonts w:hint="eastAsia" w:ascii="仿宋" w:hAnsi="仿宋" w:eastAsia="仿宋" w:cs="仿宋"/>
          <w:b w:val="0"/>
          <w:bCs w:val="0"/>
          <w:sz w:val="28"/>
          <w:szCs w:val="28"/>
        </w:rPr>
      </w:pPr>
      <w:r>
        <w:rPr>
          <w:rFonts w:hint="eastAsia" w:ascii="仿宋" w:hAnsi="仿宋" w:eastAsia="仿宋" w:cs="仿宋"/>
          <w:b w:val="0"/>
          <w:bCs w:val="0"/>
          <w:sz w:val="28"/>
          <w:szCs w:val="28"/>
        </w:rPr>
        <w:t>（3）激励约束。绩效评价结果应与预算安排、政策调整、改进管理实质性挂钩，体现奖优罚劣和激励相容导向，有效要安排、低效要压减、无效要问责。</w:t>
      </w:r>
    </w:p>
    <w:p>
      <w:pPr>
        <w:pStyle w:val="21"/>
        <w:keepNext w:val="0"/>
        <w:keepLines w:val="0"/>
        <w:pageBreakBefore w:val="0"/>
        <w:kinsoku/>
        <w:wordWrap/>
        <w:overflowPunct/>
        <w:topLinePunct w:val="0"/>
        <w:autoSpaceDE/>
        <w:autoSpaceDN/>
        <w:bidi w:val="0"/>
        <w:adjustRightInd/>
        <w:snapToGrid/>
        <w:spacing w:before="0" w:after="0" w:line="560" w:lineRule="exact"/>
        <w:ind w:firstLine="560" w:firstLineChars="200"/>
        <w:jc w:val="both"/>
        <w:textAlignment w:val="auto"/>
        <w:outlineLvl w:val="9"/>
        <w:rPr>
          <w:rFonts w:hint="eastAsia" w:ascii="仿宋" w:hAnsi="仿宋" w:eastAsia="仿宋" w:cs="仿宋"/>
          <w:sz w:val="28"/>
          <w:szCs w:val="28"/>
          <w:lang w:eastAsia="zh-CN"/>
        </w:rPr>
      </w:pPr>
      <w:r>
        <w:rPr>
          <w:rFonts w:hint="eastAsia" w:ascii="仿宋" w:hAnsi="仿宋" w:eastAsia="仿宋" w:cs="仿宋"/>
          <w:b w:val="0"/>
          <w:bCs w:val="0"/>
          <w:sz w:val="28"/>
          <w:szCs w:val="28"/>
        </w:rPr>
        <w:t>（4）公开透明。绩效评价结果应依法依规公开，并自觉接受社会监督。</w:t>
      </w:r>
    </w:p>
    <w:p>
      <w:pPr>
        <w:keepNext w:val="0"/>
        <w:keepLines w:val="0"/>
        <w:pageBreakBefore w:val="0"/>
        <w:kinsoku/>
        <w:wordWrap/>
        <w:overflowPunct/>
        <w:topLinePunct w:val="0"/>
        <w:autoSpaceDE/>
        <w:autoSpaceDN/>
        <w:bidi w:val="0"/>
        <w:adjustRightInd/>
        <w:snapToGrid/>
        <w:spacing w:line="560" w:lineRule="exact"/>
        <w:ind w:firstLine="546" w:firstLineChars="200"/>
        <w:textAlignment w:val="auto"/>
        <w:rPr>
          <w:rStyle w:val="25"/>
          <w:rFonts w:hint="eastAsia" w:ascii="仿宋" w:hAnsi="仿宋" w:eastAsia="仿宋" w:cs="仿宋"/>
          <w:b/>
          <w:bCs w:val="0"/>
          <w:spacing w:val="-4"/>
          <w:sz w:val="28"/>
          <w:szCs w:val="28"/>
        </w:rPr>
      </w:pPr>
      <w:r>
        <w:rPr>
          <w:rStyle w:val="25"/>
          <w:rFonts w:hint="eastAsia" w:ascii="仿宋" w:hAnsi="仿宋" w:eastAsia="仿宋" w:cs="仿宋"/>
          <w:b/>
          <w:bCs w:val="0"/>
          <w:spacing w:val="-4"/>
          <w:sz w:val="28"/>
          <w:szCs w:val="28"/>
        </w:rPr>
        <w:t>2.绩效评价指标体系</w:t>
      </w:r>
    </w:p>
    <w:p>
      <w:pPr>
        <w:pStyle w:val="53"/>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rPr>
        <w:t>绩效评价指标体系根据《预算绩效评价共性指标体系框架》（财预〔2013〕53号）、《自治区党委</w:t>
      </w:r>
      <w:r>
        <w:rPr>
          <w:rFonts w:hint="eastAsia" w:ascii="仿宋" w:hAnsi="仿宋" w:eastAsia="仿宋" w:cs="仿宋"/>
          <w:b w:val="0"/>
          <w:bCs/>
          <w:sz w:val="28"/>
          <w:szCs w:val="28"/>
          <w:highlight w:val="none"/>
          <w:lang w:eastAsia="zh-CN"/>
        </w:rPr>
        <w:t>、</w:t>
      </w:r>
      <w:r>
        <w:rPr>
          <w:rFonts w:hint="eastAsia" w:ascii="仿宋" w:hAnsi="仿宋" w:eastAsia="仿宋" w:cs="仿宋"/>
          <w:b w:val="0"/>
          <w:bCs/>
          <w:sz w:val="28"/>
          <w:szCs w:val="28"/>
          <w:highlight w:val="none"/>
        </w:rPr>
        <w:t>自治区人民政府关于全面实施预算绩效管理的实施意见》（新党发〔2018〕30号）、《关于印发</w:t>
      </w:r>
      <w:r>
        <w:rPr>
          <w:rFonts w:hint="eastAsia" w:ascii="仿宋" w:hAnsi="仿宋" w:eastAsia="仿宋" w:cs="仿宋"/>
          <w:b w:val="0"/>
          <w:bCs/>
          <w:sz w:val="28"/>
          <w:szCs w:val="28"/>
          <w:highlight w:val="none"/>
          <w:lang w:eastAsia="zh-CN"/>
        </w:rPr>
        <w:t>〈</w:t>
      </w:r>
      <w:r>
        <w:rPr>
          <w:rFonts w:hint="eastAsia" w:ascii="仿宋" w:hAnsi="仿宋" w:eastAsia="仿宋" w:cs="仿宋"/>
          <w:b w:val="0"/>
          <w:bCs/>
          <w:sz w:val="28"/>
          <w:szCs w:val="28"/>
          <w:highlight w:val="none"/>
        </w:rPr>
        <w:t>项目支出绩效评价管理办法</w:t>
      </w:r>
      <w:r>
        <w:rPr>
          <w:rFonts w:hint="eastAsia" w:ascii="仿宋" w:hAnsi="仿宋" w:eastAsia="仿宋" w:cs="仿宋"/>
          <w:b w:val="0"/>
          <w:bCs/>
          <w:sz w:val="28"/>
          <w:szCs w:val="28"/>
          <w:highlight w:val="none"/>
          <w:lang w:eastAsia="zh-CN"/>
        </w:rPr>
        <w:t>〉</w:t>
      </w:r>
      <w:r>
        <w:rPr>
          <w:rFonts w:hint="eastAsia" w:ascii="仿宋" w:hAnsi="仿宋" w:eastAsia="仿宋" w:cs="仿宋"/>
          <w:b w:val="0"/>
          <w:bCs/>
          <w:sz w:val="28"/>
          <w:szCs w:val="28"/>
          <w:highlight w:val="none"/>
        </w:rPr>
        <w:t>的通知》（财预﹝2020﹞10号）等文件精神，结合专项特点，在与专家组、项目充分协商的基础上，评价工作组细化了该项目的绩效评价指标体系（详见附表1）：</w:t>
      </w:r>
    </w:p>
    <w:p>
      <w:pPr>
        <w:pStyle w:val="53"/>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lang w:eastAsia="zh-CN"/>
        </w:rPr>
        <w:t>　　</w:t>
      </w:r>
      <w:r>
        <w:rPr>
          <w:rFonts w:hint="eastAsia" w:ascii="仿宋" w:hAnsi="仿宋" w:eastAsia="仿宋" w:cs="仿宋"/>
          <w:b w:val="0"/>
          <w:bCs/>
          <w:sz w:val="28"/>
          <w:szCs w:val="28"/>
          <w:highlight w:val="none"/>
        </w:rPr>
        <w:t>一级指标为：决策、过程、产出、效益。</w:t>
      </w:r>
    </w:p>
    <w:p>
      <w:pPr>
        <w:pStyle w:val="53"/>
        <w:keepNext w:val="0"/>
        <w:keepLines w:val="0"/>
        <w:pageBreakBefore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lang w:eastAsia="zh-CN"/>
        </w:rPr>
        <w:t>　　</w:t>
      </w:r>
      <w:r>
        <w:rPr>
          <w:rFonts w:hint="eastAsia" w:ascii="仿宋" w:hAnsi="仿宋" w:eastAsia="仿宋" w:cs="仿宋"/>
          <w:b w:val="0"/>
          <w:bCs/>
          <w:sz w:val="28"/>
          <w:szCs w:val="28"/>
          <w:highlight w:val="none"/>
        </w:rPr>
        <w:t>二级指标为：项目立项、绩效目标、资金投入、资金管理、组织实施、产出数量、产出质量、产出时效、产出成本、项目效益。</w:t>
      </w:r>
    </w:p>
    <w:p>
      <w:pPr>
        <w:pStyle w:val="21"/>
        <w:keepNext w:val="0"/>
        <w:keepLines w:val="0"/>
        <w:pageBreakBefore w:val="0"/>
        <w:kinsoku/>
        <w:wordWrap/>
        <w:overflowPunct/>
        <w:topLinePunct w:val="0"/>
        <w:autoSpaceDE/>
        <w:autoSpaceDN/>
        <w:bidi w:val="0"/>
        <w:adjustRightInd/>
        <w:snapToGrid/>
        <w:spacing w:before="0" w:after="0" w:line="560" w:lineRule="exact"/>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b w:val="0"/>
          <w:bCs/>
          <w:sz w:val="28"/>
          <w:szCs w:val="28"/>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eastAsia" w:ascii="仿宋" w:hAnsi="仿宋" w:eastAsia="仿宋" w:cs="仿宋"/>
          <w:b w:val="0"/>
          <w:bCs w:val="0"/>
          <w:color w:val="000000"/>
          <w:spacing w:val="17"/>
          <w:kern w:val="2"/>
          <w:sz w:val="28"/>
          <w:szCs w:val="28"/>
        </w:rPr>
        <w:t>。</w:t>
      </w:r>
    </w:p>
    <w:p>
      <w:pPr>
        <w:keepNext w:val="0"/>
        <w:keepLines w:val="0"/>
        <w:pageBreakBefore w:val="0"/>
        <w:numPr>
          <w:ilvl w:val="0"/>
          <w:numId w:val="0"/>
        </w:numPr>
        <w:kinsoku/>
        <w:wordWrap/>
        <w:overflowPunct/>
        <w:topLinePunct w:val="0"/>
        <w:autoSpaceDE/>
        <w:autoSpaceDN/>
        <w:bidi w:val="0"/>
        <w:adjustRightInd/>
        <w:snapToGrid/>
        <w:spacing w:line="560" w:lineRule="exact"/>
        <w:ind w:leftChars="0" w:firstLine="546" w:firstLineChars="200"/>
        <w:textAlignment w:val="auto"/>
        <w:rPr>
          <w:rStyle w:val="25"/>
          <w:rFonts w:hint="eastAsia" w:ascii="仿宋" w:hAnsi="仿宋" w:eastAsia="仿宋" w:cs="仿宋"/>
          <w:b/>
          <w:bCs w:val="0"/>
          <w:spacing w:val="-4"/>
          <w:sz w:val="28"/>
          <w:szCs w:val="28"/>
        </w:rPr>
      </w:pPr>
      <w:r>
        <w:rPr>
          <w:rStyle w:val="25"/>
          <w:rFonts w:hint="eastAsia" w:ascii="仿宋" w:hAnsi="仿宋" w:eastAsia="仿宋" w:cs="仿宋"/>
          <w:b/>
          <w:bCs w:val="0"/>
          <w:spacing w:val="-4"/>
          <w:sz w:val="28"/>
          <w:szCs w:val="28"/>
          <w:lang w:val="en-US" w:eastAsia="zh-CN"/>
        </w:rPr>
        <w:t>3.</w:t>
      </w:r>
      <w:r>
        <w:rPr>
          <w:rStyle w:val="25"/>
          <w:rFonts w:hint="eastAsia" w:ascii="仿宋" w:hAnsi="仿宋" w:eastAsia="仿宋" w:cs="仿宋"/>
          <w:b/>
          <w:bCs w:val="0"/>
          <w:spacing w:val="-4"/>
          <w:sz w:val="28"/>
          <w:szCs w:val="28"/>
        </w:rPr>
        <w:t>绩效评价方法</w:t>
      </w:r>
    </w:p>
    <w:p>
      <w:pPr>
        <w:keepNext w:val="0"/>
        <w:keepLines w:val="0"/>
        <w:pageBreakBefore w:val="0"/>
        <w:kinsoku/>
        <w:wordWrap/>
        <w:overflowPunct/>
        <w:topLinePunct w:val="0"/>
        <w:autoSpaceDE/>
        <w:autoSpaceDN/>
        <w:bidi w:val="0"/>
        <w:adjustRightInd/>
        <w:snapToGrid/>
        <w:spacing w:line="560" w:lineRule="exact"/>
        <w:ind w:firstLine="573"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本次绩效评价方法的选用坚持简便有效的原则采用成本效益分析法、比较法、综合指数评价法、公众评判法等多种方法，具体评价方法如下：</w:t>
      </w:r>
    </w:p>
    <w:p>
      <w:pPr>
        <w:keepNext w:val="0"/>
        <w:keepLines w:val="0"/>
        <w:pageBreakBefore w:val="0"/>
        <w:kinsoku/>
        <w:wordWrap/>
        <w:overflowPunct/>
        <w:topLinePunct w:val="0"/>
        <w:autoSpaceDE/>
        <w:autoSpaceDN/>
        <w:bidi w:val="0"/>
        <w:adjustRightInd/>
        <w:snapToGrid/>
        <w:spacing w:line="560" w:lineRule="exact"/>
        <w:ind w:firstLine="573"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成本效益分析法</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是指将一定时期内总成本与总效益进行对比分析，以评价绩效目标实现程度。</w:t>
      </w:r>
    </w:p>
    <w:p>
      <w:pPr>
        <w:keepNext w:val="0"/>
        <w:keepLines w:val="0"/>
        <w:pageBreakBefore w:val="0"/>
        <w:kinsoku/>
        <w:wordWrap/>
        <w:overflowPunct/>
        <w:topLinePunct w:val="0"/>
        <w:autoSpaceDE/>
        <w:autoSpaceDN/>
        <w:bidi w:val="0"/>
        <w:adjustRightInd/>
        <w:snapToGrid/>
        <w:spacing w:line="560" w:lineRule="exact"/>
        <w:ind w:firstLine="573"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比较法</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 xml:space="preserve">通过整理本项目相关资料和数据，评价数量指标的完成情况；通过分析项目的实施情况与绩效目标实现情况，评价项目实施的效果；通过分析项目资金使用情况及产生的效果，评价预算资金分配的合理性。 </w:t>
      </w:r>
    </w:p>
    <w:p>
      <w:pPr>
        <w:keepNext w:val="0"/>
        <w:keepLines w:val="0"/>
        <w:pageBreakBefore w:val="0"/>
        <w:kinsoku/>
        <w:wordWrap/>
        <w:overflowPunct/>
        <w:topLinePunct w:val="0"/>
        <w:autoSpaceDE/>
        <w:autoSpaceDN/>
        <w:bidi w:val="0"/>
        <w:adjustRightInd/>
        <w:snapToGrid/>
        <w:spacing w:line="560" w:lineRule="exact"/>
        <w:ind w:firstLine="573"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lang w:eastAsia="zh-CN"/>
        </w:rPr>
        <w:t>）综合指数评价法，是指把各项绩效指标的实际水平，对照评价标准值，分别计算各项指标评价得分，再按照设定的各项指标权数计算出综合评价得分，分析评价绩效目标实现情况的评价方法。</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公众评判法</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评价组采用实地访谈、远程访谈相结合方式，对本项目的实施情况进行充分调研，了解掌握资金分配、资金管理、资金使用、制度建设、制度执行情况。采用问卷调查方式，对受益对象开展满意度调查，进行综合评价。</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46" w:firstLineChars="200"/>
        <w:textAlignment w:val="auto"/>
        <w:rPr>
          <w:rStyle w:val="25"/>
          <w:rFonts w:hint="eastAsia" w:ascii="仿宋" w:hAnsi="仿宋" w:eastAsia="仿宋" w:cs="仿宋"/>
          <w:b/>
          <w:bCs w:val="0"/>
          <w:spacing w:val="-4"/>
          <w:sz w:val="28"/>
          <w:szCs w:val="28"/>
        </w:rPr>
      </w:pPr>
      <w:r>
        <w:rPr>
          <w:rStyle w:val="25"/>
          <w:rFonts w:hint="eastAsia" w:ascii="仿宋" w:hAnsi="仿宋" w:eastAsia="仿宋" w:cs="仿宋"/>
          <w:b/>
          <w:bCs w:val="0"/>
          <w:spacing w:val="-4"/>
          <w:sz w:val="28"/>
          <w:szCs w:val="28"/>
          <w:lang w:val="en-US" w:eastAsia="zh-CN"/>
        </w:rPr>
        <w:t>4.</w:t>
      </w:r>
      <w:r>
        <w:rPr>
          <w:rStyle w:val="25"/>
          <w:rFonts w:hint="eastAsia" w:ascii="仿宋" w:hAnsi="仿宋" w:eastAsia="仿宋" w:cs="仿宋"/>
          <w:b/>
          <w:bCs w:val="0"/>
          <w:spacing w:val="-4"/>
          <w:sz w:val="28"/>
          <w:szCs w:val="28"/>
        </w:rPr>
        <w:t>绩效评价标准</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r>
        <w:rPr>
          <w:rFonts w:hint="eastAsia" w:ascii="仿宋" w:hAnsi="仿宋" w:eastAsia="仿宋" w:cs="仿宋"/>
          <w:sz w:val="28"/>
          <w:szCs w:val="28"/>
          <w:highlight w:val="none"/>
          <w:lang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46" w:firstLineChars="200"/>
        <w:textAlignment w:val="auto"/>
        <w:rPr>
          <w:rStyle w:val="25"/>
          <w:rFonts w:hint="eastAsia" w:ascii="仿宋" w:hAnsi="仿宋" w:eastAsia="仿宋" w:cs="仿宋"/>
          <w:b/>
          <w:bCs w:val="0"/>
          <w:spacing w:val="-4"/>
          <w:sz w:val="28"/>
          <w:szCs w:val="28"/>
        </w:rPr>
      </w:pPr>
      <w:r>
        <w:rPr>
          <w:rStyle w:val="25"/>
          <w:rFonts w:hint="eastAsia" w:ascii="仿宋" w:hAnsi="仿宋" w:eastAsia="仿宋" w:cs="仿宋"/>
          <w:b/>
          <w:bCs w:val="0"/>
          <w:spacing w:val="-4"/>
          <w:sz w:val="28"/>
          <w:szCs w:val="28"/>
          <w:lang w:eastAsia="zh-CN"/>
        </w:rPr>
        <w:t>（</w:t>
      </w:r>
      <w:r>
        <w:rPr>
          <w:rStyle w:val="25"/>
          <w:rFonts w:hint="eastAsia" w:ascii="仿宋" w:hAnsi="仿宋" w:eastAsia="仿宋" w:cs="仿宋"/>
          <w:b/>
          <w:bCs w:val="0"/>
          <w:spacing w:val="-4"/>
          <w:sz w:val="28"/>
          <w:szCs w:val="28"/>
          <w:lang w:val="en-US" w:eastAsia="zh-CN"/>
        </w:rPr>
        <w:t>三</w:t>
      </w:r>
      <w:r>
        <w:rPr>
          <w:rStyle w:val="25"/>
          <w:rFonts w:hint="eastAsia" w:ascii="仿宋" w:hAnsi="仿宋" w:eastAsia="仿宋" w:cs="仿宋"/>
          <w:b/>
          <w:bCs w:val="0"/>
          <w:spacing w:val="-4"/>
          <w:sz w:val="28"/>
          <w:szCs w:val="28"/>
          <w:lang w:eastAsia="zh-CN"/>
        </w:rPr>
        <w:t>）</w:t>
      </w:r>
      <w:r>
        <w:rPr>
          <w:rStyle w:val="25"/>
          <w:rFonts w:hint="eastAsia" w:ascii="仿宋" w:hAnsi="仿宋" w:eastAsia="仿宋" w:cs="仿宋"/>
          <w:b/>
          <w:bCs w:val="0"/>
          <w:spacing w:val="-4"/>
          <w:sz w:val="28"/>
          <w:szCs w:val="28"/>
        </w:rPr>
        <w:t>绩效评价工作过程。</w:t>
      </w:r>
    </w:p>
    <w:p>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本次评价设计了评价方案、评价指标体系，通过资料分析、调研、访谈满意度调查等方式形成评价结论，在与项目单位沟通后确定评价意见，并出具评价报告。</w:t>
      </w:r>
    </w:p>
    <w:p>
      <w:pPr>
        <w:pStyle w:val="53"/>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第一阶段：</w:t>
      </w:r>
      <w:r>
        <w:rPr>
          <w:rFonts w:hint="eastAsia" w:ascii="仿宋" w:hAnsi="仿宋" w:eastAsia="仿宋" w:cs="仿宋"/>
          <w:bCs/>
          <w:sz w:val="28"/>
          <w:szCs w:val="28"/>
        </w:rPr>
        <w:t>前期准备。</w:t>
      </w:r>
      <w:r>
        <w:rPr>
          <w:rFonts w:hint="eastAsia" w:ascii="仿宋" w:hAnsi="仿宋" w:eastAsia="仿宋" w:cs="仿宋"/>
          <w:sz w:val="28"/>
          <w:szCs w:val="28"/>
          <w:highlight w:val="none"/>
        </w:rPr>
        <w:t>认真学习相关要求与规定，成立绩效评价工作组，作为绩效评价工作具体实施机构。成员构成如下：</w:t>
      </w:r>
    </w:p>
    <w:p>
      <w:pPr>
        <w:pStyle w:val="53"/>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28"/>
          <w:szCs w:val="28"/>
          <w:highlight w:val="none"/>
        </w:rPr>
      </w:pPr>
      <w:r>
        <w:rPr>
          <w:rFonts w:hint="eastAsia" w:ascii="仿宋" w:hAnsi="仿宋" w:eastAsia="仿宋" w:cs="仿宋"/>
          <w:color w:val="FF0000"/>
          <w:sz w:val="28"/>
          <w:szCs w:val="28"/>
          <w:highlight w:val="none"/>
          <w:lang w:val="en-US" w:eastAsia="zh-CN"/>
        </w:rPr>
        <w:t>　</w:t>
      </w:r>
      <w:r>
        <w:rPr>
          <w:rFonts w:hint="eastAsia" w:ascii="仿宋" w:hAnsi="仿宋" w:eastAsia="仿宋" w:cs="仿宋"/>
          <w:color w:val="auto"/>
          <w:sz w:val="28"/>
          <w:szCs w:val="28"/>
          <w:highlight w:val="none"/>
          <w:lang w:val="en-US" w:eastAsia="zh-CN"/>
        </w:rPr>
        <w:t>　候锐兵</w:t>
      </w:r>
      <w:r>
        <w:rPr>
          <w:rFonts w:hint="eastAsia" w:ascii="仿宋" w:hAnsi="仿宋" w:eastAsia="仿宋" w:cs="仿宋"/>
          <w:color w:val="auto"/>
          <w:sz w:val="28"/>
          <w:szCs w:val="28"/>
          <w:highlight w:val="none"/>
        </w:rPr>
        <w:t>任评价组组长，职务为</w:t>
      </w:r>
      <w:r>
        <w:rPr>
          <w:rFonts w:hint="eastAsia" w:ascii="仿宋" w:hAnsi="仿宋" w:eastAsia="仿宋" w:cs="仿宋"/>
          <w:color w:val="auto"/>
          <w:sz w:val="28"/>
          <w:szCs w:val="28"/>
          <w:highlight w:val="none"/>
          <w:lang w:val="en-US" w:eastAsia="zh-CN"/>
        </w:rPr>
        <w:t>副院长</w:t>
      </w:r>
      <w:r>
        <w:rPr>
          <w:rFonts w:hint="eastAsia" w:ascii="仿宋" w:hAnsi="仿宋" w:eastAsia="仿宋" w:cs="仿宋"/>
          <w:color w:val="auto"/>
          <w:sz w:val="28"/>
          <w:szCs w:val="28"/>
          <w:highlight w:val="none"/>
        </w:rPr>
        <w:t>，绩效评价工作职责为负责全盘工作。</w:t>
      </w:r>
    </w:p>
    <w:p>
      <w:pPr>
        <w:pStyle w:val="53"/>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王伯超</w:t>
      </w:r>
      <w:r>
        <w:rPr>
          <w:rFonts w:hint="eastAsia" w:ascii="仿宋" w:hAnsi="仿宋" w:eastAsia="仿宋" w:cs="仿宋"/>
          <w:color w:val="auto"/>
          <w:sz w:val="28"/>
          <w:szCs w:val="28"/>
          <w:highlight w:val="none"/>
        </w:rPr>
        <w:t>任评价组副组长，绩效评价工作职责为对项目实施情况进行实地调查。</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color w:val="auto"/>
          <w:sz w:val="28"/>
          <w:szCs w:val="28"/>
          <w:highlight w:val="none"/>
          <w:lang w:val="en-US" w:eastAsia="zh-CN"/>
        </w:rPr>
        <w:t>王丽</w:t>
      </w:r>
      <w:r>
        <w:rPr>
          <w:rFonts w:hint="eastAsia" w:ascii="仿宋" w:hAnsi="仿宋" w:eastAsia="仿宋" w:cs="仿宋"/>
          <w:color w:val="auto"/>
          <w:sz w:val="28"/>
          <w:szCs w:val="28"/>
          <w:highlight w:val="none"/>
        </w:rPr>
        <w:t>任评价组成员，绩效评价工作职责为负责资料审核等工作</w:t>
      </w:r>
      <w:r>
        <w:rPr>
          <w:rFonts w:hint="eastAsia" w:ascii="仿宋" w:hAnsi="仿宋" w:eastAsia="仿宋" w:cs="仿宋"/>
          <w:color w:val="auto"/>
          <w:sz w:val="28"/>
          <w:szCs w:val="28"/>
          <w:highlight w:val="none"/>
          <w:lang w:eastAsia="zh-CN"/>
        </w:rPr>
        <w:t>。</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bCs/>
          <w:sz w:val="28"/>
          <w:szCs w:val="28"/>
          <w:highlight w:val="none"/>
          <w:lang w:val="en-US" w:eastAsia="zh-CN"/>
        </w:rPr>
        <w:t>第二阶段：</w:t>
      </w:r>
      <w:r>
        <w:rPr>
          <w:rFonts w:hint="eastAsia" w:ascii="仿宋" w:hAnsi="仿宋" w:eastAsia="仿宋" w:cs="仿宋"/>
          <w:bCs/>
          <w:sz w:val="28"/>
          <w:szCs w:val="28"/>
          <w:highlight w:val="none"/>
        </w:rPr>
        <w:t>组织实施。</w:t>
      </w:r>
      <w:r>
        <w:rPr>
          <w:rFonts w:hint="eastAsia" w:ascii="仿宋" w:hAnsi="仿宋" w:eastAsia="仿宋" w:cs="仿宋"/>
          <w:sz w:val="28"/>
          <w:szCs w:val="28"/>
          <w:highlight w:val="none"/>
        </w:rPr>
        <w:t>经评价组通过实地调研等方式，采用综合分析法对项目的决策、管理、绩效进行的综合评价分析。</w:t>
      </w:r>
    </w:p>
    <w:p>
      <w:pPr>
        <w:pStyle w:val="53"/>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第三阶段：分析评价。首先按照指标体系进行定量、定性分析。其次开展量化打分、综合评价工作，形成初步评价结论。最后归纳整体项目情况与存在问题，撰写部门绩效评价报告。</w:t>
      </w:r>
    </w:p>
    <w:p>
      <w:pPr>
        <w:pStyle w:val="53"/>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bookmarkStart w:id="1" w:name="_Toc2618"/>
      <w:r>
        <w:rPr>
          <w:rFonts w:hint="eastAsia" w:ascii="仿宋" w:hAnsi="仿宋" w:eastAsia="仿宋" w:cs="仿宋"/>
          <w:sz w:val="28"/>
          <w:szCs w:val="28"/>
          <w:highlight w:val="none"/>
          <w:lang w:eastAsia="zh-CN"/>
        </w:rPr>
        <w:t>　　第四阶段：</w:t>
      </w:r>
      <w:r>
        <w:rPr>
          <w:rFonts w:hint="eastAsia" w:ascii="仿宋" w:hAnsi="仿宋" w:eastAsia="仿宋" w:cs="仿宋"/>
          <w:sz w:val="28"/>
          <w:szCs w:val="28"/>
          <w:highlight w:val="none"/>
        </w:rPr>
        <w:t>撰写与提交评价报告</w:t>
      </w:r>
      <w:bookmarkEnd w:id="1"/>
    </w:p>
    <w:p>
      <w:pPr>
        <w:pStyle w:val="53"/>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项目撰写绩效评价报告，按照财政局大平台绩效系统中统一格式和文本框架撰写绩效评价报告。</w:t>
      </w:r>
    </w:p>
    <w:p>
      <w:pPr>
        <w:pStyle w:val="53"/>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bookmarkStart w:id="2" w:name="_Toc5055"/>
      <w:r>
        <w:rPr>
          <w:rFonts w:hint="eastAsia" w:ascii="仿宋" w:hAnsi="仿宋" w:eastAsia="仿宋" w:cs="仿宋"/>
          <w:sz w:val="28"/>
          <w:szCs w:val="28"/>
          <w:highlight w:val="none"/>
          <w:lang w:eastAsia="zh-CN"/>
        </w:rPr>
        <w:t>　　第五阶段：</w:t>
      </w:r>
      <w:r>
        <w:rPr>
          <w:rFonts w:hint="eastAsia" w:ascii="仿宋" w:hAnsi="仿宋" w:eastAsia="仿宋" w:cs="仿宋"/>
          <w:sz w:val="28"/>
          <w:szCs w:val="28"/>
          <w:highlight w:val="none"/>
        </w:rPr>
        <w:t>归集档案</w:t>
      </w:r>
      <w:bookmarkEnd w:id="2"/>
    </w:p>
    <w:p>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highlight w:val="none"/>
        </w:rPr>
        <w:t>建立和落实档案管理制度，将项目相关资料存档，包括但不限于：评价项目基本情况和相关文件、评价实施方案、项目支付资料等相关档案。</w:t>
      </w:r>
    </w:p>
    <w:p>
      <w:pPr>
        <w:numPr>
          <w:ilvl w:val="0"/>
          <w:numId w:val="1"/>
        </w:numPr>
        <w:ind w:firstLine="643"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综合评价情况及评价结论</w:t>
      </w:r>
    </w:p>
    <w:p>
      <w:pPr>
        <w:pStyle w:val="63"/>
        <w:ind w:left="0" w:leftChars="0" w:firstLine="562" w:firstLineChars="200"/>
        <w:rPr>
          <w:rFonts w:hint="eastAsia" w:ascii="仿宋" w:hAnsi="仿宋" w:eastAsia="仿宋" w:cs="仿宋"/>
          <w:b/>
          <w:bCs/>
          <w:i w:val="0"/>
          <w:iCs w:val="0"/>
          <w:sz w:val="28"/>
          <w:szCs w:val="28"/>
          <w:highlight w:val="none"/>
        </w:rPr>
      </w:pPr>
      <w:r>
        <w:rPr>
          <w:rFonts w:hint="eastAsia" w:ascii="仿宋" w:hAnsi="仿宋" w:eastAsia="仿宋" w:cs="仿宋"/>
          <w:b/>
          <w:bCs/>
          <w:i w:val="0"/>
          <w:iCs w:val="0"/>
          <w:sz w:val="28"/>
          <w:szCs w:val="28"/>
          <w:highlight w:val="none"/>
        </w:rPr>
        <w:t>（一）综合评价情况</w:t>
      </w:r>
    </w:p>
    <w:p>
      <w:pPr>
        <w:pStyle w:val="53"/>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bookmarkStart w:id="3" w:name="_Toc68364666"/>
      <w:r>
        <w:rPr>
          <w:rFonts w:hint="eastAsia" w:ascii="仿宋" w:hAnsi="仿宋" w:eastAsia="仿宋" w:cs="仿宋"/>
          <w:sz w:val="28"/>
          <w:szCs w:val="28"/>
          <w:highlight w:val="none"/>
          <w:lang w:eastAsia="zh-CN"/>
        </w:rPr>
        <w:t>　　</w:t>
      </w:r>
      <w:r>
        <w:rPr>
          <w:rFonts w:hint="eastAsia" w:ascii="仿宋" w:hAnsi="仿宋" w:eastAsia="仿宋" w:cs="仿宋"/>
          <w:sz w:val="28"/>
          <w:szCs w:val="28"/>
          <w:highlight w:val="none"/>
        </w:rPr>
        <w:t>依据</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项目支出绩效评价管理办法</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pPr>
        <w:spacing w:line="480" w:lineRule="auto"/>
        <w:ind w:firstLine="0" w:firstLineChars="0"/>
        <w:jc w:val="left"/>
        <w:rPr>
          <w:rFonts w:hint="eastAsia" w:ascii="仿宋" w:hAnsi="仿宋" w:eastAsia="仿宋" w:cs="仿宋"/>
          <w:sz w:val="28"/>
          <w:szCs w:val="28"/>
          <w:highlight w:val="none"/>
          <w:lang w:eastAsia="zh-CN"/>
        </w:rPr>
      </w:pPr>
      <w:r>
        <w:rPr>
          <w:rFonts w:hint="eastAsia" w:ascii="仿宋" w:hAnsi="仿宋" w:eastAsia="仿宋" w:cs="仿宋"/>
          <w:kern w:val="0"/>
          <w:sz w:val="28"/>
          <w:szCs w:val="28"/>
          <w:highlight w:val="none"/>
          <w:lang w:val="en-US" w:eastAsia="zh-CN" w:bidi="ar-SA"/>
        </w:rPr>
        <w:t>　　评价组对照项目绩效评价指标体系，从决策、过程、产出和效益四个维度，通过数据采集、实地调研和问卷访谈等方式，对“</w:t>
      </w:r>
      <w:r>
        <w:rPr>
          <w:rFonts w:hint="eastAsia" w:ascii="仿宋" w:hAnsi="仿宋" w:eastAsia="仿宋" w:cs="仿宋"/>
          <w:b w:val="0"/>
          <w:bCs w:val="0"/>
          <w:snapToGrid/>
          <w:color w:val="auto"/>
          <w:kern w:val="0"/>
          <w:sz w:val="28"/>
          <w:szCs w:val="28"/>
          <w:highlight w:val="none"/>
          <w:lang w:val="en-US" w:eastAsia="zh-CN" w:bidi="ar-SA"/>
        </w:rPr>
        <w:t>经营收入项目成本性支出</w:t>
      </w:r>
      <w:r>
        <w:rPr>
          <w:rFonts w:hint="eastAsia" w:ascii="仿宋" w:hAnsi="仿宋" w:eastAsia="仿宋" w:cs="仿宋"/>
          <w:kern w:val="0"/>
          <w:sz w:val="28"/>
          <w:szCs w:val="28"/>
          <w:highlight w:val="none"/>
          <w:lang w:val="en-US" w:eastAsia="zh-CN" w:bidi="ar-SA"/>
        </w:rPr>
        <w:t>”项目绩效进行客观公正的评价，本项目总得分为100分，绩效评级</w:t>
      </w:r>
      <w:r>
        <w:rPr>
          <w:rFonts w:hint="eastAsia" w:ascii="仿宋" w:hAnsi="仿宋" w:eastAsia="仿宋" w:cs="仿宋"/>
          <w:color w:val="auto"/>
          <w:kern w:val="0"/>
          <w:sz w:val="28"/>
          <w:szCs w:val="28"/>
          <w:highlight w:val="none"/>
          <w:lang w:val="en-US" w:eastAsia="zh-CN" w:bidi="ar-SA"/>
        </w:rPr>
        <w:t>属于“优”。其中，</w:t>
      </w:r>
      <w:r>
        <w:rPr>
          <w:rFonts w:hint="eastAsia" w:ascii="仿宋" w:hAnsi="仿宋" w:eastAsia="仿宋" w:cs="仿宋"/>
          <w:kern w:val="0"/>
          <w:sz w:val="28"/>
          <w:szCs w:val="28"/>
          <w:highlight w:val="none"/>
          <w:lang w:val="en-US" w:eastAsia="zh-CN" w:bidi="ar-SA"/>
        </w:rPr>
        <w:t>决策类指标得分20分，过程类指标得分20分，产出类指标得分40分，效益类指标得分10分。</w:t>
      </w:r>
    </w:p>
    <w:p>
      <w:pPr>
        <w:pStyle w:val="53"/>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（二）综合评价结论</w:t>
      </w:r>
    </w:p>
    <w:bookmarkEnd w:id="3"/>
    <w:p>
      <w:pPr>
        <w:numPr>
          <w:ilvl w:val="0"/>
          <w:numId w:val="0"/>
        </w:numPr>
        <w:rPr>
          <w:rFonts w:hint="eastAsia" w:ascii="方正黑体_GBK" w:hAnsi="方正黑体_GBK" w:eastAsia="方正黑体_GBK" w:cs="方正黑体_GBK"/>
          <w:b/>
          <w:bCs/>
          <w:sz w:val="32"/>
          <w:szCs w:val="32"/>
          <w:highlight w:val="none"/>
        </w:rPr>
      </w:pPr>
      <w:r>
        <w:rPr>
          <w:rFonts w:hint="eastAsia" w:ascii="仿宋" w:hAnsi="仿宋" w:eastAsia="仿宋" w:cs="仿宋"/>
          <w:color w:val="auto"/>
          <w:sz w:val="30"/>
          <w:szCs w:val="30"/>
          <w:highlight w:val="none"/>
          <w:lang w:eastAsia="zh-CN"/>
        </w:rPr>
        <w:t>　　</w:t>
      </w:r>
      <w:r>
        <w:rPr>
          <w:rFonts w:hint="eastAsia" w:ascii="仿宋" w:hAnsi="仿宋" w:eastAsia="仿宋" w:cs="仿宋"/>
          <w:kern w:val="0"/>
          <w:sz w:val="28"/>
          <w:szCs w:val="28"/>
          <w:highlight w:val="none"/>
          <w:lang w:val="en-US" w:eastAsia="zh-CN" w:bidi="ar-SA"/>
        </w:rPr>
        <w:t>经评价，本项目达到了年初设立的绩效目标，在实施过程中取得了良好的成效，具体表现在：</w:t>
      </w:r>
      <w:r>
        <w:rPr>
          <w:rFonts w:hint="eastAsia" w:ascii="仿宋" w:hAnsi="仿宋" w:eastAsia="仿宋" w:cs="仿宋"/>
          <w:color w:val="auto"/>
          <w:kern w:val="0"/>
          <w:sz w:val="28"/>
          <w:szCs w:val="28"/>
          <w:highlight w:val="none"/>
          <w:lang w:val="en-US" w:eastAsia="zh-CN" w:bidi="ar-SA"/>
        </w:rPr>
        <w:t>2023按照合同的约定和任务书的规定年已完成委托方要求对各项建设工程项目进行总体安排和综合部署，推动了自治区自然资源管理工作提供强有力的技术支撑和保障服务，</w:t>
      </w:r>
      <w:r>
        <w:rPr>
          <w:rFonts w:hint="eastAsia" w:ascii="仿宋" w:hAnsi="仿宋" w:eastAsia="仿宋" w:cs="仿宋"/>
          <w:sz w:val="28"/>
          <w:szCs w:val="28"/>
          <w:highlight w:val="none"/>
          <w:lang w:val="en-US" w:eastAsia="zh-CN"/>
        </w:rPr>
        <w:t>为建设项目建设用地报批及地质灾害防治提供科学依据，</w:t>
      </w:r>
      <w:r>
        <w:rPr>
          <w:rFonts w:hint="eastAsia" w:ascii="仿宋" w:hAnsi="仿宋" w:eastAsia="仿宋" w:cs="仿宋"/>
          <w:color w:val="auto"/>
          <w:kern w:val="0"/>
          <w:sz w:val="28"/>
          <w:szCs w:val="28"/>
          <w:highlight w:val="none"/>
          <w:lang w:val="en-US" w:eastAsia="zh-CN" w:bidi="ar-SA"/>
        </w:rPr>
        <w:t>满足委托方发展需求，实现建设项目的科学化、规范化、制度化管理。保障劳务派遣人员25人社保工资正常发放，保障驻村工作组，各项经费正常支付。完成经营项目顺利实施技术咨询服务3次。</w:t>
      </w:r>
    </w:p>
    <w:p>
      <w:pPr>
        <w:ind w:firstLine="643" w:firstLineChars="200"/>
        <w:rPr>
          <w:rFonts w:hint="eastAsia" w:ascii="方正黑体_GBK" w:hAnsi="方正黑体_GBK" w:eastAsia="方正黑体_GBK" w:cs="方正黑体_GBK"/>
          <w:b/>
          <w:bCs/>
          <w:sz w:val="32"/>
          <w:szCs w:val="32"/>
          <w:highlight w:val="none"/>
          <w:lang w:eastAsia="zh-CN"/>
        </w:rPr>
      </w:pPr>
      <w:r>
        <w:rPr>
          <w:rFonts w:hint="eastAsia" w:ascii="方正黑体_GBK" w:hAnsi="方正黑体_GBK" w:eastAsia="方正黑体_GBK" w:cs="方正黑体_GBK"/>
          <w:b/>
          <w:bCs/>
          <w:sz w:val="32"/>
          <w:szCs w:val="32"/>
          <w:highlight w:val="none"/>
        </w:rPr>
        <w:t>四、绩效评价指标分析</w:t>
      </w:r>
    </w:p>
    <w:p>
      <w:pPr>
        <w:keepNext w:val="0"/>
        <w:keepLines w:val="0"/>
        <w:pageBreakBefore w:val="0"/>
        <w:kinsoku/>
        <w:wordWrap/>
        <w:overflowPunct/>
        <w:topLinePunct w:val="0"/>
        <w:autoSpaceDE/>
        <w:autoSpaceDN/>
        <w:bidi w:val="0"/>
        <w:adjustRightInd/>
        <w:snapToGrid/>
        <w:spacing w:line="560" w:lineRule="exact"/>
        <w:ind w:firstLine="546" w:firstLineChars="200"/>
        <w:textAlignment w:val="auto"/>
        <w:rPr>
          <w:rFonts w:hint="eastAsia" w:ascii="仿宋" w:hAnsi="仿宋" w:eastAsia="仿宋" w:cs="仿宋"/>
          <w:b/>
          <w:bCs w:val="0"/>
          <w:spacing w:val="-4"/>
          <w:sz w:val="28"/>
          <w:szCs w:val="28"/>
        </w:rPr>
      </w:pPr>
      <w:r>
        <w:rPr>
          <w:rFonts w:hint="eastAsia" w:ascii="仿宋" w:hAnsi="仿宋" w:eastAsia="仿宋" w:cs="仿宋"/>
          <w:b/>
          <w:bCs w:val="0"/>
          <w:spacing w:val="-4"/>
          <w:sz w:val="28"/>
          <w:szCs w:val="28"/>
        </w:rPr>
        <w:t>（一）项目决策情况</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项目决策类指标包括项目立项、绩效目标和资金投入三方面的内容，由6个三级指标构成，权重分为 20 分，实际得分20分，得分率为100%。</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（1）立项依据充分性：</w:t>
      </w:r>
      <w:bookmarkStart w:id="4" w:name="_GoBack"/>
      <w:r>
        <w:rPr>
          <w:rFonts w:hint="eastAsia" w:ascii="仿宋" w:hAnsi="仿宋" w:eastAsia="仿宋" w:cs="仿宋"/>
          <w:color w:val="000000"/>
          <w:kern w:val="0"/>
          <w:sz w:val="28"/>
          <w:szCs w:val="28"/>
          <w:highlight w:val="none"/>
          <w:lang w:val="en-US" w:eastAsia="zh-CN" w:bidi="ar"/>
        </w:rPr>
        <w:t xml:space="preserve">《自治区自然资源厅“访惠聚驻村工作2022年度经费保障方案”》的通知，及新规院党发（2021）4号文内控管控制度 </w:t>
      </w:r>
      <w:bookmarkEnd w:id="4"/>
      <w:r>
        <w:rPr>
          <w:rFonts w:hint="eastAsia" w:ascii="仿宋" w:hAnsi="仿宋" w:eastAsia="仿宋" w:cs="仿宋"/>
          <w:color w:val="000000"/>
          <w:kern w:val="0"/>
          <w:sz w:val="28"/>
          <w:szCs w:val="28"/>
          <w:highlight w:val="none"/>
          <w:lang w:val="en-US" w:eastAsia="zh-CN" w:bidi="ar"/>
        </w:rPr>
        <w:t>，并结合自治区自然资源规划研究院职责组织实施。围绕自治区自</w:t>
      </w:r>
      <w:r>
        <w:rPr>
          <w:rFonts w:hint="eastAsia" w:ascii="仿宋" w:hAnsi="仿宋" w:eastAsia="仿宋" w:cs="仿宋"/>
          <w:sz w:val="28"/>
          <w:szCs w:val="28"/>
          <w:highlight w:val="none"/>
          <w:lang w:val="en-US" w:eastAsia="zh-CN"/>
        </w:rPr>
        <w:t>然资源规划研究院年度工作重</w:t>
      </w:r>
      <w:r>
        <w:rPr>
          <w:rFonts w:hint="eastAsia" w:ascii="仿宋" w:hAnsi="仿宋" w:eastAsia="仿宋" w:cs="仿宋"/>
          <w:sz w:val="28"/>
          <w:szCs w:val="28"/>
          <w:highlight w:val="none"/>
        </w:rPr>
        <w:t>点和工作计划制定经费预算，根据评分标准，该指标不扣分，得3分。</w:t>
      </w:r>
    </w:p>
    <w:p>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（2）立项程序规范性：</w:t>
      </w:r>
      <w:r>
        <w:rPr>
          <w:rFonts w:hint="eastAsia" w:ascii="仿宋" w:hAnsi="仿宋" w:eastAsia="仿宋" w:cs="仿宋"/>
          <w:sz w:val="28"/>
          <w:szCs w:val="28"/>
          <w:highlight w:val="none"/>
        </w:rPr>
        <w:t>根据决策依据编制工作计划和经费预算，经过与</w:t>
      </w:r>
      <w:r>
        <w:rPr>
          <w:rFonts w:hint="eastAsia" w:ascii="仿宋" w:hAnsi="仿宋" w:eastAsia="仿宋" w:cs="仿宋"/>
          <w:sz w:val="28"/>
          <w:szCs w:val="28"/>
          <w:highlight w:val="none"/>
          <w:lang w:val="en-US" w:eastAsia="zh-CN"/>
        </w:rPr>
        <w:t>自治区自然资源规划研究院财经领导小组</w:t>
      </w:r>
      <w:r>
        <w:rPr>
          <w:rFonts w:hint="eastAsia" w:ascii="仿宋" w:hAnsi="仿宋" w:eastAsia="仿宋" w:cs="仿宋"/>
          <w:sz w:val="28"/>
          <w:szCs w:val="28"/>
          <w:highlight w:val="none"/>
        </w:rPr>
        <w:t>进行沟通、筛选确定经费预算计划，上</w:t>
      </w:r>
      <w:r>
        <w:rPr>
          <w:rFonts w:hint="eastAsia" w:ascii="仿宋" w:hAnsi="仿宋" w:eastAsia="仿宋" w:cs="仿宋"/>
          <w:sz w:val="28"/>
          <w:szCs w:val="28"/>
          <w:highlight w:val="none"/>
          <w:lang w:val="en-US" w:eastAsia="zh-CN"/>
        </w:rPr>
        <w:t>局务</w:t>
      </w:r>
      <w:r>
        <w:rPr>
          <w:rFonts w:hint="eastAsia" w:ascii="仿宋" w:hAnsi="仿宋" w:eastAsia="仿宋" w:cs="仿宋"/>
          <w:sz w:val="28"/>
          <w:szCs w:val="28"/>
          <w:highlight w:val="none"/>
        </w:rPr>
        <w:t>会研究确定最终预算方案，根据评分标准，该指标不扣分，得2分。</w:t>
      </w:r>
    </w:p>
    <w:p>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（3）绩效目标合理性</w:t>
      </w:r>
      <w:r>
        <w:rPr>
          <w:rFonts w:hint="eastAsia" w:ascii="仿宋" w:hAnsi="仿宋" w:eastAsia="仿宋" w:cs="仿宋"/>
          <w:sz w:val="28"/>
          <w:szCs w:val="28"/>
          <w:highlight w:val="none"/>
        </w:rPr>
        <w:t>：制定了实施方案，明确了总体思路及目标、并对任务进行了详细分解，对目标进行了细化，根据评分标准，该指标不扣分，得3分。</w:t>
      </w:r>
    </w:p>
    <w:p>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（4）绩效指标明确性：</w:t>
      </w:r>
      <w:r>
        <w:rPr>
          <w:rFonts w:hint="eastAsia" w:ascii="仿宋" w:hAnsi="仿宋" w:eastAsia="仿宋" w:cs="仿宋"/>
          <w:sz w:val="28"/>
          <w:szCs w:val="28"/>
          <w:highlight w:val="none"/>
        </w:rPr>
        <w:t>将项目绩效目标细化分解为具体的绩效指标，</w:t>
      </w:r>
      <w:r>
        <w:rPr>
          <w:rFonts w:hint="eastAsia" w:ascii="仿宋" w:hAnsi="仿宋" w:eastAsia="仿宋" w:cs="仿宋"/>
          <w:color w:val="auto"/>
          <w:sz w:val="28"/>
          <w:szCs w:val="28"/>
          <w:highlight w:val="none"/>
        </w:rPr>
        <w:t>根据评分标准，该指标不扣分，得2分。</w:t>
      </w:r>
    </w:p>
    <w:p>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lang w:eastAsia="zh-CN"/>
        </w:rPr>
        <w:t>　　</w:t>
      </w:r>
      <w:r>
        <w:rPr>
          <w:rFonts w:hint="eastAsia" w:ascii="仿宋" w:hAnsi="仿宋" w:eastAsia="仿宋" w:cs="仿宋"/>
          <w:b/>
          <w:bCs/>
          <w:color w:val="auto"/>
          <w:sz w:val="28"/>
          <w:szCs w:val="28"/>
          <w:highlight w:val="none"/>
        </w:rPr>
        <w:t>（5）预算编制科学性：</w:t>
      </w:r>
      <w:r>
        <w:rPr>
          <w:rFonts w:hint="eastAsia" w:ascii="仿宋" w:hAnsi="仿宋" w:eastAsia="仿宋" w:cs="仿宋"/>
          <w:color w:val="auto"/>
          <w:sz w:val="28"/>
          <w:szCs w:val="28"/>
          <w:highlight w:val="none"/>
        </w:rPr>
        <w:t>预算编制经</w:t>
      </w:r>
      <w:r>
        <w:rPr>
          <w:rFonts w:hint="eastAsia" w:ascii="仿宋" w:hAnsi="仿宋" w:eastAsia="仿宋" w:cs="仿宋"/>
          <w:color w:val="auto"/>
          <w:sz w:val="28"/>
          <w:szCs w:val="28"/>
          <w:highlight w:val="none"/>
          <w:lang w:val="en-US" w:eastAsia="zh-CN"/>
        </w:rPr>
        <w:t>经过自然资源厅按照每村12.5万元/年下拨，实际完成</w:t>
      </w:r>
      <w:r>
        <w:rPr>
          <w:rFonts w:hint="eastAsia" w:ascii="仿宋" w:hAnsi="仿宋" w:eastAsia="仿宋" w:cs="仿宋"/>
          <w:color w:val="auto"/>
          <w:sz w:val="28"/>
          <w:szCs w:val="28"/>
          <w:highlight w:val="none"/>
        </w:rPr>
        <w:t>内容与项目内容匹配，项目投资额与工作任务相匹配，根据评分标准，该指标不扣分，得5分。</w:t>
      </w:r>
    </w:p>
    <w:p>
      <w:pPr>
        <w:keepNext w:val="0"/>
        <w:keepLines w:val="0"/>
        <w:pageBreakBefore w:val="0"/>
        <w:kinsoku/>
        <w:wordWrap/>
        <w:overflowPunct/>
        <w:topLinePunct w:val="0"/>
        <w:autoSpaceDE/>
        <w:autoSpaceDN/>
        <w:bidi w:val="0"/>
        <w:adjustRightInd/>
        <w:snapToGrid/>
        <w:spacing w:line="560" w:lineRule="exact"/>
        <w:ind w:firstLine="562" w:firstLineChars="200"/>
        <w:textAlignment w:val="auto"/>
        <w:outlineLvl w:val="0"/>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（6）资金分配合理性：</w:t>
      </w:r>
      <w:r>
        <w:rPr>
          <w:rFonts w:hint="eastAsia" w:ascii="仿宋" w:hAnsi="仿宋" w:eastAsia="仿宋" w:cs="仿宋"/>
          <w:color w:val="auto"/>
          <w:sz w:val="28"/>
          <w:szCs w:val="36"/>
          <w:highlight w:val="none"/>
          <w:lang w:val="en-US" w:eastAsia="zh-CN"/>
        </w:rPr>
        <w:t>资金分配按照</w:t>
      </w:r>
      <w:r>
        <w:rPr>
          <w:rFonts w:hint="eastAsia" w:ascii="仿宋" w:hAnsi="仿宋" w:eastAsia="仿宋" w:cs="仿宋"/>
          <w:color w:val="auto"/>
          <w:kern w:val="0"/>
          <w:sz w:val="28"/>
          <w:szCs w:val="28"/>
          <w:highlight w:val="none"/>
          <w:lang w:val="en-US" w:eastAsia="zh-CN" w:bidi="ar"/>
        </w:rPr>
        <w:t>《自治区自然资源厅“访惠聚驻村工作2022年度经费保障方案”》的通知</w:t>
      </w:r>
      <w:r>
        <w:rPr>
          <w:rFonts w:hint="eastAsia" w:ascii="仿宋" w:hAnsi="仿宋" w:eastAsia="仿宋" w:cs="仿宋"/>
          <w:color w:val="auto"/>
          <w:sz w:val="28"/>
          <w:szCs w:val="36"/>
          <w:highlight w:val="none"/>
          <w:lang w:val="zh-CN" w:eastAsia="zh-CN"/>
        </w:rPr>
        <w:t>，</w:t>
      </w:r>
      <w:r>
        <w:rPr>
          <w:rFonts w:hint="eastAsia" w:ascii="仿宋" w:hAnsi="仿宋" w:eastAsia="仿宋" w:cs="仿宋"/>
          <w:color w:val="auto"/>
          <w:sz w:val="28"/>
          <w:szCs w:val="36"/>
          <w:highlight w:val="none"/>
          <w:lang w:val="en-US" w:eastAsia="zh-CN"/>
        </w:rPr>
        <w:t>资金分配与实际相适应，根据</w:t>
      </w:r>
      <w:r>
        <w:rPr>
          <w:rFonts w:hint="eastAsia" w:ascii="仿宋" w:hAnsi="仿宋" w:eastAsia="仿宋" w:cs="仿宋"/>
          <w:color w:val="auto"/>
          <w:sz w:val="28"/>
          <w:szCs w:val="28"/>
          <w:highlight w:val="none"/>
        </w:rPr>
        <w:t>评分标准，该指标不扣分，得5分</w:t>
      </w:r>
      <w:r>
        <w:rPr>
          <w:rFonts w:hint="eastAsia" w:ascii="仿宋" w:hAnsi="仿宋" w:eastAsia="仿宋" w:cs="仿宋"/>
          <w:color w:val="auto"/>
          <w:sz w:val="28"/>
          <w:szCs w:val="28"/>
          <w:highlight w:val="none"/>
          <w:lang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46" w:firstLineChars="200"/>
        <w:textAlignment w:val="auto"/>
        <w:outlineLvl w:val="0"/>
        <w:rPr>
          <w:rFonts w:hint="eastAsia" w:ascii="仿宋" w:hAnsi="仿宋" w:eastAsia="仿宋" w:cs="仿宋"/>
          <w:b/>
          <w:bCs w:val="0"/>
          <w:color w:val="auto"/>
          <w:spacing w:val="-4"/>
          <w:sz w:val="28"/>
          <w:szCs w:val="28"/>
          <w:highlight w:val="none"/>
        </w:rPr>
      </w:pPr>
      <w:r>
        <w:rPr>
          <w:rFonts w:hint="eastAsia" w:ascii="仿宋" w:hAnsi="仿宋" w:eastAsia="仿宋" w:cs="仿宋"/>
          <w:b/>
          <w:bCs w:val="0"/>
          <w:color w:val="auto"/>
          <w:spacing w:val="-4"/>
          <w:sz w:val="28"/>
          <w:szCs w:val="28"/>
          <w:highlight w:val="none"/>
          <w:lang w:eastAsia="zh-CN"/>
        </w:rPr>
        <w:t>（</w:t>
      </w:r>
      <w:r>
        <w:rPr>
          <w:rFonts w:hint="eastAsia" w:ascii="仿宋" w:hAnsi="仿宋" w:eastAsia="仿宋" w:cs="仿宋"/>
          <w:b/>
          <w:bCs w:val="0"/>
          <w:color w:val="auto"/>
          <w:spacing w:val="-4"/>
          <w:sz w:val="28"/>
          <w:szCs w:val="28"/>
          <w:highlight w:val="none"/>
          <w:lang w:val="en-US" w:eastAsia="zh-CN"/>
        </w:rPr>
        <w:t>二</w:t>
      </w:r>
      <w:r>
        <w:rPr>
          <w:rFonts w:hint="eastAsia" w:ascii="仿宋" w:hAnsi="仿宋" w:eastAsia="仿宋" w:cs="仿宋"/>
          <w:b/>
          <w:bCs w:val="0"/>
          <w:color w:val="auto"/>
          <w:spacing w:val="-4"/>
          <w:sz w:val="28"/>
          <w:szCs w:val="28"/>
          <w:highlight w:val="none"/>
          <w:lang w:eastAsia="zh-CN"/>
        </w:rPr>
        <w:t>）</w:t>
      </w:r>
      <w:r>
        <w:rPr>
          <w:rFonts w:hint="eastAsia" w:ascii="仿宋" w:hAnsi="仿宋" w:eastAsia="仿宋" w:cs="仿宋"/>
          <w:b/>
          <w:bCs w:val="0"/>
          <w:color w:val="auto"/>
          <w:spacing w:val="-4"/>
          <w:sz w:val="28"/>
          <w:szCs w:val="28"/>
          <w:highlight w:val="none"/>
        </w:rPr>
        <w:t>项目过程情况。</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outlineLvl w:val="0"/>
        <w:rPr>
          <w:rFonts w:hint="eastAsia" w:ascii="仿宋" w:hAnsi="仿宋" w:eastAsia="仿宋" w:cs="仿宋"/>
          <w:color w:val="auto"/>
          <w:sz w:val="28"/>
          <w:szCs w:val="28"/>
          <w:highlight w:val="none"/>
        </w:rPr>
      </w:pPr>
      <w:r>
        <w:rPr>
          <w:rFonts w:hint="eastAsia" w:ascii="仿宋" w:hAnsi="仿宋" w:eastAsia="仿宋" w:cs="仿宋"/>
          <w:sz w:val="28"/>
          <w:szCs w:val="28"/>
          <w:highlight w:val="none"/>
        </w:rPr>
        <w:t>项目过程类指标包括资金管理和组织实施两方面的内容，由 5个三级</w:t>
      </w:r>
      <w:r>
        <w:rPr>
          <w:rFonts w:hint="eastAsia" w:ascii="仿宋" w:hAnsi="仿宋" w:eastAsia="仿宋" w:cs="仿宋"/>
          <w:color w:val="auto"/>
          <w:sz w:val="28"/>
          <w:szCs w:val="28"/>
          <w:highlight w:val="none"/>
        </w:rPr>
        <w:t>指标构成，权重分为20分，实际得分20 分，得分率为100%。</w:t>
      </w:r>
    </w:p>
    <w:p>
      <w:pPr>
        <w:pageBreakBefore w:val="0"/>
        <w:widowControl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1</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资金到位率：</w:t>
      </w:r>
      <w:r>
        <w:rPr>
          <w:rFonts w:hint="eastAsia" w:ascii="仿宋" w:hAnsi="仿宋" w:eastAsia="仿宋" w:cs="仿宋"/>
          <w:color w:val="auto"/>
          <w:sz w:val="28"/>
          <w:szCs w:val="28"/>
          <w:highlight w:val="none"/>
          <w:lang w:val="en-US" w:eastAsia="zh-CN"/>
        </w:rPr>
        <w:t>该项目总投资700万元，实际到位资金699.97万元，其中当年财政拨款0</w:t>
      </w:r>
      <w:r>
        <w:rPr>
          <w:rFonts w:hint="eastAsia" w:ascii="仿宋" w:hAnsi="仿宋" w:eastAsia="仿宋" w:cs="仿宋"/>
          <w:color w:val="auto"/>
          <w:sz w:val="28"/>
          <w:szCs w:val="28"/>
          <w:highlight w:val="none"/>
        </w:rPr>
        <w:t>万元，</w:t>
      </w:r>
      <w:r>
        <w:rPr>
          <w:rFonts w:hint="eastAsia" w:ascii="仿宋" w:hAnsi="仿宋" w:eastAsia="仿宋" w:cs="仿宋"/>
          <w:color w:val="auto"/>
          <w:sz w:val="28"/>
          <w:szCs w:val="28"/>
          <w:highlight w:val="none"/>
          <w:lang w:val="en-US" w:eastAsia="zh-CN"/>
        </w:rPr>
        <w:t>本年其他资金699.97万元，资金足额拨付到位，根据评分标准，该指标不扣分，得5分。</w:t>
      </w:r>
      <w:r>
        <w:rPr>
          <w:rFonts w:hint="eastAsia" w:ascii="仿宋" w:hAnsi="仿宋" w:eastAsia="仿宋" w:cs="仿宋"/>
          <w:color w:val="auto"/>
          <w:sz w:val="28"/>
          <w:szCs w:val="28"/>
          <w:highlight w:val="none"/>
        </w:rPr>
        <w:t xml:space="preserve">   </w:t>
      </w:r>
    </w:p>
    <w:p>
      <w:pPr>
        <w:keepNext w:val="0"/>
        <w:keepLines w:val="0"/>
        <w:pageBreakBefore w:val="0"/>
        <w:numPr>
          <w:ilvl w:val="0"/>
          <w:numId w:val="0"/>
        </w:numPr>
        <w:tabs>
          <w:tab w:val="right" w:leader="dot" w:pos="8296"/>
        </w:tabs>
        <w:kinsoku/>
        <w:wordWrap/>
        <w:overflowPunct/>
        <w:topLinePunct w:val="0"/>
        <w:autoSpaceDE/>
        <w:autoSpaceDN/>
        <w:bidi w:val="0"/>
        <w:adjustRightInd/>
        <w:snapToGrid/>
        <w:spacing w:before="120" w:after="120" w:line="560" w:lineRule="exact"/>
        <w:ind w:firstLine="0" w:firstLineChars="0"/>
        <w:jc w:val="left"/>
        <w:textAlignment w:val="auto"/>
        <w:rPr>
          <w:rFonts w:hint="eastAsia" w:ascii="仿宋" w:hAnsi="仿宋" w:eastAsia="仿宋" w:cs="仿宋"/>
          <w:sz w:val="28"/>
          <w:szCs w:val="28"/>
          <w:highlight w:val="none"/>
        </w:rPr>
      </w:pPr>
      <w:r>
        <w:rPr>
          <w:rFonts w:hint="eastAsia" w:ascii="仿宋" w:hAnsi="仿宋" w:eastAsia="仿宋" w:cs="仿宋"/>
          <w:b/>
          <w:bCs/>
          <w:color w:val="auto"/>
          <w:sz w:val="28"/>
          <w:szCs w:val="28"/>
          <w:highlight w:val="none"/>
          <w:lang w:eastAsia="zh-CN"/>
        </w:rPr>
        <w:t>　　（</w:t>
      </w:r>
      <w:r>
        <w:rPr>
          <w:rFonts w:hint="eastAsia" w:ascii="仿宋" w:hAnsi="仿宋" w:eastAsia="仿宋" w:cs="仿宋"/>
          <w:b/>
          <w:bCs/>
          <w:color w:val="auto"/>
          <w:sz w:val="28"/>
          <w:szCs w:val="28"/>
          <w:highlight w:val="none"/>
          <w:lang w:val="en-US" w:eastAsia="zh-CN"/>
        </w:rPr>
        <w:t>2</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预算执行率：</w:t>
      </w:r>
      <w:r>
        <w:rPr>
          <w:rFonts w:hint="eastAsia" w:ascii="仿宋" w:hAnsi="仿宋" w:eastAsia="仿宋" w:cs="仿宋"/>
          <w:color w:val="auto"/>
          <w:kern w:val="0"/>
          <w:sz w:val="28"/>
          <w:szCs w:val="28"/>
          <w:highlight w:val="none"/>
          <w:lang w:val="en-US" w:eastAsia="zh-CN" w:bidi="ar"/>
        </w:rPr>
        <w:t>本项目申请预算金额为700万元，预算批复实际下达金额为 700万元，截至2022年12月31日，资金执行699.97万元，资金执行率100%。</w:t>
      </w:r>
      <w:r>
        <w:rPr>
          <w:rFonts w:hint="eastAsia" w:ascii="仿宋" w:hAnsi="仿宋" w:eastAsia="仿宋" w:cs="仿宋"/>
          <w:color w:val="auto"/>
          <w:sz w:val="28"/>
          <w:szCs w:val="28"/>
          <w:highlight w:val="none"/>
        </w:rPr>
        <w:t>项目资金支出总体能够按照预算执行，根据</w:t>
      </w:r>
      <w:r>
        <w:rPr>
          <w:rFonts w:hint="eastAsia" w:ascii="仿宋" w:hAnsi="仿宋" w:eastAsia="仿宋" w:cs="仿宋"/>
          <w:sz w:val="28"/>
          <w:szCs w:val="28"/>
          <w:highlight w:val="none"/>
        </w:rPr>
        <w:t>评分标准，该指标不扣分，得5分。</w:t>
      </w:r>
    </w:p>
    <w:p>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（3）资金使用</w:t>
      </w:r>
      <w:r>
        <w:rPr>
          <w:rFonts w:hint="eastAsia" w:ascii="仿宋" w:hAnsi="仿宋" w:eastAsia="仿宋" w:cs="仿宋"/>
          <w:color w:val="000000"/>
          <w:kern w:val="0"/>
          <w:sz w:val="28"/>
          <w:szCs w:val="28"/>
          <w:highlight w:val="none"/>
          <w:lang w:val="en-US" w:eastAsia="zh-CN" w:bidi="ar"/>
        </w:rPr>
        <w:t>合规性：根据关于印发《自治区自然资源厅“访惠聚驻村工作2022年度经费保障方案”》的通知符合预算批复规定用途，不存在截留、挤占、挪用、虚列支出等情况，未发</w:t>
      </w:r>
      <w:r>
        <w:rPr>
          <w:rFonts w:hint="eastAsia" w:ascii="仿宋" w:hAnsi="仿宋" w:eastAsia="仿宋" w:cs="仿宋"/>
          <w:color w:val="000000"/>
          <w:kern w:val="0"/>
          <w:sz w:val="28"/>
          <w:szCs w:val="28"/>
          <w:lang w:val="en-US" w:eastAsia="zh-CN" w:bidi="ar"/>
        </w:rPr>
        <w:t>现违规使用情况，根据评分标准，该指标不扣分，得5分。</w:t>
      </w:r>
    </w:p>
    <w:p>
      <w:pPr>
        <w:ind w:firstLine="0" w:firstLineChars="0"/>
        <w:rPr>
          <w:rFonts w:hint="eastAsia" w:ascii="仿宋" w:hAnsi="仿宋" w:eastAsia="仿宋" w:cs="仿宋"/>
          <w:sz w:val="28"/>
          <w:szCs w:val="28"/>
          <w:highlight w:val="none"/>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lang w:val="en-US" w:eastAsia="zh-CN"/>
        </w:rPr>
        <w:t>4</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管理制度健全性：</w:t>
      </w:r>
      <w:r>
        <w:rPr>
          <w:rFonts w:hint="eastAsia" w:ascii="仿宋" w:hAnsi="仿宋" w:eastAsia="仿宋" w:cs="仿宋"/>
          <w:color w:val="000000"/>
          <w:kern w:val="0"/>
          <w:sz w:val="28"/>
          <w:szCs w:val="28"/>
          <w:lang w:val="en-US" w:eastAsia="zh-CN" w:bidi="ar"/>
        </w:rPr>
        <w:t>该项目严格按照《</w:t>
      </w:r>
      <w:r>
        <w:rPr>
          <w:rFonts w:hint="eastAsia" w:ascii="仿宋" w:hAnsi="仿宋" w:eastAsia="仿宋" w:cs="仿宋"/>
          <w:sz w:val="28"/>
          <w:szCs w:val="28"/>
          <w:highlight w:val="none"/>
          <w:lang w:val="en-US" w:eastAsia="zh-CN"/>
        </w:rPr>
        <w:t>自治区自然资源规划研究院</w:t>
      </w:r>
      <w:r>
        <w:rPr>
          <w:rFonts w:hint="eastAsia" w:ascii="仿宋" w:hAnsi="仿宋" w:eastAsia="仿宋" w:cs="仿宋"/>
          <w:color w:val="000000"/>
          <w:kern w:val="0"/>
          <w:sz w:val="28"/>
          <w:szCs w:val="28"/>
          <w:lang w:val="en-US" w:eastAsia="zh-CN" w:bidi="ar"/>
        </w:rPr>
        <w:t>财务制</w:t>
      </w:r>
      <w:r>
        <w:rPr>
          <w:rFonts w:hint="eastAsia" w:ascii="仿宋" w:hAnsi="仿宋" w:eastAsia="仿宋" w:cs="仿宋"/>
          <w:color w:val="auto"/>
          <w:kern w:val="0"/>
          <w:sz w:val="28"/>
          <w:szCs w:val="28"/>
          <w:lang w:val="en-US" w:eastAsia="zh-CN" w:bidi="ar"/>
        </w:rPr>
        <w:t>度》及项目相关资金</w:t>
      </w:r>
      <w:r>
        <w:rPr>
          <w:rFonts w:hint="eastAsia" w:ascii="仿宋" w:hAnsi="仿宋" w:eastAsia="仿宋" w:cs="仿宋"/>
          <w:sz w:val="28"/>
          <w:szCs w:val="28"/>
          <w:highlight w:val="none"/>
        </w:rPr>
        <w:t>相关的制度和管理规定</w:t>
      </w:r>
      <w:r>
        <w:rPr>
          <w:rFonts w:hint="eastAsia" w:ascii="仿宋" w:hAnsi="仿宋" w:eastAsia="仿宋" w:cs="仿宋"/>
          <w:color w:val="000000"/>
          <w:kern w:val="0"/>
          <w:sz w:val="28"/>
          <w:szCs w:val="28"/>
          <w:lang w:val="en-US" w:eastAsia="zh-CN" w:bidi="ar"/>
        </w:rPr>
        <w:t>实施，</w:t>
      </w:r>
      <w:r>
        <w:rPr>
          <w:rFonts w:hint="eastAsia" w:ascii="仿宋" w:hAnsi="仿宋" w:eastAsia="仿宋" w:cs="仿宋"/>
          <w:sz w:val="28"/>
          <w:szCs w:val="28"/>
          <w:highlight w:val="none"/>
        </w:rPr>
        <w:t>对财政专项资金进行严格管理，基本做到了专款专用，根据评分标准，该指标不扣分，得2分。</w:t>
      </w:r>
    </w:p>
    <w:p>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8"/>
          <w:szCs w:val="28"/>
          <w:highlight w:val="none"/>
          <w:lang w:eastAsia="zh-CN"/>
        </w:rPr>
      </w:pPr>
      <w:r>
        <w:rPr>
          <w:rFonts w:hint="eastAsia" w:ascii="仿宋" w:hAnsi="仿宋" w:eastAsia="仿宋" w:cs="仿宋"/>
          <w:b/>
          <w:bCs/>
          <w:sz w:val="28"/>
          <w:szCs w:val="28"/>
          <w:highlight w:val="none"/>
          <w:lang w:eastAsia="zh-CN"/>
        </w:rPr>
        <w:t>　　</w:t>
      </w:r>
      <w:r>
        <w:rPr>
          <w:rFonts w:hint="eastAsia" w:ascii="仿宋" w:hAnsi="仿宋" w:eastAsia="仿宋" w:cs="仿宋"/>
          <w:b/>
          <w:bCs/>
          <w:sz w:val="28"/>
          <w:szCs w:val="28"/>
          <w:highlight w:val="none"/>
        </w:rPr>
        <w:t>（5）制度执行有效性</w:t>
      </w:r>
      <w:r>
        <w:rPr>
          <w:rFonts w:hint="eastAsia" w:ascii="仿宋" w:hAnsi="仿宋" w:eastAsia="仿宋" w:cs="仿宋"/>
          <w:sz w:val="28"/>
          <w:szCs w:val="28"/>
          <w:highlight w:val="none"/>
        </w:rPr>
        <w:t>：由部门提出经费预算支出可行性方案，经过与</w:t>
      </w:r>
      <w:r>
        <w:rPr>
          <w:rFonts w:hint="eastAsia" w:ascii="仿宋" w:hAnsi="仿宋" w:eastAsia="仿宋" w:cs="仿宋"/>
          <w:sz w:val="28"/>
          <w:szCs w:val="28"/>
          <w:highlight w:val="none"/>
          <w:lang w:val="en-US" w:eastAsia="zh-CN"/>
        </w:rPr>
        <w:t>财经领导小组</w:t>
      </w:r>
      <w:r>
        <w:rPr>
          <w:rFonts w:hint="eastAsia" w:ascii="仿宋" w:hAnsi="仿宋" w:eastAsia="仿宋" w:cs="仿宋"/>
          <w:sz w:val="28"/>
          <w:szCs w:val="28"/>
          <w:highlight w:val="none"/>
        </w:rPr>
        <w:t>沟通后，报</w:t>
      </w:r>
      <w:r>
        <w:rPr>
          <w:rFonts w:hint="eastAsia" w:ascii="仿宋" w:hAnsi="仿宋" w:eastAsia="仿宋" w:cs="仿宋"/>
          <w:sz w:val="28"/>
          <w:szCs w:val="28"/>
          <w:highlight w:val="none"/>
          <w:lang w:eastAsia="zh-CN"/>
        </w:rPr>
        <w:t>局务会</w:t>
      </w:r>
      <w:r>
        <w:rPr>
          <w:rFonts w:hint="eastAsia" w:ascii="仿宋" w:hAnsi="仿宋" w:eastAsia="仿宋" w:cs="仿宋"/>
          <w:sz w:val="28"/>
          <w:szCs w:val="28"/>
          <w:highlight w:val="none"/>
        </w:rPr>
        <w:t>会议研究执行，财务对资金的使用合法合规性进行监督，年底对资金使用效果进行自评，根据评分标准，该指标不扣分，得3分</w:t>
      </w:r>
      <w:r>
        <w:rPr>
          <w:rFonts w:hint="eastAsia" w:ascii="仿宋" w:hAnsi="仿宋" w:eastAsia="仿宋" w:cs="仿宋"/>
          <w:sz w:val="28"/>
          <w:szCs w:val="28"/>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200"/>
        <w:textAlignment w:val="auto"/>
        <w:rPr>
          <w:rFonts w:hint="eastAsia" w:ascii="仿宋" w:hAnsi="仿宋" w:eastAsia="仿宋" w:cs="仿宋"/>
          <w:b/>
          <w:bCs w:val="0"/>
          <w:spacing w:val="-4"/>
          <w:sz w:val="28"/>
          <w:szCs w:val="28"/>
        </w:rPr>
      </w:pPr>
      <w:r>
        <w:rPr>
          <w:rFonts w:hint="eastAsia" w:ascii="仿宋" w:hAnsi="仿宋" w:eastAsia="仿宋" w:cs="仿宋"/>
          <w:b/>
          <w:bCs w:val="0"/>
          <w:spacing w:val="-4"/>
          <w:sz w:val="28"/>
          <w:szCs w:val="28"/>
          <w:lang w:eastAsia="zh-CN"/>
        </w:rPr>
        <w:t>（</w:t>
      </w:r>
      <w:r>
        <w:rPr>
          <w:rFonts w:hint="eastAsia" w:ascii="仿宋" w:hAnsi="仿宋" w:eastAsia="仿宋" w:cs="仿宋"/>
          <w:b/>
          <w:bCs w:val="0"/>
          <w:spacing w:val="-4"/>
          <w:sz w:val="28"/>
          <w:szCs w:val="28"/>
          <w:lang w:val="en-US" w:eastAsia="zh-CN"/>
        </w:rPr>
        <w:t>三</w:t>
      </w:r>
      <w:r>
        <w:rPr>
          <w:rFonts w:hint="eastAsia" w:ascii="仿宋" w:hAnsi="仿宋" w:eastAsia="仿宋" w:cs="仿宋"/>
          <w:b/>
          <w:bCs w:val="0"/>
          <w:spacing w:val="-4"/>
          <w:sz w:val="28"/>
          <w:szCs w:val="28"/>
          <w:lang w:eastAsia="zh-CN"/>
        </w:rPr>
        <w:t>）</w:t>
      </w:r>
      <w:r>
        <w:rPr>
          <w:rFonts w:hint="eastAsia" w:ascii="仿宋" w:hAnsi="仿宋" w:eastAsia="仿宋" w:cs="仿宋"/>
          <w:b/>
          <w:bCs w:val="0"/>
          <w:spacing w:val="-4"/>
          <w:sz w:val="28"/>
          <w:szCs w:val="28"/>
        </w:rPr>
        <w:t>项目产出情况</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0"/>
        <w:rPr>
          <w:rFonts w:hint="eastAsia" w:ascii="仿宋" w:hAnsi="仿宋" w:eastAsia="仿宋" w:cs="仿宋"/>
          <w:color w:val="auto"/>
          <w:sz w:val="28"/>
          <w:szCs w:val="28"/>
          <w:highlight w:val="none"/>
        </w:rPr>
      </w:pPr>
      <w:r>
        <w:rPr>
          <w:rFonts w:hint="eastAsia" w:ascii="仿宋" w:hAnsi="仿宋" w:eastAsia="仿宋" w:cs="仿宋"/>
          <w:sz w:val="28"/>
          <w:szCs w:val="28"/>
          <w:highlight w:val="none"/>
        </w:rPr>
        <w:t>项目产出类指标包括产出数量、产出质量、产出时效、产出成本四方面的内容，</w:t>
      </w:r>
      <w:r>
        <w:rPr>
          <w:rFonts w:hint="eastAsia" w:ascii="仿宋" w:hAnsi="仿宋" w:eastAsia="仿宋" w:cs="仿宋"/>
          <w:color w:val="auto"/>
          <w:sz w:val="28"/>
          <w:szCs w:val="28"/>
          <w:highlight w:val="none"/>
        </w:rPr>
        <w:t>由4个三级指标构成，权重分为</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0分，实际得分</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0分，得分率为100%。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lang w:val="en-US" w:eastAsia="zh-CN"/>
        </w:rPr>
        <w:t>1</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对于“产出数量”</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0"/>
        <w:rPr>
          <w:rFonts w:hint="eastAsia" w:ascii="仿宋" w:hAnsi="仿宋" w:eastAsia="仿宋" w:cs="仿宋"/>
          <w:color w:val="FF0000"/>
          <w:sz w:val="28"/>
          <w:szCs w:val="28"/>
          <w:lang w:eastAsia="zh-CN"/>
        </w:rPr>
      </w:pPr>
      <w:r>
        <w:rPr>
          <w:rFonts w:hint="eastAsia" w:ascii="仿宋" w:hAnsi="仿宋" w:eastAsia="仿宋" w:cs="仿宋"/>
          <w:sz w:val="28"/>
          <w:szCs w:val="28"/>
        </w:rPr>
        <w:t>劳务派遣人员人数</w:t>
      </w:r>
      <w:r>
        <w:rPr>
          <w:rFonts w:hint="eastAsia" w:ascii="仿宋" w:hAnsi="仿宋" w:eastAsia="仿宋" w:cs="仿宋"/>
          <w:sz w:val="28"/>
          <w:szCs w:val="28"/>
          <w:lang w:val="en-US" w:eastAsia="zh-CN"/>
        </w:rPr>
        <w:t>25人，</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2.5</w:t>
      </w:r>
      <w:r>
        <w:rPr>
          <w:rFonts w:hint="eastAsia" w:ascii="仿宋" w:hAnsi="仿宋" w:eastAsia="仿宋" w:cs="仿宋"/>
          <w:sz w:val="28"/>
          <w:szCs w:val="28"/>
          <w:highlight w:val="none"/>
        </w:rPr>
        <w:t>分</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0"/>
        <w:rPr>
          <w:rFonts w:hint="eastAsia" w:ascii="仿宋" w:hAnsi="仿宋" w:eastAsia="仿宋" w:cs="仿宋"/>
          <w:sz w:val="28"/>
          <w:szCs w:val="28"/>
          <w:lang w:eastAsia="zh-CN"/>
        </w:rPr>
      </w:pPr>
      <w:r>
        <w:rPr>
          <w:rFonts w:hint="eastAsia" w:ascii="仿宋" w:hAnsi="仿宋" w:eastAsia="仿宋" w:cs="仿宋"/>
          <w:sz w:val="28"/>
          <w:szCs w:val="28"/>
        </w:rPr>
        <w:t>技术咨询服务次数</w:t>
      </w:r>
      <w:r>
        <w:rPr>
          <w:rFonts w:hint="eastAsia" w:ascii="仿宋" w:hAnsi="仿宋" w:eastAsia="仿宋" w:cs="仿宋"/>
          <w:sz w:val="28"/>
          <w:szCs w:val="28"/>
          <w:lang w:val="en-US" w:eastAsia="zh-CN"/>
        </w:rPr>
        <w:t>4次</w:t>
      </w:r>
      <w:r>
        <w:rPr>
          <w:rFonts w:hint="eastAsia" w:ascii="仿宋" w:hAnsi="仿宋" w:eastAsia="仿宋" w:cs="仿宋"/>
          <w:sz w:val="28"/>
          <w:szCs w:val="28"/>
        </w:rPr>
        <w:t>，</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2.5</w:t>
      </w:r>
      <w:r>
        <w:rPr>
          <w:rFonts w:hint="eastAsia" w:ascii="仿宋" w:hAnsi="仿宋" w:eastAsia="仿宋" w:cs="仿宋"/>
          <w:sz w:val="28"/>
          <w:szCs w:val="28"/>
          <w:highlight w:val="none"/>
        </w:rPr>
        <w:t>分</w:t>
      </w:r>
      <w:r>
        <w:rPr>
          <w:rFonts w:hint="eastAsia" w:ascii="仿宋" w:hAnsi="仿宋" w:eastAsia="仿宋" w:cs="仿宋"/>
          <w:sz w:val="28"/>
          <w:szCs w:val="28"/>
          <w:lang w:eastAsia="zh-CN"/>
        </w:rPr>
        <w:t>；</w:t>
      </w:r>
    </w:p>
    <w:p>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eastAsia" w:ascii="仿宋" w:hAnsi="仿宋" w:eastAsia="仿宋" w:cs="仿宋"/>
          <w:sz w:val="28"/>
          <w:szCs w:val="28"/>
          <w:lang w:eastAsia="zh-CN"/>
        </w:rPr>
      </w:pPr>
      <w:r>
        <w:rPr>
          <w:rFonts w:hint="eastAsia" w:ascii="仿宋" w:hAnsi="仿宋" w:eastAsia="仿宋" w:cs="仿宋"/>
          <w:sz w:val="28"/>
          <w:szCs w:val="28"/>
        </w:rPr>
        <w:t>驻村工作组数量4个，</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2.5</w:t>
      </w:r>
      <w:r>
        <w:rPr>
          <w:rFonts w:hint="eastAsia" w:ascii="仿宋" w:hAnsi="仿宋" w:eastAsia="仿宋" w:cs="仿宋"/>
          <w:sz w:val="28"/>
          <w:szCs w:val="28"/>
          <w:highlight w:val="none"/>
        </w:rPr>
        <w:t>分</w:t>
      </w:r>
      <w:r>
        <w:rPr>
          <w:rFonts w:hint="eastAsia" w:ascii="仿宋" w:hAnsi="仿宋" w:eastAsia="仿宋" w:cs="仿宋"/>
          <w:sz w:val="28"/>
          <w:szCs w:val="28"/>
          <w:lang w:eastAsia="zh-CN"/>
        </w:rPr>
        <w:t>；</w:t>
      </w:r>
    </w:p>
    <w:p>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eastAsia" w:ascii="仿宋" w:hAnsi="仿宋" w:eastAsia="仿宋" w:cs="仿宋"/>
          <w:sz w:val="28"/>
          <w:szCs w:val="28"/>
          <w:highlight w:val="none"/>
          <w:lang w:eastAsia="zh-CN"/>
        </w:rPr>
      </w:pPr>
      <w:r>
        <w:rPr>
          <w:rFonts w:hint="eastAsia" w:ascii="仿宋" w:hAnsi="仿宋" w:eastAsia="仿宋" w:cs="仿宋"/>
          <w:sz w:val="28"/>
          <w:szCs w:val="28"/>
        </w:rPr>
        <w:t>人员工资及社保发放缴纳次数12次，</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2.5</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合计得10分。</w:t>
      </w:r>
    </w:p>
    <w:p>
      <w:pPr>
        <w:keepNext w:val="0"/>
        <w:keepLines w:val="0"/>
        <w:pageBreakBefore w:val="0"/>
        <w:kinsoku/>
        <w:wordWrap/>
        <w:overflowPunct/>
        <w:topLinePunct w:val="0"/>
        <w:autoSpaceDE/>
        <w:autoSpaceDN/>
        <w:bidi w:val="0"/>
        <w:adjustRightInd/>
        <w:snapToGrid/>
        <w:spacing w:line="540" w:lineRule="exact"/>
        <w:ind w:firstLine="562" w:firstLineChars="200"/>
        <w:textAlignment w:val="auto"/>
        <w:outlineLvl w:val="0"/>
        <w:rPr>
          <w:rFonts w:hint="eastAsia" w:ascii="仿宋" w:hAnsi="仿宋" w:eastAsia="仿宋" w:cs="仿宋"/>
          <w:sz w:val="28"/>
          <w:szCs w:val="28"/>
        </w:rPr>
      </w:pP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lang w:val="en-US" w:eastAsia="zh-CN"/>
        </w:rPr>
        <w:t>2</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对于“产出质量”：</w:t>
      </w:r>
    </w:p>
    <w:p>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eastAsia" w:ascii="仿宋" w:hAnsi="仿宋" w:eastAsia="仿宋" w:cs="仿宋"/>
          <w:sz w:val="28"/>
          <w:szCs w:val="28"/>
          <w:highlight w:val="none"/>
          <w:lang w:eastAsia="zh-CN"/>
        </w:rPr>
      </w:pPr>
      <w:r>
        <w:rPr>
          <w:rFonts w:hint="eastAsia" w:ascii="仿宋" w:hAnsi="仿宋" w:eastAsia="仿宋" w:cs="仿宋"/>
          <w:sz w:val="28"/>
          <w:szCs w:val="28"/>
        </w:rPr>
        <w:t>工资发放到到位率</w:t>
      </w:r>
      <w:r>
        <w:rPr>
          <w:rFonts w:hint="eastAsia" w:ascii="仿宋" w:hAnsi="仿宋" w:eastAsia="仿宋" w:cs="仿宋"/>
          <w:sz w:val="28"/>
          <w:szCs w:val="28"/>
          <w:lang w:val="en-US" w:eastAsia="zh-CN"/>
        </w:rPr>
        <w:t>10</w:t>
      </w:r>
      <w:r>
        <w:rPr>
          <w:rFonts w:hint="eastAsia" w:ascii="仿宋" w:hAnsi="仿宋" w:eastAsia="仿宋" w:cs="仿宋"/>
          <w:sz w:val="28"/>
          <w:szCs w:val="28"/>
        </w:rPr>
        <w:t>0%，</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default" w:ascii="仿宋" w:hAnsi="仿宋" w:eastAsia="仿宋" w:cs="仿宋"/>
          <w:sz w:val="28"/>
          <w:szCs w:val="28"/>
          <w:highlight w:val="none"/>
          <w:lang w:eastAsia="zh-CN"/>
        </w:rPr>
      </w:pPr>
      <w:r>
        <w:rPr>
          <w:rFonts w:hint="default" w:ascii="仿宋" w:hAnsi="仿宋" w:eastAsia="仿宋" w:cs="仿宋"/>
          <w:sz w:val="28"/>
          <w:szCs w:val="28"/>
          <w:highlight w:val="none"/>
          <w:lang w:eastAsia="zh-CN"/>
        </w:rPr>
        <w:t>合计得10分。</w:t>
      </w:r>
    </w:p>
    <w:p>
      <w:pPr>
        <w:pStyle w:val="1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jc w:val="both"/>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lang w:val="en-US" w:eastAsia="zh-CN"/>
        </w:rPr>
        <w:t>3</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rPr>
        <w:t>对于“产出时效”：</w:t>
      </w:r>
    </w:p>
    <w:p>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eastAsia" w:ascii="仿宋" w:hAnsi="仿宋" w:eastAsia="仿宋" w:cs="仿宋"/>
          <w:sz w:val="28"/>
          <w:szCs w:val="28"/>
          <w:highlight w:val="none"/>
          <w:lang w:eastAsia="zh-CN"/>
        </w:rPr>
      </w:pPr>
      <w:r>
        <w:rPr>
          <w:rFonts w:hint="eastAsia" w:ascii="仿宋" w:hAnsi="仿宋" w:eastAsia="仿宋" w:cs="仿宋"/>
          <w:sz w:val="28"/>
          <w:szCs w:val="28"/>
        </w:rPr>
        <w:t>劳务派遣人员工资发放及时率</w:t>
      </w:r>
      <w:r>
        <w:rPr>
          <w:rFonts w:hint="eastAsia" w:ascii="仿宋" w:hAnsi="仿宋" w:eastAsia="仿宋" w:cs="仿宋"/>
          <w:sz w:val="28"/>
          <w:szCs w:val="28"/>
          <w:lang w:val="en-US" w:eastAsia="zh-CN"/>
        </w:rPr>
        <w:t>10</w:t>
      </w:r>
      <w:r>
        <w:rPr>
          <w:rFonts w:hint="eastAsia" w:ascii="仿宋" w:hAnsi="仿宋" w:eastAsia="仿宋" w:cs="仿宋"/>
          <w:sz w:val="28"/>
          <w:szCs w:val="28"/>
        </w:rPr>
        <w:t>0%，</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default" w:ascii="仿宋" w:hAnsi="仿宋" w:eastAsia="仿宋" w:cs="仿宋"/>
          <w:sz w:val="28"/>
          <w:szCs w:val="28"/>
          <w:highlight w:val="none"/>
          <w:lang w:eastAsia="zh-CN"/>
        </w:rPr>
      </w:pPr>
      <w:r>
        <w:rPr>
          <w:rFonts w:hint="default" w:ascii="仿宋" w:hAnsi="仿宋" w:eastAsia="仿宋" w:cs="仿宋"/>
          <w:sz w:val="28"/>
          <w:szCs w:val="28"/>
          <w:highlight w:val="none"/>
          <w:lang w:eastAsia="zh-CN"/>
        </w:rPr>
        <w:t>合计得10分。</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（4）对于“产出成本”：</w:t>
      </w:r>
    </w:p>
    <w:p>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default" w:ascii="仿宋" w:hAnsi="仿宋" w:eastAsia="仿宋" w:cs="仿宋"/>
          <w:sz w:val="28"/>
          <w:szCs w:val="28"/>
          <w:highlight w:val="none"/>
        </w:rPr>
      </w:pPr>
      <w:r>
        <w:rPr>
          <w:rFonts w:hint="eastAsia" w:ascii="仿宋" w:hAnsi="仿宋" w:eastAsia="仿宋" w:cs="仿宋"/>
          <w:sz w:val="28"/>
          <w:szCs w:val="28"/>
        </w:rPr>
        <w:t>人员工资及社会保险费用</w:t>
      </w:r>
      <w:r>
        <w:rPr>
          <w:rFonts w:hint="default" w:ascii="仿宋" w:hAnsi="仿宋" w:eastAsia="仿宋" w:cs="仿宋"/>
          <w:sz w:val="28"/>
          <w:szCs w:val="28"/>
        </w:rPr>
        <w:t>7</w:t>
      </w:r>
      <w:r>
        <w:rPr>
          <w:rFonts w:hint="eastAsia" w:ascii="仿宋" w:hAnsi="仿宋" w:eastAsia="仿宋" w:cs="仿宋"/>
          <w:sz w:val="28"/>
          <w:szCs w:val="28"/>
        </w:rPr>
        <w:t>000/人/次，</w:t>
      </w:r>
      <w:r>
        <w:rPr>
          <w:rFonts w:hint="eastAsia" w:ascii="仿宋" w:hAnsi="仿宋" w:eastAsia="仿宋" w:cs="仿宋"/>
          <w:sz w:val="28"/>
          <w:szCs w:val="28"/>
          <w:highlight w:val="none"/>
        </w:rPr>
        <w:t>与预期目标一致，根据评分标准，该指标不扣分，得</w:t>
      </w:r>
      <w:r>
        <w:rPr>
          <w:rFonts w:hint="default" w:ascii="仿宋" w:hAnsi="仿宋" w:eastAsia="仿宋" w:cs="仿宋"/>
          <w:sz w:val="28"/>
          <w:szCs w:val="28"/>
          <w:highlight w:val="none"/>
          <w:lang w:eastAsia="zh-CN"/>
        </w:rPr>
        <w:t>3</w:t>
      </w:r>
      <w:r>
        <w:rPr>
          <w:rFonts w:hint="eastAsia" w:ascii="仿宋" w:hAnsi="仿宋" w:eastAsia="仿宋" w:cs="仿宋"/>
          <w:sz w:val="28"/>
          <w:szCs w:val="28"/>
          <w:highlight w:val="none"/>
        </w:rPr>
        <w:t>分</w:t>
      </w:r>
      <w:r>
        <w:rPr>
          <w:rFonts w:hint="default" w:ascii="仿宋" w:hAnsi="仿宋" w:eastAsia="仿宋" w:cs="仿宋"/>
          <w:sz w:val="28"/>
          <w:szCs w:val="28"/>
          <w:highlight w:val="none"/>
        </w:rPr>
        <w:t>；</w:t>
      </w:r>
    </w:p>
    <w:p>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default" w:ascii="仿宋" w:hAnsi="仿宋" w:eastAsia="仿宋" w:cs="仿宋"/>
          <w:sz w:val="28"/>
          <w:szCs w:val="28"/>
          <w:highlight w:val="none"/>
        </w:rPr>
      </w:pPr>
      <w:r>
        <w:rPr>
          <w:rFonts w:hint="eastAsia" w:ascii="仿宋" w:hAnsi="仿宋" w:eastAsia="仿宋" w:cs="仿宋"/>
          <w:sz w:val="28"/>
          <w:szCs w:val="28"/>
        </w:rPr>
        <w:t>技术服务委托业务费</w:t>
      </w:r>
      <w:r>
        <w:rPr>
          <w:rFonts w:hint="eastAsia" w:ascii="仿宋" w:hAnsi="仿宋" w:eastAsia="仿宋" w:cs="仿宋"/>
          <w:sz w:val="28"/>
          <w:szCs w:val="28"/>
          <w:lang w:val="en-US" w:eastAsia="zh-CN"/>
        </w:rPr>
        <w:t>320</w:t>
      </w:r>
      <w:r>
        <w:rPr>
          <w:rFonts w:hint="eastAsia" w:ascii="仿宋" w:hAnsi="仿宋" w:eastAsia="仿宋" w:cs="仿宋"/>
          <w:sz w:val="28"/>
          <w:szCs w:val="28"/>
        </w:rPr>
        <w:t>万元，</w:t>
      </w:r>
      <w:r>
        <w:rPr>
          <w:rFonts w:hint="eastAsia" w:ascii="仿宋" w:hAnsi="仿宋" w:eastAsia="仿宋" w:cs="仿宋"/>
          <w:sz w:val="28"/>
          <w:szCs w:val="28"/>
          <w:highlight w:val="none"/>
        </w:rPr>
        <w:t>与预期目标一致，根据评分标准，该指标不扣分，得</w:t>
      </w:r>
      <w:r>
        <w:rPr>
          <w:rFonts w:hint="default" w:ascii="仿宋" w:hAnsi="仿宋" w:eastAsia="仿宋" w:cs="仿宋"/>
          <w:sz w:val="28"/>
          <w:szCs w:val="28"/>
          <w:highlight w:val="none"/>
        </w:rPr>
        <w:t>4</w:t>
      </w:r>
      <w:r>
        <w:rPr>
          <w:rFonts w:hint="eastAsia" w:ascii="仿宋" w:hAnsi="仿宋" w:eastAsia="仿宋" w:cs="仿宋"/>
          <w:sz w:val="28"/>
          <w:szCs w:val="28"/>
          <w:highlight w:val="none"/>
        </w:rPr>
        <w:t>分</w:t>
      </w:r>
      <w:r>
        <w:rPr>
          <w:rFonts w:hint="default" w:ascii="仿宋" w:hAnsi="仿宋" w:eastAsia="仿宋" w:cs="仿宋"/>
          <w:sz w:val="28"/>
          <w:szCs w:val="28"/>
          <w:highlight w:val="none"/>
        </w:rPr>
        <w:t>；</w:t>
      </w:r>
    </w:p>
    <w:p>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eastAsia" w:ascii="仿宋" w:hAnsi="仿宋" w:eastAsia="仿宋" w:cs="仿宋"/>
          <w:sz w:val="28"/>
          <w:szCs w:val="28"/>
          <w:highlight w:val="none"/>
          <w:lang w:eastAsia="zh-CN"/>
        </w:rPr>
      </w:pPr>
      <w:r>
        <w:rPr>
          <w:rFonts w:hint="eastAsia" w:ascii="仿宋" w:hAnsi="仿宋" w:eastAsia="仿宋" w:cs="仿宋"/>
          <w:sz w:val="28"/>
          <w:szCs w:val="28"/>
        </w:rPr>
        <w:t>访惠聚工作经费</w:t>
      </w:r>
      <w:r>
        <w:rPr>
          <w:rFonts w:hint="default" w:ascii="仿宋" w:hAnsi="仿宋" w:eastAsia="仿宋" w:cs="仿宋"/>
          <w:sz w:val="28"/>
          <w:szCs w:val="28"/>
        </w:rPr>
        <w:t>1</w:t>
      </w:r>
      <w:r>
        <w:rPr>
          <w:rFonts w:hint="eastAsia" w:ascii="仿宋" w:hAnsi="仿宋" w:eastAsia="仿宋" w:cs="仿宋"/>
          <w:sz w:val="28"/>
          <w:szCs w:val="28"/>
        </w:rPr>
        <w:t>2.25万元/组，</w:t>
      </w:r>
      <w:r>
        <w:rPr>
          <w:rFonts w:hint="eastAsia" w:ascii="仿宋" w:hAnsi="仿宋" w:eastAsia="仿宋" w:cs="仿宋"/>
          <w:sz w:val="28"/>
          <w:szCs w:val="28"/>
          <w:highlight w:val="none"/>
        </w:rPr>
        <w:t>与预期目标一致，根据评分标准，该指标不扣分，得</w:t>
      </w:r>
      <w:r>
        <w:rPr>
          <w:rFonts w:hint="default" w:ascii="仿宋" w:hAnsi="仿宋" w:eastAsia="仿宋" w:cs="仿宋"/>
          <w:sz w:val="28"/>
          <w:szCs w:val="28"/>
          <w:highlight w:val="none"/>
          <w:lang w:eastAsia="zh-CN"/>
        </w:rPr>
        <w:t>3</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合计得10分。</w:t>
      </w:r>
    </w:p>
    <w:p>
      <w:pPr>
        <w:keepNext w:val="0"/>
        <w:keepLines w:val="0"/>
        <w:pageBreakBefore w:val="0"/>
        <w:kinsoku/>
        <w:wordWrap/>
        <w:overflowPunct/>
        <w:topLinePunct w:val="0"/>
        <w:autoSpaceDE/>
        <w:autoSpaceDN/>
        <w:bidi w:val="0"/>
        <w:adjustRightInd/>
        <w:snapToGrid/>
        <w:spacing w:line="540" w:lineRule="exact"/>
        <w:ind w:firstLine="546" w:firstLineChars="200"/>
        <w:textAlignment w:val="auto"/>
        <w:rPr>
          <w:rFonts w:hint="eastAsia" w:ascii="仿宋" w:hAnsi="仿宋" w:eastAsia="仿宋" w:cs="仿宋"/>
          <w:b/>
          <w:bCs w:val="0"/>
          <w:spacing w:val="-4"/>
          <w:sz w:val="28"/>
          <w:szCs w:val="28"/>
        </w:rPr>
      </w:pPr>
      <w:r>
        <w:rPr>
          <w:rFonts w:hint="eastAsia" w:ascii="仿宋" w:hAnsi="仿宋" w:eastAsia="仿宋" w:cs="仿宋"/>
          <w:b/>
          <w:bCs w:val="0"/>
          <w:spacing w:val="-4"/>
          <w:sz w:val="28"/>
          <w:szCs w:val="28"/>
        </w:rPr>
        <w:t>（四）项目效益情况</w:t>
      </w:r>
    </w:p>
    <w:p>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eastAsia" w:ascii="仿宋" w:hAnsi="仿宋" w:eastAsia="仿宋" w:cs="仿宋"/>
          <w:sz w:val="28"/>
          <w:szCs w:val="28"/>
          <w:highlight w:val="none"/>
        </w:rPr>
      </w:pPr>
      <w:r>
        <w:rPr>
          <w:rFonts w:hint="eastAsia" w:ascii="仿宋" w:hAnsi="仿宋" w:eastAsia="仿宋" w:cs="仿宋"/>
          <w:sz w:val="28"/>
          <w:szCs w:val="28"/>
          <w:highlight w:val="none"/>
        </w:rPr>
        <w:t>项目效益类指标包括项目效益</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个方面的内容，由</w:t>
      </w:r>
      <w:r>
        <w:rPr>
          <w:rFonts w:hint="eastAsia" w:ascii="仿宋" w:hAnsi="仿宋" w:eastAsia="仿宋" w:cs="仿宋"/>
          <w:color w:val="auto"/>
          <w:sz w:val="28"/>
          <w:szCs w:val="28"/>
          <w:highlight w:val="none"/>
        </w:rPr>
        <w:t>2个三级指标构成，权重分为</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0分，实际得分</w:t>
      </w:r>
      <w:r>
        <w:rPr>
          <w:rFonts w:hint="eastAsia" w:ascii="仿宋" w:hAnsi="仿宋" w:eastAsia="仿宋" w:cs="仿宋"/>
          <w:color w:val="auto"/>
          <w:sz w:val="28"/>
          <w:szCs w:val="28"/>
          <w:highlight w:val="none"/>
          <w:lang w:val="en-US" w:eastAsia="zh-CN"/>
        </w:rPr>
        <w:t>20</w:t>
      </w:r>
      <w:r>
        <w:rPr>
          <w:rFonts w:hint="eastAsia" w:ascii="仿宋" w:hAnsi="仿宋" w:eastAsia="仿宋" w:cs="仿宋"/>
          <w:color w:val="auto"/>
          <w:sz w:val="28"/>
          <w:szCs w:val="28"/>
          <w:highlight w:val="none"/>
        </w:rPr>
        <w:t>分，得分率为</w:t>
      </w:r>
      <w:r>
        <w:rPr>
          <w:rFonts w:hint="eastAsia" w:ascii="仿宋" w:hAnsi="仿宋" w:eastAsia="仿宋" w:cs="仿宋"/>
          <w:color w:val="auto"/>
          <w:sz w:val="28"/>
          <w:szCs w:val="28"/>
          <w:highlight w:val="none"/>
          <w:lang w:val="en-US" w:eastAsia="zh-CN"/>
        </w:rPr>
        <w:t>100</w:t>
      </w:r>
      <w:r>
        <w:rPr>
          <w:rFonts w:hint="eastAsia" w:ascii="仿宋" w:hAnsi="仿宋" w:eastAsia="仿宋" w:cs="仿宋"/>
          <w:color w:val="auto"/>
          <w:sz w:val="28"/>
          <w:szCs w:val="28"/>
          <w:highlight w:val="none"/>
        </w:rPr>
        <w:t>%。</w:t>
      </w:r>
    </w:p>
    <w:p>
      <w:pPr>
        <w:numPr>
          <w:ilvl w:val="0"/>
          <w:numId w:val="2"/>
        </w:numPr>
        <w:overflowPunct w:val="0"/>
        <w:spacing w:line="560" w:lineRule="exact"/>
        <w:ind w:left="562" w:leftChars="0" w:firstLine="0" w:firstLineChars="0"/>
        <w:contextualSpacing/>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实施效益指标：</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default" w:ascii="仿宋" w:hAnsi="仿宋" w:eastAsia="仿宋" w:cs="仿宋"/>
          <w:sz w:val="28"/>
          <w:szCs w:val="28"/>
          <w:highlight w:val="none"/>
        </w:rPr>
        <w:t>①</w:t>
      </w:r>
      <w:r>
        <w:rPr>
          <w:rFonts w:hint="eastAsia" w:ascii="仿宋" w:hAnsi="仿宋" w:eastAsia="仿宋" w:cs="仿宋"/>
          <w:sz w:val="28"/>
          <w:szCs w:val="28"/>
          <w:highlight w:val="none"/>
        </w:rPr>
        <w:t>对于“经济效益指标”：</w:t>
      </w:r>
    </w:p>
    <w:p>
      <w:pPr>
        <w:spacing w:line="560" w:lineRule="exact"/>
        <w:ind w:firstLine="560" w:firstLineChars="0"/>
        <w:rPr>
          <w:rFonts w:hint="eastAsia" w:ascii="仿宋" w:hAnsi="仿宋" w:eastAsia="仿宋" w:cs="仿宋"/>
          <w:b w:val="0"/>
          <w:sz w:val="28"/>
          <w:szCs w:val="28"/>
          <w:highlight w:val="none"/>
        </w:rPr>
      </w:pPr>
      <w:r>
        <w:rPr>
          <w:rFonts w:hint="eastAsia" w:ascii="仿宋" w:hAnsi="仿宋" w:eastAsia="仿宋" w:cs="仿宋"/>
          <w:b w:val="0"/>
          <w:sz w:val="28"/>
          <w:szCs w:val="28"/>
          <w:highlight w:val="none"/>
        </w:rPr>
        <w:t>本项目无该指标。</w:t>
      </w:r>
    </w:p>
    <w:p>
      <w:pPr>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②</w:t>
      </w:r>
      <w:r>
        <w:rPr>
          <w:rFonts w:hint="eastAsia" w:ascii="仿宋" w:hAnsi="仿宋" w:eastAsia="仿宋" w:cs="仿宋"/>
          <w:sz w:val="28"/>
          <w:szCs w:val="28"/>
          <w:highlight w:val="none"/>
        </w:rPr>
        <w:t>对于“社会效益指标”：</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lang w:val="en-US" w:eastAsia="zh-CN"/>
        </w:rPr>
        <w:t>有效保障驻村工作组工作顺利实施，</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280" w:firstLineChars="1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③生态效益指标</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w:t>
      </w:r>
      <w:r>
        <w:rPr>
          <w:rFonts w:hint="eastAsia" w:ascii="仿宋" w:hAnsi="仿宋" w:eastAsia="仿宋" w:cs="仿宋"/>
          <w:b w:val="0"/>
          <w:sz w:val="28"/>
          <w:szCs w:val="28"/>
          <w:highlight w:val="none"/>
        </w:rPr>
        <w:t>本项目无该指标</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④可持续影响</w:t>
      </w:r>
    </w:p>
    <w:p>
      <w:pPr>
        <w:pStyle w:val="53"/>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0"/>
        <w:textAlignment w:val="auto"/>
        <w:rPr>
          <w:rFonts w:hint="eastAsia" w:ascii="仿宋" w:hAnsi="仿宋" w:eastAsia="仿宋" w:cs="仿宋"/>
          <w:sz w:val="28"/>
          <w:szCs w:val="28"/>
          <w:highlight w:val="none"/>
          <w:lang w:eastAsia="zh-CN"/>
        </w:rPr>
      </w:pPr>
      <w:r>
        <w:rPr>
          <w:rFonts w:hint="eastAsia" w:ascii="仿宋" w:hAnsi="仿宋" w:eastAsia="仿宋" w:cs="仿宋"/>
          <w:b w:val="0"/>
          <w:sz w:val="28"/>
          <w:szCs w:val="28"/>
          <w:highlight w:val="none"/>
        </w:rPr>
        <w:t>本项目无该指标</w:t>
      </w:r>
      <w:r>
        <w:rPr>
          <w:rFonts w:hint="eastAsia" w:ascii="仿宋" w:hAnsi="仿宋" w:eastAsia="仿宋" w:cs="仿宋"/>
          <w:color w:val="auto"/>
          <w:sz w:val="28"/>
          <w:szCs w:val="28"/>
          <w:highlight w:val="none"/>
          <w:lang w:eastAsia="zh-CN"/>
        </w:rPr>
        <w:t>　</w:t>
      </w:r>
    </w:p>
    <w:p>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实施效益指标合计得10分。</w:t>
      </w:r>
    </w:p>
    <w:p>
      <w:pPr>
        <w:spacing w:line="560" w:lineRule="exact"/>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（2）满意度指标</w:t>
      </w:r>
      <w:r>
        <w:rPr>
          <w:rFonts w:hint="eastAsia" w:ascii="仿宋" w:hAnsi="仿宋" w:eastAsia="仿宋" w:cs="仿宋"/>
          <w:b/>
          <w:bCs/>
          <w:sz w:val="28"/>
          <w:szCs w:val="28"/>
          <w:highlight w:val="none"/>
          <w:lang w:eastAsia="zh-CN"/>
        </w:rPr>
        <w:t>：</w:t>
      </w:r>
    </w:p>
    <w:p>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eastAsia" w:ascii="仿宋" w:hAnsi="仿宋" w:eastAsia="仿宋" w:cs="仿宋"/>
          <w:sz w:val="28"/>
          <w:szCs w:val="28"/>
          <w:lang w:val="en-US" w:eastAsia="zh-CN"/>
        </w:rPr>
      </w:pPr>
      <w:r>
        <w:rPr>
          <w:rFonts w:hint="eastAsia" w:ascii="仿宋" w:hAnsi="仿宋" w:eastAsia="仿宋" w:cs="仿宋"/>
          <w:sz w:val="28"/>
          <w:szCs w:val="28"/>
          <w:highlight w:val="none"/>
        </w:rPr>
        <w:t>对于满意度指标：</w:t>
      </w:r>
    </w:p>
    <w:p>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eastAsia" w:ascii="仿宋" w:hAnsi="仿宋" w:eastAsia="仿宋" w:cs="仿宋"/>
          <w:sz w:val="28"/>
          <w:szCs w:val="28"/>
          <w:highlight w:val="none"/>
          <w:lang w:eastAsia="zh-CN"/>
        </w:rPr>
      </w:pPr>
      <w:r>
        <w:rPr>
          <w:rFonts w:hint="eastAsia" w:ascii="仿宋" w:hAnsi="仿宋" w:eastAsia="仿宋" w:cs="仿宋"/>
          <w:sz w:val="28"/>
          <w:szCs w:val="28"/>
        </w:rPr>
        <w:t>工作组对驻村工作服务保障满意度9</w:t>
      </w:r>
      <w:r>
        <w:rPr>
          <w:rFonts w:hint="eastAsia" w:ascii="仿宋" w:hAnsi="仿宋" w:eastAsia="仿宋" w:cs="仿宋"/>
          <w:sz w:val="28"/>
          <w:szCs w:val="28"/>
          <w:lang w:val="en-US" w:eastAsia="zh-CN"/>
        </w:rPr>
        <w:t>0</w:t>
      </w:r>
      <w:r>
        <w:rPr>
          <w:rFonts w:hint="eastAsia" w:ascii="仿宋" w:hAnsi="仿宋" w:eastAsia="仿宋" w:cs="仿宋"/>
          <w:sz w:val="28"/>
          <w:szCs w:val="28"/>
        </w:rPr>
        <w:t>%，</w:t>
      </w:r>
      <w:r>
        <w:rPr>
          <w:rFonts w:hint="eastAsia" w:ascii="仿宋" w:hAnsi="仿宋" w:eastAsia="仿宋" w:cs="仿宋"/>
          <w:sz w:val="28"/>
          <w:szCs w:val="28"/>
          <w:highlight w:val="none"/>
        </w:rPr>
        <w:t>与预期目标一致，根据评分标准，该指标不扣分，得</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分</w:t>
      </w:r>
      <w:r>
        <w:rPr>
          <w:rFonts w:hint="eastAsia" w:ascii="仿宋" w:hAnsi="仿宋" w:eastAsia="仿宋" w:cs="仿宋"/>
          <w:sz w:val="28"/>
          <w:szCs w:val="28"/>
          <w:highlight w:val="none"/>
          <w:lang w:eastAsia="zh-CN"/>
        </w:rPr>
        <w:t>。</w:t>
      </w:r>
    </w:p>
    <w:p>
      <w:pPr>
        <w:keepNext w:val="0"/>
        <w:keepLines w:val="0"/>
        <w:pageBreakBefore w:val="0"/>
        <w:kinsoku/>
        <w:wordWrap/>
        <w:overflowPunct/>
        <w:topLinePunct w:val="0"/>
        <w:autoSpaceDE/>
        <w:autoSpaceDN/>
        <w:bidi w:val="0"/>
        <w:adjustRightInd/>
        <w:snapToGrid/>
        <w:spacing w:line="540" w:lineRule="exact"/>
        <w:ind w:firstLine="560" w:firstLineChars="200"/>
        <w:textAlignment w:val="auto"/>
        <w:outlineLvl w:val="0"/>
        <w:rPr>
          <w:rFonts w:hint="eastAsia" w:ascii="仿宋" w:hAnsi="仿宋" w:eastAsia="仿宋" w:cs="仿宋"/>
          <w:sz w:val="28"/>
          <w:szCs w:val="28"/>
        </w:rPr>
      </w:pPr>
      <w:r>
        <w:rPr>
          <w:rFonts w:hint="eastAsia" w:ascii="仿宋" w:hAnsi="仿宋" w:eastAsia="仿宋" w:cs="仿宋"/>
          <w:sz w:val="28"/>
          <w:szCs w:val="28"/>
          <w:highlight w:val="none"/>
          <w:lang w:val="en-US" w:eastAsia="zh-CN"/>
        </w:rPr>
        <w:t>合计得10分。</w:t>
      </w:r>
    </w:p>
    <w:p>
      <w:pPr>
        <w:ind w:firstLine="643"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lang w:val="en-US" w:eastAsia="zh-CN"/>
        </w:rPr>
        <w:t>五、</w:t>
      </w:r>
      <w:r>
        <w:rPr>
          <w:rFonts w:hint="eastAsia" w:ascii="方正黑体_GBK" w:hAnsi="方正黑体_GBK" w:eastAsia="方正黑体_GBK" w:cs="方正黑体_GBK"/>
          <w:b/>
          <w:bCs/>
          <w:sz w:val="32"/>
          <w:szCs w:val="32"/>
          <w:highlight w:val="none"/>
        </w:rPr>
        <w:t>预算执行进度与绩效指标偏差</w:t>
      </w:r>
    </w:p>
    <w:p>
      <w:pPr>
        <w:pStyle w:val="21"/>
        <w:keepNext w:val="0"/>
        <w:keepLines w:val="0"/>
        <w:pageBreakBefore w:val="0"/>
        <w:kinsoku/>
        <w:wordWrap/>
        <w:overflowPunct/>
        <w:topLinePunct w:val="0"/>
        <w:autoSpaceDE/>
        <w:autoSpaceDN/>
        <w:bidi w:val="0"/>
        <w:adjustRightInd/>
        <w:snapToGrid/>
        <w:spacing w:before="0" w:after="0" w:line="560" w:lineRule="exact"/>
        <w:ind w:firstLine="560" w:firstLineChars="200"/>
        <w:jc w:val="both"/>
        <w:textAlignment w:val="auto"/>
        <w:rPr>
          <w:rFonts w:hint="eastAsia" w:ascii="仿宋" w:hAnsi="仿宋" w:eastAsia="仿宋" w:cs="仿宋"/>
          <w:b w:val="0"/>
          <w:bCs w:val="0"/>
          <w:kern w:val="2"/>
          <w:sz w:val="28"/>
          <w:szCs w:val="28"/>
          <w:highlight w:val="none"/>
          <w:lang w:val="en-US" w:eastAsia="zh-CN"/>
        </w:rPr>
      </w:pPr>
      <w:r>
        <w:rPr>
          <w:rFonts w:hint="eastAsia" w:ascii="仿宋" w:hAnsi="仿宋" w:eastAsia="仿宋" w:cs="仿宋"/>
          <w:b w:val="0"/>
          <w:bCs w:val="0"/>
          <w:sz w:val="28"/>
          <w:szCs w:val="28"/>
          <w:highlight w:val="none"/>
          <w:lang w:val="en-US" w:eastAsia="zh-CN"/>
        </w:rPr>
        <w:t>经营收入成本性支出项目</w:t>
      </w:r>
      <w:r>
        <w:rPr>
          <w:rFonts w:hint="eastAsia" w:ascii="仿宋" w:hAnsi="仿宋" w:eastAsia="仿宋" w:cs="仿宋"/>
          <w:b w:val="0"/>
          <w:bCs w:val="0"/>
          <w:color w:val="auto"/>
          <w:sz w:val="28"/>
          <w:szCs w:val="28"/>
          <w:highlight w:val="none"/>
          <w:lang w:val="en-US" w:eastAsia="zh-Hans"/>
        </w:rPr>
        <w:t>预算</w:t>
      </w:r>
      <w:r>
        <w:rPr>
          <w:rFonts w:hint="eastAsia" w:ascii="仿宋" w:hAnsi="仿宋" w:eastAsia="仿宋" w:cs="仿宋"/>
          <w:b w:val="0"/>
          <w:bCs w:val="0"/>
          <w:color w:val="auto"/>
          <w:sz w:val="28"/>
          <w:szCs w:val="28"/>
          <w:highlight w:val="none"/>
          <w:lang w:val="en-US" w:eastAsia="zh-CN"/>
        </w:rPr>
        <w:t>700万元</w:t>
      </w:r>
      <w:r>
        <w:rPr>
          <w:rFonts w:hint="eastAsia" w:ascii="仿宋" w:hAnsi="仿宋" w:eastAsia="仿宋" w:cs="仿宋"/>
          <w:b w:val="0"/>
          <w:bCs w:val="0"/>
          <w:color w:val="auto"/>
          <w:sz w:val="28"/>
          <w:szCs w:val="28"/>
          <w:highlight w:val="none"/>
          <w:lang w:val="en-US" w:eastAsia="zh-Hans"/>
        </w:rPr>
        <w:t>，到位</w:t>
      </w:r>
      <w:r>
        <w:rPr>
          <w:rFonts w:hint="eastAsia" w:ascii="仿宋" w:hAnsi="仿宋" w:eastAsia="仿宋" w:cs="仿宋"/>
          <w:b w:val="0"/>
          <w:bCs w:val="0"/>
          <w:color w:val="auto"/>
          <w:sz w:val="28"/>
          <w:szCs w:val="28"/>
          <w:highlight w:val="none"/>
          <w:lang w:val="en-US" w:eastAsia="zh-CN"/>
        </w:rPr>
        <w:t>700万元</w:t>
      </w:r>
      <w:r>
        <w:rPr>
          <w:rFonts w:hint="eastAsia" w:ascii="仿宋" w:hAnsi="仿宋" w:eastAsia="仿宋" w:cs="仿宋"/>
          <w:b w:val="0"/>
          <w:bCs w:val="0"/>
          <w:color w:val="auto"/>
          <w:sz w:val="28"/>
          <w:szCs w:val="28"/>
          <w:highlight w:val="none"/>
          <w:lang w:val="en-US" w:eastAsia="zh-Hans"/>
        </w:rPr>
        <w:t>，实际支出</w:t>
      </w:r>
      <w:r>
        <w:rPr>
          <w:rFonts w:hint="eastAsia" w:ascii="仿宋" w:hAnsi="仿宋" w:eastAsia="仿宋" w:cs="仿宋"/>
          <w:b w:val="0"/>
          <w:bCs w:val="0"/>
          <w:color w:val="auto"/>
          <w:sz w:val="28"/>
          <w:szCs w:val="28"/>
          <w:highlight w:val="none"/>
          <w:lang w:val="en-US" w:eastAsia="zh-CN"/>
        </w:rPr>
        <w:t>699.97万元</w:t>
      </w:r>
      <w:r>
        <w:rPr>
          <w:rFonts w:hint="eastAsia" w:ascii="仿宋" w:hAnsi="仿宋" w:eastAsia="仿宋" w:cs="仿宋"/>
          <w:b w:val="0"/>
          <w:bCs w:val="0"/>
          <w:color w:val="auto"/>
          <w:sz w:val="28"/>
          <w:szCs w:val="28"/>
          <w:highlight w:val="none"/>
          <w:lang w:val="en-US" w:eastAsia="zh-Hans"/>
        </w:rPr>
        <w:t>，预算执行率为</w:t>
      </w:r>
      <w:r>
        <w:rPr>
          <w:rFonts w:hint="eastAsia" w:ascii="仿宋" w:hAnsi="仿宋" w:eastAsia="仿宋" w:cs="仿宋"/>
          <w:b w:val="0"/>
          <w:bCs w:val="0"/>
          <w:color w:val="auto"/>
          <w:sz w:val="28"/>
          <w:szCs w:val="28"/>
          <w:highlight w:val="none"/>
          <w:lang w:val="en-US" w:eastAsia="zh-CN"/>
        </w:rPr>
        <w:t>100</w:t>
      </w:r>
      <w:r>
        <w:rPr>
          <w:rFonts w:hint="eastAsia" w:ascii="仿宋" w:hAnsi="仿宋" w:eastAsia="仿宋" w:cs="仿宋"/>
          <w:b w:val="0"/>
          <w:bCs w:val="0"/>
          <w:color w:val="auto"/>
          <w:sz w:val="28"/>
          <w:szCs w:val="28"/>
          <w:highlight w:val="none"/>
          <w:lang w:val="en-US" w:eastAsia="zh-Hans"/>
        </w:rPr>
        <w:t>%，项目绩效指标总体完成率为</w:t>
      </w:r>
      <w:r>
        <w:rPr>
          <w:rFonts w:hint="eastAsia" w:ascii="仿宋" w:hAnsi="仿宋" w:eastAsia="仿宋" w:cs="仿宋"/>
          <w:b w:val="0"/>
          <w:bCs w:val="0"/>
          <w:color w:val="auto"/>
          <w:sz w:val="28"/>
          <w:szCs w:val="28"/>
          <w:highlight w:val="none"/>
          <w:lang w:val="en-US" w:eastAsia="zh-CN"/>
        </w:rPr>
        <w:t>100</w:t>
      </w:r>
      <w:r>
        <w:rPr>
          <w:rFonts w:hint="eastAsia" w:ascii="仿宋" w:hAnsi="仿宋" w:eastAsia="仿宋" w:cs="仿宋"/>
          <w:b w:val="0"/>
          <w:bCs w:val="0"/>
          <w:color w:val="auto"/>
          <w:sz w:val="28"/>
          <w:szCs w:val="28"/>
          <w:highlight w:val="none"/>
          <w:lang w:val="en-US" w:eastAsia="zh-Hans"/>
        </w:rPr>
        <w:t>%，预算执行进度与绩效指标</w:t>
      </w:r>
      <w:r>
        <w:rPr>
          <w:rFonts w:hint="eastAsia" w:ascii="仿宋" w:hAnsi="仿宋" w:eastAsia="仿宋" w:cs="仿宋"/>
          <w:b w:val="0"/>
          <w:bCs w:val="0"/>
          <w:color w:val="auto"/>
          <w:sz w:val="28"/>
          <w:szCs w:val="28"/>
          <w:highlight w:val="none"/>
          <w:lang w:val="en-US" w:eastAsia="zh-CN"/>
        </w:rPr>
        <w:t>无偏差</w:t>
      </w:r>
      <w:r>
        <w:rPr>
          <w:rFonts w:hint="eastAsia" w:ascii="仿宋" w:hAnsi="仿宋" w:eastAsia="仿宋" w:cs="仿宋"/>
          <w:b w:val="0"/>
          <w:bCs w:val="0"/>
          <w:kern w:val="2"/>
          <w:sz w:val="28"/>
          <w:szCs w:val="28"/>
          <w:highlight w:val="none"/>
          <w:lang w:eastAsia="zh-CN"/>
        </w:rPr>
        <w:t>。</w:t>
      </w:r>
    </w:p>
    <w:p>
      <w:pPr>
        <w:ind w:firstLine="643"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六、主要经验及做法、存在的问题及原因分析</w:t>
      </w:r>
    </w:p>
    <w:p>
      <w:pPr>
        <w:keepNext w:val="0"/>
        <w:keepLines w:val="0"/>
        <w:pageBreakBefore w:val="0"/>
        <w:kinsoku/>
        <w:wordWrap/>
        <w:overflowPunct/>
        <w:topLinePunct w:val="0"/>
        <w:autoSpaceDE/>
        <w:autoSpaceDN/>
        <w:bidi w:val="0"/>
        <w:adjustRightInd/>
        <w:snapToGrid/>
        <w:spacing w:line="540" w:lineRule="exact"/>
        <w:ind w:firstLine="544" w:firstLineChars="200"/>
        <w:textAlignment w:val="auto"/>
        <w:rPr>
          <w:rStyle w:val="25"/>
          <w:rFonts w:hint="eastAsia" w:ascii="仿宋" w:hAnsi="仿宋" w:eastAsia="仿宋" w:cs="仿宋"/>
          <w:b w:val="0"/>
          <w:bCs/>
          <w:spacing w:val="-4"/>
          <w:sz w:val="28"/>
          <w:szCs w:val="28"/>
        </w:rPr>
      </w:pPr>
      <w:r>
        <w:rPr>
          <w:rStyle w:val="25"/>
          <w:rFonts w:hint="eastAsia" w:ascii="仿宋" w:hAnsi="仿宋" w:eastAsia="仿宋" w:cs="仿宋"/>
          <w:b w:val="0"/>
          <w:bCs/>
          <w:spacing w:val="-4"/>
          <w:sz w:val="28"/>
          <w:szCs w:val="28"/>
        </w:rPr>
        <w:t>（一）主要经验及做法</w:t>
      </w:r>
    </w:p>
    <w:p>
      <w:pPr>
        <w:pStyle w:val="21"/>
        <w:keepNext w:val="0"/>
        <w:keepLines w:val="0"/>
        <w:pageBreakBefore w:val="0"/>
        <w:kinsoku/>
        <w:wordWrap/>
        <w:overflowPunct/>
        <w:topLinePunct w:val="0"/>
        <w:autoSpaceDE/>
        <w:autoSpaceDN/>
        <w:bidi w:val="0"/>
        <w:adjustRightInd/>
        <w:snapToGrid/>
        <w:spacing w:before="0" w:after="0" w:line="540" w:lineRule="exact"/>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b w:val="0"/>
          <w:bCs w:val="0"/>
          <w:kern w:val="2"/>
          <w:sz w:val="28"/>
          <w:szCs w:val="28"/>
        </w:rPr>
        <w:t>严格坚持先做事、后验收、再拨付的原则，基本杜绝了资金被挤占和挪用现象的发生，跟踪检查到位。在监督环节上，实行关口前移，从事后监督管理转向事前审核，事中监督和事后检查稽核相结合的监督制度，形成多环节全过程的监督管理格局，尽量早发现问题，早解决问题。</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544" w:firstLineChars="200"/>
        <w:textAlignment w:val="auto"/>
        <w:rPr>
          <w:rStyle w:val="25"/>
          <w:rFonts w:hint="eastAsia" w:ascii="仿宋" w:hAnsi="仿宋" w:eastAsia="仿宋" w:cs="仿宋"/>
          <w:b w:val="0"/>
          <w:bCs/>
          <w:spacing w:val="-4"/>
          <w:sz w:val="28"/>
          <w:szCs w:val="28"/>
        </w:rPr>
      </w:pPr>
      <w:r>
        <w:rPr>
          <w:rStyle w:val="25"/>
          <w:rFonts w:hint="eastAsia" w:ascii="仿宋" w:hAnsi="仿宋" w:eastAsia="仿宋" w:cs="仿宋"/>
          <w:b w:val="0"/>
          <w:bCs/>
          <w:spacing w:val="-4"/>
          <w:sz w:val="28"/>
          <w:szCs w:val="28"/>
          <w:lang w:eastAsia="zh-CN"/>
        </w:rPr>
        <w:t>（</w:t>
      </w:r>
      <w:r>
        <w:rPr>
          <w:rStyle w:val="25"/>
          <w:rFonts w:hint="eastAsia" w:ascii="仿宋" w:hAnsi="仿宋" w:eastAsia="仿宋" w:cs="仿宋"/>
          <w:b w:val="0"/>
          <w:bCs/>
          <w:spacing w:val="-4"/>
          <w:sz w:val="28"/>
          <w:szCs w:val="28"/>
          <w:lang w:val="en-US" w:eastAsia="zh-CN"/>
        </w:rPr>
        <w:t>二</w:t>
      </w:r>
      <w:r>
        <w:rPr>
          <w:rStyle w:val="25"/>
          <w:rFonts w:hint="eastAsia" w:ascii="仿宋" w:hAnsi="仿宋" w:eastAsia="仿宋" w:cs="仿宋"/>
          <w:b w:val="0"/>
          <w:bCs/>
          <w:spacing w:val="-4"/>
          <w:sz w:val="28"/>
          <w:szCs w:val="28"/>
          <w:lang w:eastAsia="zh-CN"/>
        </w:rPr>
        <w:t>）</w:t>
      </w:r>
      <w:r>
        <w:rPr>
          <w:rStyle w:val="25"/>
          <w:rFonts w:hint="eastAsia" w:ascii="仿宋" w:hAnsi="仿宋" w:eastAsia="仿宋" w:cs="仿宋"/>
          <w:b w:val="0"/>
          <w:bCs/>
          <w:spacing w:val="-4"/>
          <w:sz w:val="28"/>
          <w:szCs w:val="28"/>
        </w:rPr>
        <w:t>存在问题及原因分析</w:t>
      </w:r>
    </w:p>
    <w:p>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1、预算执行力有待加强。项目预算编制方法还不够科学不够细化，对未来事业的发展需求缺少足够详实的支出规划，前期准备不够充分，考虑不够深入，导致预算支出执行进度不均衡。</w:t>
      </w:r>
    </w:p>
    <w:p>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kern w:val="0"/>
          <w:sz w:val="28"/>
          <w:szCs w:val="28"/>
          <w:lang w:val="en-US" w:eastAsia="zh-CN"/>
        </w:rPr>
        <w:t>2</w:t>
      </w:r>
      <w:r>
        <w:rPr>
          <w:rFonts w:hint="eastAsia" w:ascii="仿宋" w:hAnsi="仿宋" w:eastAsia="仿宋" w:cs="仿宋"/>
          <w:kern w:val="0"/>
          <w:sz w:val="28"/>
          <w:szCs w:val="28"/>
        </w:rPr>
        <w:t>、绩效指标</w:t>
      </w:r>
      <w:r>
        <w:rPr>
          <w:rFonts w:hint="eastAsia" w:ascii="仿宋" w:hAnsi="仿宋" w:eastAsia="仿宋" w:cs="仿宋"/>
          <w:kern w:val="0"/>
          <w:sz w:val="28"/>
          <w:szCs w:val="28"/>
          <w:lang w:eastAsia="zh-CN"/>
        </w:rPr>
        <w:t>设置</w:t>
      </w:r>
      <w:r>
        <w:rPr>
          <w:rFonts w:hint="eastAsia" w:ascii="仿宋" w:hAnsi="仿宋" w:eastAsia="仿宋" w:cs="仿宋"/>
          <w:kern w:val="0"/>
          <w:sz w:val="28"/>
          <w:szCs w:val="28"/>
        </w:rPr>
        <w:t>不够科学。绩效考核指标的设定还不够科学、准确，部分指标的设定缺乏数据支持和科学的分析，没有精准反映项目的真实情况。</w:t>
      </w:r>
    </w:p>
    <w:p>
      <w:pPr>
        <w:ind w:firstLine="643"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七、有关建议</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pPr>
        <w:ind w:firstLine="643" w:firstLineChars="200"/>
        <w:rPr>
          <w:rFonts w:hint="eastAsia" w:ascii="方正黑体_GBK" w:hAnsi="方正黑体_GBK" w:eastAsia="方正黑体_GBK" w:cs="方正黑体_GBK"/>
          <w:b/>
          <w:bCs/>
          <w:sz w:val="32"/>
          <w:szCs w:val="32"/>
          <w:highlight w:val="none"/>
        </w:rPr>
      </w:pPr>
      <w:r>
        <w:rPr>
          <w:rFonts w:hint="eastAsia" w:ascii="方正黑体_GBK" w:hAnsi="方正黑体_GBK" w:eastAsia="方正黑体_GBK" w:cs="方正黑体_GBK"/>
          <w:b/>
          <w:bCs/>
          <w:sz w:val="32"/>
          <w:szCs w:val="32"/>
          <w:highlight w:val="none"/>
        </w:rPr>
        <w:t>八、其他需要说明的问题</w:t>
      </w:r>
    </w:p>
    <w:p>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我单位对上述项目支出绩效评价报告内反映内容的真实性、完整性负责，接受上级部门及社</w:t>
      </w:r>
      <w:r>
        <w:rPr>
          <w:rFonts w:hint="eastAsia" w:ascii="仿宋" w:hAnsi="仿宋" w:eastAsia="仿宋" w:cs="仿宋"/>
          <w:sz w:val="28"/>
          <w:szCs w:val="28"/>
          <w:highlight w:val="none"/>
          <w:lang w:val="en-US" w:eastAsia="zh-CN"/>
        </w:rPr>
        <w:t>会监督。</w:t>
      </w:r>
    </w:p>
    <w:p>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0"/>
        <w:textAlignment w:val="auto"/>
        <w:rPr>
          <w:rFonts w:hint="eastAsia" w:ascii="仿宋" w:hAnsi="仿宋" w:eastAsia="仿宋" w:cs="仿宋"/>
          <w:sz w:val="28"/>
          <w:szCs w:val="28"/>
          <w:highlight w:val="none"/>
          <w:lang w:val="en-US" w:eastAsia="zh-CN"/>
        </w:rPr>
      </w:pPr>
    </w:p>
    <w:p>
      <w:pPr>
        <w:pStyle w:val="53"/>
        <w:keepNext w:val="0"/>
        <w:keepLines w:val="0"/>
        <w:pageBreakBefore w:val="0"/>
        <w:widowControl w:val="0"/>
        <w:kinsoku/>
        <w:wordWrap/>
        <w:overflowPunct/>
        <w:topLinePunct w:val="0"/>
        <w:autoSpaceDE/>
        <w:autoSpaceDN/>
        <w:bidi w:val="0"/>
        <w:adjustRightInd/>
        <w:snapToGrid/>
        <w:spacing w:line="560" w:lineRule="exact"/>
        <w:ind w:firstLine="560" w:firstLineChars="0"/>
        <w:textAlignment w:val="auto"/>
        <w:rPr>
          <w:rFonts w:hint="eastAsia" w:ascii="仿宋" w:hAnsi="仿宋" w:eastAsia="仿宋" w:cs="仿宋"/>
          <w:sz w:val="28"/>
          <w:szCs w:val="28"/>
          <w:highlight w:val="none"/>
          <w:lang w:val="en-US" w:eastAsia="zh-CN"/>
        </w:rPr>
      </w:pPr>
    </w:p>
    <w:p>
      <w:pPr>
        <w:pStyle w:val="20"/>
        <w:keepNext w:val="0"/>
        <w:keepLines w:val="0"/>
        <w:widowControl/>
        <w:suppressLineNumbers w:val="0"/>
        <w:spacing w:before="0" w:beforeAutospacing="0" w:after="0" w:afterAutospacing="0"/>
        <w:ind w:left="0" w:right="0" w:firstLine="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附件1：经营收入成本性支出项目绩效评价指标体系及评分标准</w:t>
      </w:r>
    </w:p>
    <w:p>
      <w:pPr>
        <w:pStyle w:val="20"/>
        <w:keepNext w:val="0"/>
        <w:keepLines w:val="0"/>
        <w:widowControl/>
        <w:suppressLineNumbers w:val="0"/>
        <w:spacing w:before="0" w:beforeAutospacing="0" w:after="0" w:afterAutospacing="0"/>
        <w:ind w:left="0" w:right="0" w:firstLine="0"/>
        <w:rPr>
          <w:rFonts w:hint="eastAsia" w:ascii="仿宋" w:hAnsi="仿宋" w:eastAsia="仿宋" w:cs="仿宋"/>
          <w:sz w:val="28"/>
          <w:szCs w:val="28"/>
          <w:highlight w:val="none"/>
          <w:lang w:val="en-US" w:eastAsia="zh-CN"/>
        </w:rPr>
      </w:pPr>
    </w:p>
    <w:tbl>
      <w:tblPr>
        <w:tblStyle w:val="23"/>
        <w:tblW w:w="855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09"/>
        <w:gridCol w:w="735"/>
        <w:gridCol w:w="762"/>
        <w:gridCol w:w="5342"/>
        <w:gridCol w:w="100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rPr>
        <w:tc>
          <w:tcPr>
            <w:tcW w:w="8550" w:type="dxa"/>
            <w:gridSpan w:val="5"/>
            <w:shd w:val="clear" w:color="auto" w:fill="BFBFBF"/>
            <w:vAlign w:val="center"/>
          </w:tcPr>
          <w:p>
            <w:pPr>
              <w:keepNext w:val="0"/>
              <w:keepLines w:val="0"/>
              <w:widowControl/>
              <w:suppressLineNumbers w:val="0"/>
              <w:jc w:val="left"/>
              <w:textAlignment w:val="center"/>
              <w:rPr>
                <w:b/>
                <w:bCs/>
                <w:color w:val="000000"/>
                <w:kern w:val="0"/>
                <w:sz w:val="22"/>
                <w:szCs w:val="22"/>
              </w:rPr>
            </w:pPr>
            <w:r>
              <w:rPr>
                <w:rFonts w:hint="eastAsia" w:ascii="宋体" w:hAnsi="宋体" w:eastAsia="宋体" w:cs="宋体"/>
                <w:b/>
                <w:bCs/>
                <w:i w:val="0"/>
                <w:iCs w:val="0"/>
                <w:color w:val="000000"/>
                <w:kern w:val="0"/>
                <w:sz w:val="28"/>
                <w:szCs w:val="28"/>
                <w:u w:val="none"/>
                <w:lang w:val="en-US" w:eastAsia="zh-CN" w:bidi="ar"/>
              </w:rPr>
              <w:t>附件1：综合评分表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87" w:hRule="atLeast"/>
        </w:trPr>
        <w:tc>
          <w:tcPr>
            <w:tcW w:w="8550" w:type="dxa"/>
            <w:gridSpan w:val="5"/>
            <w:shd w:val="clear" w:color="auto" w:fill="FFFFFF"/>
            <w:vAlign w:val="center"/>
          </w:tcPr>
          <w:p>
            <w:pPr>
              <w:keepNext w:val="0"/>
              <w:keepLines w:val="0"/>
              <w:widowControl/>
              <w:suppressLineNumbers w:val="0"/>
              <w:jc w:val="center"/>
              <w:textAlignment w:val="center"/>
              <w:rPr>
                <w:color w:val="000000"/>
                <w:kern w:val="0"/>
                <w:sz w:val="18"/>
                <w:szCs w:val="18"/>
              </w:rPr>
            </w:pPr>
            <w:r>
              <w:rPr>
                <w:rFonts w:hint="eastAsia" w:ascii="宋体" w:hAnsi="宋体" w:eastAsia="宋体" w:cs="宋体"/>
                <w:b/>
                <w:bCs/>
                <w:i w:val="0"/>
                <w:iCs w:val="0"/>
                <w:color w:val="000000"/>
                <w:kern w:val="0"/>
                <w:sz w:val="32"/>
                <w:szCs w:val="32"/>
                <w:u w:val="none"/>
                <w:lang w:val="en-US" w:eastAsia="zh-CN" w:bidi="ar"/>
              </w:rPr>
              <w:t>2023年度经营收入项目成本性支出项目绩效评价指标体系及评分标准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shd w:val="clear" w:color="auto" w:fill="FFFFFF"/>
            <w:vAlign w:val="center"/>
          </w:tcPr>
          <w:p>
            <w:pPr>
              <w:keepNext w:val="0"/>
              <w:keepLines w:val="0"/>
              <w:widowControl/>
              <w:suppressLineNumbers w:val="0"/>
              <w:jc w:val="center"/>
              <w:textAlignment w:val="center"/>
              <w:rPr>
                <w:color w:val="000000"/>
                <w:kern w:val="0"/>
                <w:sz w:val="18"/>
                <w:szCs w:val="18"/>
              </w:rPr>
            </w:pPr>
            <w:r>
              <w:rPr>
                <w:rFonts w:hint="eastAsia" w:ascii="方正仿宋_GBK" w:hAnsi="方正仿宋_GBK" w:eastAsia="方正仿宋_GBK" w:cs="方正仿宋_GBK"/>
                <w:b/>
                <w:bCs/>
                <w:i w:val="0"/>
                <w:iCs w:val="0"/>
                <w:color w:val="000000"/>
                <w:kern w:val="0"/>
                <w:sz w:val="24"/>
                <w:szCs w:val="24"/>
                <w:u w:val="none"/>
                <w:lang w:val="en-US" w:eastAsia="zh-CN" w:bidi="ar"/>
              </w:rPr>
              <w:t>一级指标</w:t>
            </w:r>
          </w:p>
        </w:tc>
        <w:tc>
          <w:tcPr>
            <w:tcW w:w="735" w:type="dxa"/>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b/>
                <w:bCs/>
                <w:i w:val="0"/>
                <w:iCs w:val="0"/>
                <w:color w:val="000000"/>
                <w:kern w:val="0"/>
                <w:sz w:val="24"/>
                <w:szCs w:val="24"/>
                <w:u w:val="none"/>
                <w:lang w:val="en-US" w:eastAsia="zh-CN" w:bidi="ar"/>
              </w:rPr>
              <w:t>二级指标</w:t>
            </w:r>
          </w:p>
        </w:tc>
        <w:tc>
          <w:tcPr>
            <w:tcW w:w="762" w:type="dxa"/>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b/>
                <w:bCs/>
                <w:i w:val="0"/>
                <w:iCs w:val="0"/>
                <w:color w:val="000000"/>
                <w:kern w:val="0"/>
                <w:sz w:val="24"/>
                <w:szCs w:val="24"/>
                <w:u w:val="none"/>
                <w:lang w:val="en-US" w:eastAsia="zh-CN" w:bidi="ar"/>
              </w:rPr>
              <w:t>三级指标</w:t>
            </w:r>
          </w:p>
        </w:tc>
        <w:tc>
          <w:tcPr>
            <w:tcW w:w="5342" w:type="dxa"/>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b/>
                <w:bCs/>
                <w:i w:val="0"/>
                <w:iCs w:val="0"/>
                <w:color w:val="000000"/>
                <w:kern w:val="0"/>
                <w:sz w:val="24"/>
                <w:szCs w:val="24"/>
                <w:u w:val="none"/>
                <w:lang w:val="en-US" w:eastAsia="zh-CN" w:bidi="ar"/>
              </w:rPr>
              <w:t>评价标准</w:t>
            </w:r>
          </w:p>
        </w:tc>
        <w:tc>
          <w:tcPr>
            <w:tcW w:w="1002" w:type="dxa"/>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b/>
                <w:bCs/>
                <w:i w:val="0"/>
                <w:iCs w:val="0"/>
                <w:color w:val="000000"/>
                <w:kern w:val="0"/>
                <w:sz w:val="24"/>
                <w:szCs w:val="24"/>
                <w:u w:val="none"/>
                <w:lang w:val="en-US" w:eastAsia="zh-CN" w:bidi="ar"/>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restart"/>
            <w:shd w:val="clear" w:color="auto" w:fill="FFFFFF"/>
            <w:vAlign w:val="center"/>
          </w:tcPr>
          <w:p>
            <w:pPr>
              <w:keepNext w:val="0"/>
              <w:keepLines w:val="0"/>
              <w:widowControl/>
              <w:suppressLineNumbers w:val="0"/>
              <w:jc w:val="center"/>
              <w:textAlignment w:val="center"/>
              <w:rPr>
                <w:color w:val="000000"/>
                <w:kern w:val="0"/>
                <w:sz w:val="18"/>
                <w:szCs w:val="18"/>
              </w:rPr>
            </w:pPr>
            <w:r>
              <w:rPr>
                <w:rFonts w:hint="eastAsia" w:ascii="方正仿宋_GBK" w:hAnsi="方正仿宋_GBK" w:eastAsia="方正仿宋_GBK" w:cs="方正仿宋_GBK"/>
                <w:i w:val="0"/>
                <w:iCs w:val="0"/>
                <w:color w:val="000000"/>
                <w:kern w:val="0"/>
                <w:sz w:val="24"/>
                <w:szCs w:val="24"/>
                <w:u w:val="none"/>
                <w:lang w:val="en-US" w:eastAsia="zh-CN" w:bidi="ar"/>
              </w:rPr>
              <w:t>决策（20分）</w:t>
            </w:r>
          </w:p>
        </w:tc>
        <w:tc>
          <w:tcPr>
            <w:tcW w:w="735" w:type="dxa"/>
            <w:vMerge w:val="restart"/>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项目立项（5分）</w:t>
            </w:r>
          </w:p>
        </w:tc>
        <w:tc>
          <w:tcPr>
            <w:tcW w:w="762" w:type="dxa"/>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立项依据充分性（3分）</w:t>
            </w:r>
          </w:p>
        </w:tc>
        <w:tc>
          <w:tcPr>
            <w:tcW w:w="5342" w:type="dxa"/>
            <w:shd w:val="clear" w:color="auto" w:fill="FFFFFF"/>
            <w:vAlign w:val="top"/>
          </w:tcPr>
          <w:p>
            <w:pPr>
              <w:keepNext w:val="0"/>
              <w:keepLines w:val="0"/>
              <w:widowControl/>
              <w:suppressLineNumbers w:val="0"/>
              <w:jc w:val="both"/>
              <w:textAlignment w:val="top"/>
            </w:pPr>
            <w:r>
              <w:rPr>
                <w:rFonts w:hint="eastAsia" w:ascii="方正仿宋_GBK" w:hAnsi="方正仿宋_GBK" w:eastAsia="方正仿宋_GBK" w:cs="方正仿宋_GBK"/>
                <w:i w:val="0"/>
                <w:iCs w:val="0"/>
                <w:color w:val="000000"/>
                <w:kern w:val="0"/>
                <w:sz w:val="24"/>
                <w:szCs w:val="24"/>
                <w:u w:val="none"/>
                <w:lang w:val="en-US" w:eastAsia="zh-CN" w:bidi="ar"/>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⑤项目是否与相关部门同类项目或部门内部相关项目重复0.5分，否则不得分.</w:t>
            </w:r>
          </w:p>
        </w:tc>
        <w:tc>
          <w:tcPr>
            <w:tcW w:w="1002" w:type="dxa"/>
            <w:shd w:val="clear" w:color="auto" w:fill="FFFFFF"/>
            <w:vAlign w:val="center"/>
          </w:tcPr>
          <w:p>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color w:val="000000"/>
                <w:kern w:val="0"/>
                <w:sz w:val="18"/>
                <w:szCs w:val="18"/>
              </w:rPr>
            </w:pPr>
          </w:p>
        </w:tc>
        <w:tc>
          <w:tcPr>
            <w:tcW w:w="735" w:type="dxa"/>
            <w:vMerge w:val="continue"/>
            <w:shd w:val="clear" w:color="auto" w:fill="FFFFFF"/>
            <w:vAlign w:val="center"/>
          </w:tcPr>
          <w:p>
            <w:pPr>
              <w:jc w:val="center"/>
            </w:pPr>
          </w:p>
        </w:tc>
        <w:tc>
          <w:tcPr>
            <w:tcW w:w="762" w:type="dxa"/>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立项程序（2分）</w:t>
            </w:r>
          </w:p>
        </w:tc>
        <w:tc>
          <w:tcPr>
            <w:tcW w:w="5342" w:type="dxa"/>
            <w:shd w:val="clear" w:color="auto" w:fill="FFFFFF"/>
            <w:vAlign w:val="center"/>
          </w:tcPr>
          <w:p>
            <w:pPr>
              <w:keepNext w:val="0"/>
              <w:keepLines w:val="0"/>
              <w:widowControl/>
              <w:suppressLineNumbers w:val="0"/>
              <w:jc w:val="left"/>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①项目是否按照规定的程序申请设立得1分，否则不得分；②审批文件、材料是否符合相关要求得0.5分，否则不得分；③事前是否已经过必要的可行性研究、专家论证、风险评估、绩效评估、集体决策得0.5分，否则不得分。</w:t>
            </w:r>
          </w:p>
        </w:tc>
        <w:tc>
          <w:tcPr>
            <w:tcW w:w="1002" w:type="dxa"/>
            <w:shd w:val="clear" w:color="auto" w:fill="FFFFFF"/>
            <w:vAlign w:val="center"/>
          </w:tcPr>
          <w:p>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color w:val="000000"/>
                <w:kern w:val="0"/>
                <w:sz w:val="18"/>
                <w:szCs w:val="18"/>
              </w:rPr>
            </w:pPr>
          </w:p>
        </w:tc>
        <w:tc>
          <w:tcPr>
            <w:tcW w:w="735" w:type="dxa"/>
            <w:vMerge w:val="restart"/>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绩效目标（5分）</w:t>
            </w:r>
          </w:p>
        </w:tc>
        <w:tc>
          <w:tcPr>
            <w:tcW w:w="762" w:type="dxa"/>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绩效目标合理性（3分）</w:t>
            </w:r>
          </w:p>
        </w:tc>
        <w:tc>
          <w:tcPr>
            <w:tcW w:w="5342" w:type="dxa"/>
            <w:shd w:val="clear" w:color="auto" w:fill="FFFFFF"/>
            <w:vAlign w:val="center"/>
          </w:tcPr>
          <w:p>
            <w:pPr>
              <w:keepNext w:val="0"/>
              <w:keepLines w:val="0"/>
              <w:widowControl/>
              <w:suppressLineNumbers w:val="0"/>
              <w:jc w:val="left"/>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①项目是否有绩效目标得0.5分，否则不得分；②项目绩效目标与实际工作内容是否具有相关性得1分，否则不得分；③项目预期产出效益和效果是否符合正常的业绩水平得0.5分，否则不得分；④是否与预算确定的项目投资额或资金量相匹配得1分，否则不得分。</w:t>
            </w:r>
          </w:p>
        </w:tc>
        <w:tc>
          <w:tcPr>
            <w:tcW w:w="1002" w:type="dxa"/>
            <w:shd w:val="clear" w:color="auto" w:fill="FFFFFF"/>
            <w:vAlign w:val="center"/>
          </w:tcPr>
          <w:p>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color w:val="000000"/>
                <w:kern w:val="0"/>
                <w:sz w:val="18"/>
                <w:szCs w:val="18"/>
              </w:rPr>
            </w:pPr>
          </w:p>
        </w:tc>
        <w:tc>
          <w:tcPr>
            <w:tcW w:w="735" w:type="dxa"/>
            <w:vMerge w:val="continue"/>
            <w:shd w:val="clear" w:color="auto" w:fill="FFFFFF"/>
            <w:vAlign w:val="center"/>
          </w:tcPr>
          <w:p>
            <w:pPr>
              <w:jc w:val="center"/>
            </w:pPr>
          </w:p>
        </w:tc>
        <w:tc>
          <w:tcPr>
            <w:tcW w:w="762" w:type="dxa"/>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绩效指标明确性（2分）</w:t>
            </w:r>
          </w:p>
        </w:tc>
        <w:tc>
          <w:tcPr>
            <w:tcW w:w="5342" w:type="dxa"/>
            <w:shd w:val="clear" w:color="auto" w:fill="FFFFFF"/>
            <w:vAlign w:val="center"/>
          </w:tcPr>
          <w:p>
            <w:pPr>
              <w:keepNext w:val="0"/>
              <w:keepLines w:val="0"/>
              <w:widowControl/>
              <w:suppressLineNumbers w:val="0"/>
              <w:jc w:val="left"/>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①是否将项目绩效目标细化分解为具体的绩效指标得0.5分，否则不得分；②是否通过清晰、可衡量的指标值予以体现得1分，否则不得分；③是否与项目目标任务数或计划数相对应得0.5分，否则不得分。</w:t>
            </w:r>
          </w:p>
        </w:tc>
        <w:tc>
          <w:tcPr>
            <w:tcW w:w="1002" w:type="dxa"/>
            <w:shd w:val="clear" w:color="auto" w:fill="FFFFFF"/>
            <w:vAlign w:val="center"/>
          </w:tcPr>
          <w:p>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7" w:hRule="atLeast"/>
        </w:trPr>
        <w:tc>
          <w:tcPr>
            <w:tcW w:w="709" w:type="dxa"/>
            <w:vMerge w:val="continue"/>
            <w:shd w:val="clear" w:color="auto" w:fill="FFFFFF"/>
            <w:vAlign w:val="center"/>
          </w:tcPr>
          <w:p>
            <w:pPr>
              <w:jc w:val="center"/>
              <w:rPr>
                <w:color w:val="000000"/>
                <w:kern w:val="0"/>
                <w:sz w:val="18"/>
                <w:szCs w:val="18"/>
              </w:rPr>
            </w:pPr>
          </w:p>
        </w:tc>
        <w:tc>
          <w:tcPr>
            <w:tcW w:w="735" w:type="dxa"/>
            <w:vMerge w:val="restart"/>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资金投入（10分）</w:t>
            </w:r>
          </w:p>
        </w:tc>
        <w:tc>
          <w:tcPr>
            <w:tcW w:w="762" w:type="dxa"/>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预算编制（5分）</w:t>
            </w:r>
          </w:p>
        </w:tc>
        <w:tc>
          <w:tcPr>
            <w:tcW w:w="5342" w:type="dxa"/>
            <w:shd w:val="clear" w:color="auto" w:fill="FFFFFF"/>
            <w:vAlign w:val="center"/>
          </w:tcPr>
          <w:p>
            <w:pPr>
              <w:keepNext w:val="0"/>
              <w:keepLines w:val="0"/>
              <w:widowControl/>
              <w:suppressLineNumbers w:val="0"/>
              <w:jc w:val="left"/>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①预算编制是否经过科学论证得1分，否则不得分；②预算内容与项目内容是否匹配得1分，否则不得分；③预算额度测算依据是否充分，是否按照标准编制得1分，否则不得分；④预算确定的项目投资额或资金量是否与工作任务相匹配得2分，否则不得分。</w:t>
            </w:r>
          </w:p>
        </w:tc>
        <w:tc>
          <w:tcPr>
            <w:tcW w:w="1002" w:type="dxa"/>
            <w:shd w:val="clear" w:color="auto" w:fill="FFFFFF"/>
            <w:vAlign w:val="center"/>
          </w:tcPr>
          <w:p>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trPr>
        <w:tc>
          <w:tcPr>
            <w:tcW w:w="709" w:type="dxa"/>
            <w:vMerge w:val="continue"/>
            <w:shd w:val="clear" w:color="auto" w:fill="FFFFFF"/>
            <w:vAlign w:val="center"/>
          </w:tcPr>
          <w:p>
            <w:pPr>
              <w:jc w:val="center"/>
              <w:rPr>
                <w:color w:val="000000"/>
                <w:kern w:val="0"/>
                <w:sz w:val="18"/>
                <w:szCs w:val="18"/>
              </w:rPr>
            </w:pPr>
          </w:p>
        </w:tc>
        <w:tc>
          <w:tcPr>
            <w:tcW w:w="735" w:type="dxa"/>
            <w:vMerge w:val="continue"/>
            <w:shd w:val="clear" w:color="auto" w:fill="FFFFFF"/>
            <w:vAlign w:val="center"/>
          </w:tcPr>
          <w:p>
            <w:pPr>
              <w:jc w:val="center"/>
            </w:pPr>
          </w:p>
        </w:tc>
        <w:tc>
          <w:tcPr>
            <w:tcW w:w="762" w:type="dxa"/>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资金分配合理性（5分）</w:t>
            </w:r>
          </w:p>
        </w:tc>
        <w:tc>
          <w:tcPr>
            <w:tcW w:w="5342" w:type="dxa"/>
            <w:shd w:val="clear" w:color="auto" w:fill="FFFFFF"/>
            <w:vAlign w:val="center"/>
          </w:tcPr>
          <w:p>
            <w:pPr>
              <w:keepNext w:val="0"/>
              <w:keepLines w:val="0"/>
              <w:widowControl/>
              <w:suppressLineNumbers w:val="0"/>
              <w:jc w:val="left"/>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①预算资金分配依据是否充分得2.5分，否则不得分；②资金分配额度是否合理，与项目单位或地方实际是否相适应得2.5分，否则不得分。</w:t>
            </w:r>
          </w:p>
        </w:tc>
        <w:tc>
          <w:tcPr>
            <w:tcW w:w="1002" w:type="dxa"/>
            <w:shd w:val="clear" w:color="auto" w:fill="FFFFFF"/>
            <w:vAlign w:val="center"/>
          </w:tcPr>
          <w:p>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restart"/>
            <w:shd w:val="clear" w:color="auto" w:fill="FFFFFF"/>
            <w:vAlign w:val="center"/>
          </w:tcPr>
          <w:p>
            <w:pPr>
              <w:keepNext w:val="0"/>
              <w:keepLines w:val="0"/>
              <w:widowControl/>
              <w:suppressLineNumbers w:val="0"/>
              <w:jc w:val="center"/>
              <w:textAlignment w:val="center"/>
              <w:rPr>
                <w:color w:val="000000"/>
                <w:kern w:val="0"/>
                <w:sz w:val="18"/>
                <w:szCs w:val="18"/>
              </w:rPr>
            </w:pPr>
            <w:r>
              <w:rPr>
                <w:rFonts w:hint="eastAsia" w:ascii="方正仿宋_GBK" w:hAnsi="方正仿宋_GBK" w:eastAsia="方正仿宋_GBK" w:cs="方正仿宋_GBK"/>
                <w:i w:val="0"/>
                <w:iCs w:val="0"/>
                <w:color w:val="000000"/>
                <w:kern w:val="0"/>
                <w:sz w:val="24"/>
                <w:szCs w:val="24"/>
                <w:u w:val="none"/>
                <w:lang w:val="en-US" w:eastAsia="zh-CN" w:bidi="ar"/>
              </w:rPr>
              <w:t>过程（20分）</w:t>
            </w:r>
          </w:p>
        </w:tc>
        <w:tc>
          <w:tcPr>
            <w:tcW w:w="735" w:type="dxa"/>
            <w:vMerge w:val="restart"/>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资金管理（15分）</w:t>
            </w:r>
          </w:p>
        </w:tc>
        <w:tc>
          <w:tcPr>
            <w:tcW w:w="762" w:type="dxa"/>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资金到位率（5分）</w:t>
            </w:r>
          </w:p>
        </w:tc>
        <w:tc>
          <w:tcPr>
            <w:tcW w:w="5342" w:type="dxa"/>
            <w:shd w:val="clear" w:color="auto" w:fill="FFFFFF"/>
            <w:vAlign w:val="center"/>
          </w:tcPr>
          <w:p>
            <w:pPr>
              <w:keepNext w:val="0"/>
              <w:keepLines w:val="0"/>
              <w:widowControl/>
              <w:suppressLineNumbers w:val="0"/>
              <w:jc w:val="left"/>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资金到位率=（实际到位资金/预算资金）×100%，实际到位资金：一定时期（本年度或项目期）内落实到具体项目的资金得2.5分，否则不得分；预算资金：一定时期（本年度或项目期）内预算安排到具体项目的资金得2.5分，否则不得分。</w:t>
            </w:r>
          </w:p>
        </w:tc>
        <w:tc>
          <w:tcPr>
            <w:tcW w:w="1002" w:type="dxa"/>
            <w:shd w:val="clear" w:color="auto" w:fill="FFFFFF"/>
            <w:vAlign w:val="center"/>
          </w:tcPr>
          <w:p>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color w:val="000000"/>
                <w:kern w:val="0"/>
                <w:sz w:val="18"/>
                <w:szCs w:val="18"/>
              </w:rPr>
            </w:pPr>
          </w:p>
        </w:tc>
        <w:tc>
          <w:tcPr>
            <w:tcW w:w="735" w:type="dxa"/>
            <w:vMerge w:val="continue"/>
            <w:shd w:val="clear" w:color="auto" w:fill="FFFFFF"/>
            <w:vAlign w:val="center"/>
          </w:tcPr>
          <w:p>
            <w:pPr>
              <w:jc w:val="center"/>
            </w:pPr>
          </w:p>
        </w:tc>
        <w:tc>
          <w:tcPr>
            <w:tcW w:w="762" w:type="dxa"/>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预算执行率（5分）</w:t>
            </w:r>
          </w:p>
        </w:tc>
        <w:tc>
          <w:tcPr>
            <w:tcW w:w="5342" w:type="dxa"/>
            <w:shd w:val="clear" w:color="auto" w:fill="FFFFFF"/>
            <w:vAlign w:val="center"/>
          </w:tcPr>
          <w:p>
            <w:pPr>
              <w:keepNext w:val="0"/>
              <w:keepLines w:val="0"/>
              <w:widowControl/>
              <w:suppressLineNumbers w:val="0"/>
              <w:jc w:val="left"/>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预算执行率为100%，得5分，否则得分=（实际支出资金/实际到位资金）×100%*5。</w:t>
            </w:r>
          </w:p>
        </w:tc>
        <w:tc>
          <w:tcPr>
            <w:tcW w:w="1002" w:type="dxa"/>
            <w:shd w:val="clear" w:color="auto" w:fill="FFFFFF"/>
            <w:vAlign w:val="center"/>
          </w:tcPr>
          <w:p>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color w:val="000000"/>
                <w:kern w:val="0"/>
                <w:sz w:val="18"/>
                <w:szCs w:val="18"/>
              </w:rPr>
            </w:pPr>
          </w:p>
        </w:tc>
        <w:tc>
          <w:tcPr>
            <w:tcW w:w="735" w:type="dxa"/>
            <w:vMerge w:val="continue"/>
            <w:shd w:val="clear" w:color="auto" w:fill="FFFFFF"/>
            <w:vAlign w:val="center"/>
          </w:tcPr>
          <w:p>
            <w:pPr>
              <w:jc w:val="center"/>
            </w:pPr>
          </w:p>
        </w:tc>
        <w:tc>
          <w:tcPr>
            <w:tcW w:w="762" w:type="dxa"/>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资金使用合规性（5分）</w:t>
            </w:r>
          </w:p>
        </w:tc>
        <w:tc>
          <w:tcPr>
            <w:tcW w:w="5342" w:type="dxa"/>
            <w:shd w:val="clear" w:color="auto" w:fill="FFFFFF"/>
            <w:vAlign w:val="center"/>
          </w:tcPr>
          <w:p>
            <w:pPr>
              <w:keepNext w:val="0"/>
              <w:keepLines w:val="0"/>
              <w:widowControl/>
              <w:suppressLineNumbers w:val="0"/>
              <w:jc w:val="left"/>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①是否符合国家财经法规和财务管理制度以及有关专项资金管理办法的规定得1分，否则不得分；②资金的拨付是否有完整的审批程序和手续得1分，否则不得分；③是否符合项目预算批复或合同规定的用途得1分，否则不得分；④是否存在截留、挤占、挪用、虚列支出等情况得2分，否则不得分。</w:t>
            </w:r>
          </w:p>
        </w:tc>
        <w:tc>
          <w:tcPr>
            <w:tcW w:w="1002" w:type="dxa"/>
            <w:shd w:val="clear" w:color="auto" w:fill="FFFFFF"/>
            <w:vAlign w:val="center"/>
          </w:tcPr>
          <w:p>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color w:val="000000"/>
                <w:kern w:val="0"/>
                <w:sz w:val="18"/>
                <w:szCs w:val="18"/>
              </w:rPr>
            </w:pPr>
          </w:p>
        </w:tc>
        <w:tc>
          <w:tcPr>
            <w:tcW w:w="735" w:type="dxa"/>
            <w:vMerge w:val="restart"/>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组织实施（5分）</w:t>
            </w:r>
          </w:p>
        </w:tc>
        <w:tc>
          <w:tcPr>
            <w:tcW w:w="762" w:type="dxa"/>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管理制度健全性（2分）</w:t>
            </w:r>
          </w:p>
        </w:tc>
        <w:tc>
          <w:tcPr>
            <w:tcW w:w="5342" w:type="dxa"/>
            <w:shd w:val="clear" w:color="auto" w:fill="FFFFFF"/>
            <w:vAlign w:val="center"/>
          </w:tcPr>
          <w:p>
            <w:pPr>
              <w:keepNext w:val="0"/>
              <w:keepLines w:val="0"/>
              <w:widowControl/>
              <w:suppressLineNumbers w:val="0"/>
              <w:jc w:val="left"/>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①是否已制定或具有相应的财务和业务管理制度得1分，否则不得分；②财务和业务管理制度是否合法、合规、完整得1分，否则不得分。</w:t>
            </w:r>
          </w:p>
        </w:tc>
        <w:tc>
          <w:tcPr>
            <w:tcW w:w="1002" w:type="dxa"/>
            <w:shd w:val="clear" w:color="auto" w:fill="FFFFFF"/>
            <w:vAlign w:val="center"/>
          </w:tcPr>
          <w:p>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color w:val="000000"/>
                <w:kern w:val="0"/>
                <w:sz w:val="18"/>
                <w:szCs w:val="18"/>
              </w:rPr>
            </w:pPr>
          </w:p>
        </w:tc>
        <w:tc>
          <w:tcPr>
            <w:tcW w:w="735" w:type="dxa"/>
            <w:vMerge w:val="continue"/>
            <w:shd w:val="clear" w:color="auto" w:fill="FFFFFF"/>
            <w:vAlign w:val="center"/>
          </w:tcPr>
          <w:p>
            <w:pPr>
              <w:jc w:val="center"/>
            </w:pPr>
          </w:p>
        </w:tc>
        <w:tc>
          <w:tcPr>
            <w:tcW w:w="762" w:type="dxa"/>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制度执行（3分）</w:t>
            </w:r>
          </w:p>
        </w:tc>
        <w:tc>
          <w:tcPr>
            <w:tcW w:w="5342" w:type="dxa"/>
            <w:shd w:val="clear" w:color="auto" w:fill="FFFFFF"/>
            <w:vAlign w:val="center"/>
          </w:tcPr>
          <w:p>
            <w:pPr>
              <w:keepNext w:val="0"/>
              <w:keepLines w:val="0"/>
              <w:widowControl/>
              <w:suppressLineNumbers w:val="0"/>
              <w:jc w:val="left"/>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①是否遵守相关法律法规和相关管理规定得1分，否则不得分；；②项目调整及支出调整手续是否完备得1分，否则不得分；③项目合同书、验收报告、技术鉴定等资料是否齐全并及时归档得0.5分，否则不得分；；④项目实施的人员条件、场地设备、信息支撑等是否落实到位得0.5分，否则不得分。</w:t>
            </w:r>
          </w:p>
        </w:tc>
        <w:tc>
          <w:tcPr>
            <w:tcW w:w="1002" w:type="dxa"/>
            <w:shd w:val="clear" w:color="auto" w:fill="FFFFFF"/>
            <w:vAlign w:val="center"/>
          </w:tcPr>
          <w:p>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restart"/>
            <w:shd w:val="clear" w:color="auto" w:fill="FFFFFF"/>
            <w:vAlign w:val="center"/>
          </w:tcPr>
          <w:p>
            <w:pPr>
              <w:keepNext w:val="0"/>
              <w:keepLines w:val="0"/>
              <w:widowControl/>
              <w:suppressLineNumbers w:val="0"/>
              <w:jc w:val="center"/>
              <w:textAlignment w:val="center"/>
              <w:rPr>
                <w:color w:val="000000"/>
                <w:kern w:val="0"/>
                <w:sz w:val="18"/>
                <w:szCs w:val="18"/>
              </w:rPr>
            </w:pPr>
            <w:r>
              <w:rPr>
                <w:rFonts w:hint="eastAsia" w:ascii="方正仿宋_GBK" w:hAnsi="方正仿宋_GBK" w:eastAsia="方正仿宋_GBK" w:cs="方正仿宋_GBK"/>
                <w:i w:val="0"/>
                <w:iCs w:val="0"/>
                <w:color w:val="000000"/>
                <w:kern w:val="0"/>
                <w:sz w:val="24"/>
                <w:szCs w:val="24"/>
                <w:u w:val="none"/>
                <w:lang w:val="en-US" w:eastAsia="zh-CN" w:bidi="ar"/>
              </w:rPr>
              <w:t>产出（40分）</w:t>
            </w:r>
          </w:p>
        </w:tc>
        <w:tc>
          <w:tcPr>
            <w:tcW w:w="735" w:type="dxa"/>
            <w:vMerge w:val="restart"/>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产出数量（</w:t>
            </w:r>
            <w:r>
              <w:rPr>
                <w:rFonts w:hint="default" w:ascii="Times New Roman" w:hAnsi="Times New Roman" w:eastAsia="方正仿宋_GBK" w:cs="Times New Roman"/>
                <w:i w:val="0"/>
                <w:iCs w:val="0"/>
                <w:color w:val="000000"/>
                <w:kern w:val="0"/>
                <w:sz w:val="24"/>
                <w:szCs w:val="24"/>
                <w:u w:val="none"/>
                <w:lang w:val="en-US" w:eastAsia="zh-CN" w:bidi="ar"/>
              </w:rPr>
              <w:t>10</w:t>
            </w:r>
            <w:r>
              <w:rPr>
                <w:rFonts w:hint="eastAsia" w:ascii="方正仿宋_GBK" w:hAnsi="方正仿宋_GBK" w:eastAsia="方正仿宋_GBK" w:cs="方正仿宋_GBK"/>
                <w:i w:val="0"/>
                <w:iCs w:val="0"/>
                <w:color w:val="000000"/>
                <w:kern w:val="0"/>
                <w:sz w:val="24"/>
                <w:szCs w:val="24"/>
                <w:u w:val="none"/>
                <w:lang w:val="en-US" w:eastAsia="zh-CN" w:bidi="ar"/>
              </w:rPr>
              <w:t>分）</w:t>
            </w:r>
          </w:p>
        </w:tc>
        <w:tc>
          <w:tcPr>
            <w:tcW w:w="762" w:type="dxa"/>
            <w:vMerge w:val="restart"/>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实际完成率（10分）</w:t>
            </w:r>
          </w:p>
        </w:tc>
        <w:tc>
          <w:tcPr>
            <w:tcW w:w="5342" w:type="dxa"/>
            <w:shd w:val="clear" w:color="auto" w:fill="FFFFFF"/>
            <w:vAlign w:val="center"/>
          </w:tcPr>
          <w:p>
            <w:pPr>
              <w:keepNext w:val="0"/>
              <w:keepLines w:val="0"/>
              <w:widowControl/>
              <w:suppressLineNumbers w:val="0"/>
              <w:jc w:val="both"/>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①“劳务派遣人员人数”完成该指标得满分（2.5分），否则按照（实际产出数/计划产出数）×100%*2.5分得分。</w:t>
            </w:r>
          </w:p>
        </w:tc>
        <w:tc>
          <w:tcPr>
            <w:tcW w:w="1002" w:type="dxa"/>
            <w:vMerge w:val="restart"/>
            <w:shd w:val="clear" w:color="auto" w:fill="FFFFFF"/>
            <w:vAlign w:val="center"/>
          </w:tcPr>
          <w:p>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color w:val="000000"/>
                <w:kern w:val="0"/>
                <w:sz w:val="18"/>
                <w:szCs w:val="18"/>
              </w:rPr>
            </w:pPr>
          </w:p>
        </w:tc>
        <w:tc>
          <w:tcPr>
            <w:tcW w:w="735" w:type="dxa"/>
            <w:vMerge w:val="continue"/>
            <w:shd w:val="clear" w:color="auto" w:fill="FFFFFF"/>
            <w:vAlign w:val="center"/>
          </w:tcPr>
          <w:p>
            <w:pPr>
              <w:jc w:val="center"/>
            </w:pPr>
          </w:p>
        </w:tc>
        <w:tc>
          <w:tcPr>
            <w:tcW w:w="762" w:type="dxa"/>
            <w:vMerge w:val="continue"/>
            <w:shd w:val="clear" w:color="auto" w:fill="FFFFFF"/>
            <w:vAlign w:val="center"/>
          </w:tcPr>
          <w:p>
            <w:pPr>
              <w:jc w:val="center"/>
            </w:pPr>
          </w:p>
        </w:tc>
        <w:tc>
          <w:tcPr>
            <w:tcW w:w="5342" w:type="dxa"/>
            <w:shd w:val="clear" w:color="auto" w:fill="FFFFFF"/>
            <w:vAlign w:val="center"/>
          </w:tcPr>
          <w:p>
            <w:pPr>
              <w:keepNext w:val="0"/>
              <w:keepLines w:val="0"/>
              <w:widowControl/>
              <w:suppressLineNumbers w:val="0"/>
              <w:jc w:val="both"/>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②“技术咨询服务次数”完成该指标得满分（2.5分），否则按照（实际产出数/计划产出数）×100%*2.5分得分。</w:t>
            </w:r>
          </w:p>
        </w:tc>
        <w:tc>
          <w:tcPr>
            <w:tcW w:w="1002" w:type="dxa"/>
            <w:vMerge w:val="continue"/>
            <w:shd w:val="clear" w:color="auto" w:fill="FFFFFF"/>
            <w:vAlign w:val="center"/>
          </w:tcPr>
          <w:p>
            <w:pPr>
              <w:jc w:val="cente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color w:val="000000"/>
                <w:kern w:val="0"/>
                <w:sz w:val="18"/>
                <w:szCs w:val="18"/>
              </w:rPr>
            </w:pPr>
          </w:p>
        </w:tc>
        <w:tc>
          <w:tcPr>
            <w:tcW w:w="735" w:type="dxa"/>
            <w:vMerge w:val="continue"/>
            <w:shd w:val="clear" w:color="auto" w:fill="FFFFFF"/>
            <w:vAlign w:val="center"/>
          </w:tcPr>
          <w:p>
            <w:pPr>
              <w:jc w:val="center"/>
            </w:pPr>
          </w:p>
        </w:tc>
        <w:tc>
          <w:tcPr>
            <w:tcW w:w="762" w:type="dxa"/>
            <w:vMerge w:val="continue"/>
            <w:shd w:val="clear" w:color="auto" w:fill="FFFFFF"/>
            <w:vAlign w:val="center"/>
          </w:tcPr>
          <w:p>
            <w:pPr>
              <w:jc w:val="center"/>
            </w:pPr>
          </w:p>
        </w:tc>
        <w:tc>
          <w:tcPr>
            <w:tcW w:w="5342" w:type="dxa"/>
            <w:shd w:val="clear" w:color="auto" w:fill="FFFFFF"/>
            <w:vAlign w:val="center"/>
          </w:tcPr>
          <w:p>
            <w:pPr>
              <w:keepNext w:val="0"/>
              <w:keepLines w:val="0"/>
              <w:widowControl/>
              <w:suppressLineNumbers w:val="0"/>
              <w:jc w:val="both"/>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③“驻村工作组数量”完成该指标得满分（2.5分），否则按照（实际产出数/计划产出数）×100%*2.5分得分。</w:t>
            </w:r>
          </w:p>
        </w:tc>
        <w:tc>
          <w:tcPr>
            <w:tcW w:w="1002" w:type="dxa"/>
            <w:vMerge w:val="continue"/>
            <w:shd w:val="clear" w:color="auto" w:fill="FFFFFF"/>
            <w:vAlign w:val="center"/>
          </w:tcPr>
          <w:p>
            <w:pPr>
              <w:jc w:val="cente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color w:val="000000"/>
                <w:kern w:val="0"/>
                <w:sz w:val="18"/>
                <w:szCs w:val="18"/>
              </w:rPr>
            </w:pPr>
          </w:p>
        </w:tc>
        <w:tc>
          <w:tcPr>
            <w:tcW w:w="735" w:type="dxa"/>
            <w:vMerge w:val="continue"/>
            <w:shd w:val="clear" w:color="auto" w:fill="FFFFFF"/>
            <w:vAlign w:val="center"/>
          </w:tcPr>
          <w:p>
            <w:pPr>
              <w:jc w:val="center"/>
            </w:pPr>
          </w:p>
        </w:tc>
        <w:tc>
          <w:tcPr>
            <w:tcW w:w="762" w:type="dxa"/>
            <w:vMerge w:val="continue"/>
            <w:shd w:val="clear" w:color="auto" w:fill="FFFFFF"/>
            <w:vAlign w:val="center"/>
          </w:tcPr>
          <w:p>
            <w:pPr>
              <w:jc w:val="center"/>
            </w:pPr>
          </w:p>
        </w:tc>
        <w:tc>
          <w:tcPr>
            <w:tcW w:w="5342" w:type="dxa"/>
            <w:shd w:val="clear" w:color="auto" w:fill="FFFFFF"/>
            <w:vAlign w:val="center"/>
          </w:tcPr>
          <w:p>
            <w:pPr>
              <w:keepNext w:val="0"/>
              <w:keepLines w:val="0"/>
              <w:widowControl/>
              <w:suppressLineNumbers w:val="0"/>
              <w:jc w:val="both"/>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④“人员工资及社保发放缴纳次数”完成该指标得满分（2.5分），否则按照（实际产出数/计划产出数）×100%*2.5分得分。</w:t>
            </w:r>
          </w:p>
        </w:tc>
        <w:tc>
          <w:tcPr>
            <w:tcW w:w="1002" w:type="dxa"/>
            <w:vMerge w:val="continue"/>
            <w:shd w:val="clear" w:color="auto" w:fill="FFFFFF"/>
            <w:vAlign w:val="center"/>
          </w:tcPr>
          <w:p>
            <w:pPr>
              <w:jc w:val="cente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rFonts w:hint="eastAsia" w:eastAsia="宋体"/>
                <w:color w:val="000000"/>
                <w:kern w:val="0"/>
                <w:sz w:val="18"/>
                <w:szCs w:val="18"/>
                <w:lang w:val="en-US" w:eastAsia="zh-CN"/>
              </w:rPr>
            </w:pPr>
          </w:p>
        </w:tc>
        <w:tc>
          <w:tcPr>
            <w:tcW w:w="735" w:type="dxa"/>
            <w:vMerge w:val="continue"/>
            <w:shd w:val="clear" w:color="auto" w:fill="FFFFFF"/>
            <w:vAlign w:val="center"/>
          </w:tcPr>
          <w:p>
            <w:pPr>
              <w:jc w:val="center"/>
            </w:pPr>
          </w:p>
        </w:tc>
        <w:tc>
          <w:tcPr>
            <w:tcW w:w="762" w:type="dxa"/>
            <w:vMerge w:val="continue"/>
            <w:shd w:val="clear" w:color="auto" w:fill="FFFFFF"/>
            <w:vAlign w:val="center"/>
          </w:tcPr>
          <w:p>
            <w:pPr>
              <w:jc w:val="center"/>
            </w:pPr>
          </w:p>
        </w:tc>
        <w:tc>
          <w:tcPr>
            <w:tcW w:w="5342" w:type="dxa"/>
            <w:shd w:val="clear" w:color="auto" w:fill="FFFFFF"/>
            <w:vAlign w:val="center"/>
          </w:tcPr>
          <w:p>
            <w:pPr>
              <w:keepNext w:val="0"/>
              <w:keepLines w:val="0"/>
              <w:widowControl/>
              <w:suppressLineNumbers w:val="0"/>
              <w:jc w:val="left"/>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 xml:space="preserve">实际完成率=（实际产出数/计划产出数）×100% 。             </w:t>
            </w:r>
          </w:p>
        </w:tc>
        <w:tc>
          <w:tcPr>
            <w:tcW w:w="1002" w:type="dxa"/>
            <w:vMerge w:val="continue"/>
            <w:shd w:val="clear" w:color="auto" w:fill="FFFFFF"/>
            <w:vAlign w:val="center"/>
          </w:tcPr>
          <w:p>
            <w:pPr>
              <w:jc w:val="cente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rFonts w:hint="eastAsia" w:eastAsia="宋体"/>
                <w:color w:val="000000"/>
                <w:kern w:val="0"/>
                <w:sz w:val="18"/>
                <w:szCs w:val="18"/>
                <w:lang w:val="en-US" w:eastAsia="zh-CN"/>
              </w:rPr>
            </w:pPr>
          </w:p>
        </w:tc>
        <w:tc>
          <w:tcPr>
            <w:tcW w:w="735" w:type="dxa"/>
            <w:vMerge w:val="continue"/>
            <w:shd w:val="clear" w:color="auto" w:fill="FFFFFF"/>
            <w:vAlign w:val="center"/>
          </w:tcPr>
          <w:p>
            <w:pPr>
              <w:jc w:val="center"/>
            </w:pPr>
          </w:p>
        </w:tc>
        <w:tc>
          <w:tcPr>
            <w:tcW w:w="762" w:type="dxa"/>
            <w:vMerge w:val="continue"/>
            <w:shd w:val="clear" w:color="auto" w:fill="FFFFFF"/>
            <w:vAlign w:val="center"/>
          </w:tcPr>
          <w:p>
            <w:pPr>
              <w:jc w:val="center"/>
            </w:pPr>
          </w:p>
        </w:tc>
        <w:tc>
          <w:tcPr>
            <w:tcW w:w="5342" w:type="dxa"/>
            <w:shd w:val="clear" w:color="auto" w:fill="FFFFFF"/>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实际产出数：一定时期（本年度或项目期）内项目实际产出的产品或提供的服务数量。</w:t>
            </w:r>
          </w:p>
        </w:tc>
        <w:tc>
          <w:tcPr>
            <w:tcW w:w="1002" w:type="dxa"/>
            <w:vMerge w:val="continue"/>
            <w:shd w:val="clear" w:color="auto" w:fill="FFFFFF"/>
            <w:vAlign w:val="center"/>
          </w:tcPr>
          <w:p>
            <w:pPr>
              <w:jc w:val="cente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rFonts w:hint="eastAsia" w:eastAsia="宋体"/>
                <w:color w:val="000000"/>
                <w:kern w:val="0"/>
                <w:sz w:val="18"/>
                <w:szCs w:val="18"/>
                <w:lang w:val="en-US" w:eastAsia="zh-CN"/>
              </w:rPr>
            </w:pPr>
          </w:p>
        </w:tc>
        <w:tc>
          <w:tcPr>
            <w:tcW w:w="735" w:type="dxa"/>
            <w:vMerge w:val="restart"/>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产出质量（10分）</w:t>
            </w:r>
          </w:p>
        </w:tc>
        <w:tc>
          <w:tcPr>
            <w:tcW w:w="762" w:type="dxa"/>
            <w:vMerge w:val="restart"/>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质量达标率（10分）</w:t>
            </w:r>
          </w:p>
        </w:tc>
        <w:tc>
          <w:tcPr>
            <w:tcW w:w="5342" w:type="dxa"/>
            <w:shd w:val="clear" w:color="auto" w:fill="FFFFFF"/>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①“工资发放到到位率”完成该指标得满分（10分），否则按照（质量达标产出数/实际产出数）×100%*10分得分。</w:t>
            </w:r>
          </w:p>
        </w:tc>
        <w:tc>
          <w:tcPr>
            <w:tcW w:w="1002" w:type="dxa"/>
            <w:vMerge w:val="restart"/>
            <w:shd w:val="clear" w:color="auto" w:fill="FFFFFF"/>
            <w:vAlign w:val="center"/>
          </w:tcPr>
          <w:p>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rFonts w:hint="eastAsia" w:eastAsia="宋体"/>
                <w:color w:val="000000"/>
                <w:kern w:val="0"/>
                <w:sz w:val="18"/>
                <w:szCs w:val="18"/>
                <w:lang w:val="en-US" w:eastAsia="zh-CN"/>
              </w:rPr>
            </w:pPr>
          </w:p>
        </w:tc>
        <w:tc>
          <w:tcPr>
            <w:tcW w:w="735" w:type="dxa"/>
            <w:vMerge w:val="continue"/>
            <w:shd w:val="clear" w:color="auto" w:fill="FFFFFF"/>
            <w:vAlign w:val="center"/>
          </w:tcPr>
          <w:p>
            <w:pPr>
              <w:jc w:val="center"/>
            </w:pPr>
          </w:p>
        </w:tc>
        <w:tc>
          <w:tcPr>
            <w:tcW w:w="762" w:type="dxa"/>
            <w:vMerge w:val="continue"/>
            <w:shd w:val="clear" w:color="auto" w:fill="FFFFFF"/>
            <w:vAlign w:val="center"/>
          </w:tcPr>
          <w:p>
            <w:pPr>
              <w:jc w:val="center"/>
            </w:pPr>
          </w:p>
        </w:tc>
        <w:tc>
          <w:tcPr>
            <w:tcW w:w="5342" w:type="dxa"/>
            <w:shd w:val="clear" w:color="auto" w:fill="FFFFFF"/>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质量达标率=（质量达标产出数/实际产出数）×100%。          </w:t>
            </w:r>
          </w:p>
        </w:tc>
        <w:tc>
          <w:tcPr>
            <w:tcW w:w="1002" w:type="dxa"/>
            <w:vMerge w:val="continue"/>
            <w:shd w:val="clear" w:color="auto" w:fill="FFFFFF"/>
            <w:vAlign w:val="center"/>
          </w:tcPr>
          <w:p>
            <w:pPr>
              <w:jc w:val="cente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rFonts w:hint="eastAsia" w:eastAsia="宋体"/>
                <w:color w:val="000000"/>
                <w:kern w:val="0"/>
                <w:sz w:val="18"/>
                <w:szCs w:val="18"/>
                <w:lang w:val="en-US" w:eastAsia="zh-CN"/>
              </w:rPr>
            </w:pPr>
          </w:p>
        </w:tc>
        <w:tc>
          <w:tcPr>
            <w:tcW w:w="735" w:type="dxa"/>
            <w:vMerge w:val="continue"/>
            <w:shd w:val="clear" w:color="auto" w:fill="FFFFFF"/>
            <w:vAlign w:val="center"/>
          </w:tcPr>
          <w:p>
            <w:pPr>
              <w:jc w:val="center"/>
            </w:pPr>
          </w:p>
        </w:tc>
        <w:tc>
          <w:tcPr>
            <w:tcW w:w="762" w:type="dxa"/>
            <w:vMerge w:val="continue"/>
            <w:shd w:val="clear" w:color="auto" w:fill="FFFFFF"/>
            <w:vAlign w:val="center"/>
          </w:tcPr>
          <w:p>
            <w:pPr>
              <w:jc w:val="center"/>
            </w:pPr>
          </w:p>
        </w:tc>
        <w:tc>
          <w:tcPr>
            <w:tcW w:w="5342" w:type="dxa"/>
            <w:shd w:val="clear" w:color="auto" w:fill="FFFFFF"/>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质量达标产出数：一定时期（本年度或项目期）内实际达到既定质量标准的产品或服务数量。</w:t>
            </w:r>
          </w:p>
        </w:tc>
        <w:tc>
          <w:tcPr>
            <w:tcW w:w="1002" w:type="dxa"/>
            <w:vMerge w:val="continue"/>
            <w:shd w:val="clear" w:color="auto" w:fill="FFFFFF"/>
            <w:vAlign w:val="center"/>
          </w:tcPr>
          <w:p>
            <w:pPr>
              <w:jc w:val="cente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rFonts w:hint="eastAsia" w:eastAsia="宋体"/>
                <w:color w:val="000000"/>
                <w:kern w:val="0"/>
                <w:sz w:val="18"/>
                <w:szCs w:val="18"/>
                <w:lang w:val="en-US" w:eastAsia="zh-CN"/>
              </w:rPr>
            </w:pPr>
          </w:p>
        </w:tc>
        <w:tc>
          <w:tcPr>
            <w:tcW w:w="735" w:type="dxa"/>
            <w:vMerge w:val="restart"/>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产出时效（10分）</w:t>
            </w:r>
          </w:p>
        </w:tc>
        <w:tc>
          <w:tcPr>
            <w:tcW w:w="762" w:type="dxa"/>
            <w:vMerge w:val="restart"/>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完成及时性（10分）</w:t>
            </w:r>
          </w:p>
        </w:tc>
        <w:tc>
          <w:tcPr>
            <w:tcW w:w="5342" w:type="dxa"/>
            <w:shd w:val="clear" w:color="auto" w:fill="FFFFFF"/>
            <w:vAlign w:val="center"/>
          </w:tcPr>
          <w:p>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①"劳务派遣人员工资发放及时率"完成该指标得满分（10分），否则按照（实际完成率/计划完成率）×100%*10分得分。</w:t>
            </w:r>
          </w:p>
        </w:tc>
        <w:tc>
          <w:tcPr>
            <w:tcW w:w="1002" w:type="dxa"/>
            <w:vMerge w:val="restart"/>
            <w:shd w:val="clear" w:color="auto" w:fill="FFFFFF"/>
            <w:vAlign w:val="center"/>
          </w:tcPr>
          <w:p>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rFonts w:hint="eastAsia" w:eastAsia="宋体"/>
                <w:color w:val="000000"/>
                <w:kern w:val="0"/>
                <w:sz w:val="18"/>
                <w:szCs w:val="18"/>
                <w:lang w:val="en-US" w:eastAsia="zh-CN"/>
              </w:rPr>
            </w:pPr>
          </w:p>
        </w:tc>
        <w:tc>
          <w:tcPr>
            <w:tcW w:w="735" w:type="dxa"/>
            <w:vMerge w:val="continue"/>
            <w:shd w:val="clear" w:color="auto" w:fill="FFFFFF"/>
            <w:vAlign w:val="center"/>
          </w:tcPr>
          <w:p>
            <w:pPr>
              <w:jc w:val="center"/>
            </w:pPr>
          </w:p>
        </w:tc>
        <w:tc>
          <w:tcPr>
            <w:tcW w:w="762" w:type="dxa"/>
            <w:vMerge w:val="continue"/>
            <w:shd w:val="clear" w:color="auto" w:fill="FFFFFF"/>
            <w:vAlign w:val="center"/>
          </w:tcPr>
          <w:p>
            <w:pPr>
              <w:jc w:val="center"/>
            </w:pPr>
          </w:p>
        </w:tc>
        <w:tc>
          <w:tcPr>
            <w:tcW w:w="5342" w:type="dxa"/>
            <w:shd w:val="clear" w:color="auto" w:fill="FFFFFF"/>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实际完成时间：项目实施单位完成该项目实际所耗用的时间。                                                </w:t>
            </w:r>
            <w:r>
              <w:rPr>
                <w:rFonts w:hint="eastAsia" w:ascii="方正仿宋_GBK" w:hAnsi="方正仿宋_GBK" w:eastAsia="方正仿宋_GBK" w:cs="方正仿宋_GBK"/>
                <w:i w:val="0"/>
                <w:iCs w:val="0"/>
                <w:color w:val="000000"/>
                <w:kern w:val="0"/>
                <w:sz w:val="24"/>
                <w:szCs w:val="24"/>
                <w:u w:val="none"/>
                <w:lang w:val="en-US" w:eastAsia="zh-CN" w:bidi="ar"/>
              </w:rPr>
              <w:br w:type="textWrapping"/>
            </w:r>
            <w:r>
              <w:rPr>
                <w:rFonts w:hint="eastAsia" w:ascii="方正仿宋_GBK" w:hAnsi="方正仿宋_GBK" w:eastAsia="方正仿宋_GBK" w:cs="方正仿宋_GBK"/>
                <w:i w:val="0"/>
                <w:iCs w:val="0"/>
                <w:color w:val="000000"/>
                <w:kern w:val="0"/>
                <w:sz w:val="24"/>
                <w:szCs w:val="24"/>
                <w:u w:val="none"/>
                <w:lang w:val="en-US" w:eastAsia="zh-CN" w:bidi="ar"/>
              </w:rPr>
              <w:t>计划完成时间：按照项目实施计划或相关规定完成该项目所需的时间。</w:t>
            </w:r>
          </w:p>
        </w:tc>
        <w:tc>
          <w:tcPr>
            <w:tcW w:w="1002" w:type="dxa"/>
            <w:vMerge w:val="continue"/>
            <w:shd w:val="clear" w:color="auto" w:fill="FFFFFF"/>
            <w:vAlign w:val="center"/>
          </w:tcPr>
          <w:p>
            <w:pPr>
              <w:jc w:val="cente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rFonts w:hint="eastAsia" w:eastAsia="宋体"/>
                <w:color w:val="000000"/>
                <w:kern w:val="0"/>
                <w:sz w:val="18"/>
                <w:szCs w:val="18"/>
                <w:lang w:val="en-US" w:eastAsia="zh-CN"/>
              </w:rPr>
            </w:pPr>
          </w:p>
        </w:tc>
        <w:tc>
          <w:tcPr>
            <w:tcW w:w="735" w:type="dxa"/>
            <w:vMerge w:val="restart"/>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产出成本（10分）</w:t>
            </w:r>
          </w:p>
        </w:tc>
        <w:tc>
          <w:tcPr>
            <w:tcW w:w="762" w:type="dxa"/>
            <w:vMerge w:val="restart"/>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成本节约率（10分）</w:t>
            </w:r>
          </w:p>
        </w:tc>
        <w:tc>
          <w:tcPr>
            <w:tcW w:w="5342" w:type="dxa"/>
            <w:shd w:val="clear" w:color="auto" w:fill="FFFFFF"/>
            <w:vAlign w:val="center"/>
          </w:tcPr>
          <w:p>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①“人员工资及社会保险费用”完成该指标得满分（3分）否则得分=（实际支出资金/实际到位资金）×100%*3</w:t>
            </w:r>
          </w:p>
        </w:tc>
        <w:tc>
          <w:tcPr>
            <w:tcW w:w="1002" w:type="dxa"/>
            <w:vMerge w:val="restart"/>
            <w:shd w:val="clear" w:color="auto" w:fill="FFFFFF"/>
            <w:vAlign w:val="center"/>
          </w:tcPr>
          <w:p>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rFonts w:hint="eastAsia" w:eastAsia="宋体"/>
                <w:color w:val="000000"/>
                <w:kern w:val="0"/>
                <w:sz w:val="18"/>
                <w:szCs w:val="18"/>
                <w:lang w:val="en-US" w:eastAsia="zh-CN"/>
              </w:rPr>
            </w:pPr>
          </w:p>
        </w:tc>
        <w:tc>
          <w:tcPr>
            <w:tcW w:w="735" w:type="dxa"/>
            <w:vMerge w:val="continue"/>
            <w:shd w:val="clear" w:color="auto" w:fill="FFFFFF"/>
            <w:vAlign w:val="center"/>
          </w:tcPr>
          <w:p>
            <w:pPr>
              <w:jc w:val="center"/>
            </w:pPr>
          </w:p>
        </w:tc>
        <w:tc>
          <w:tcPr>
            <w:tcW w:w="762" w:type="dxa"/>
            <w:vMerge w:val="continue"/>
            <w:shd w:val="clear" w:color="auto" w:fill="FFFFFF"/>
            <w:vAlign w:val="center"/>
          </w:tcPr>
          <w:p>
            <w:pPr>
              <w:jc w:val="center"/>
            </w:pPr>
          </w:p>
        </w:tc>
        <w:tc>
          <w:tcPr>
            <w:tcW w:w="5342" w:type="dxa"/>
            <w:shd w:val="clear" w:color="auto" w:fill="FFFFFF"/>
            <w:vAlign w:val="center"/>
          </w:tcPr>
          <w:p>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②"技术服务委托业务费"完成该指标得满分（4分）否则得分=（实际支出资金/实际到位资金）×100%*4</w:t>
            </w:r>
          </w:p>
        </w:tc>
        <w:tc>
          <w:tcPr>
            <w:tcW w:w="1002" w:type="dxa"/>
            <w:vMerge w:val="continue"/>
            <w:shd w:val="clear" w:color="auto" w:fill="FFFFFF"/>
            <w:vAlign w:val="center"/>
          </w:tcPr>
          <w:p>
            <w:pPr>
              <w:jc w:val="cente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rFonts w:hint="eastAsia" w:eastAsia="宋体"/>
                <w:color w:val="000000"/>
                <w:kern w:val="0"/>
                <w:sz w:val="18"/>
                <w:szCs w:val="18"/>
                <w:lang w:val="en-US" w:eastAsia="zh-CN"/>
              </w:rPr>
            </w:pPr>
          </w:p>
        </w:tc>
        <w:tc>
          <w:tcPr>
            <w:tcW w:w="735" w:type="dxa"/>
            <w:vMerge w:val="continue"/>
            <w:shd w:val="clear" w:color="auto" w:fill="FFFFFF"/>
            <w:vAlign w:val="center"/>
          </w:tcPr>
          <w:p>
            <w:pPr>
              <w:jc w:val="center"/>
            </w:pPr>
          </w:p>
        </w:tc>
        <w:tc>
          <w:tcPr>
            <w:tcW w:w="762" w:type="dxa"/>
            <w:vMerge w:val="continue"/>
            <w:shd w:val="clear" w:color="auto" w:fill="FFFFFF"/>
            <w:vAlign w:val="center"/>
          </w:tcPr>
          <w:p>
            <w:pPr>
              <w:jc w:val="center"/>
            </w:pPr>
          </w:p>
        </w:tc>
        <w:tc>
          <w:tcPr>
            <w:tcW w:w="5342" w:type="dxa"/>
            <w:shd w:val="clear" w:color="auto" w:fill="FFFFFF"/>
            <w:vAlign w:val="center"/>
          </w:tcPr>
          <w:p>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③“访惠聚工作经费”完成该指标得满分（3分）否则得分=（实际支出资金/实际到位资金）×100%*3</w:t>
            </w:r>
          </w:p>
        </w:tc>
        <w:tc>
          <w:tcPr>
            <w:tcW w:w="1002" w:type="dxa"/>
            <w:vMerge w:val="continue"/>
            <w:shd w:val="clear" w:color="auto" w:fill="FFFFFF"/>
            <w:vAlign w:val="center"/>
          </w:tcPr>
          <w:p>
            <w:pPr>
              <w:jc w:val="cente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restart"/>
            <w:shd w:val="clear" w:color="auto" w:fill="FFFFFF"/>
            <w:vAlign w:val="center"/>
          </w:tcPr>
          <w:p>
            <w:pPr>
              <w:keepNext w:val="0"/>
              <w:keepLines w:val="0"/>
              <w:widowControl/>
              <w:suppressLineNumbers w:val="0"/>
              <w:jc w:val="center"/>
              <w:textAlignment w:val="center"/>
              <w:rPr>
                <w:rFonts w:hint="eastAsia" w:eastAsia="宋体"/>
                <w:color w:val="000000"/>
                <w:kern w:val="0"/>
                <w:sz w:val="18"/>
                <w:szCs w:val="18"/>
                <w:lang w:val="en-US" w:eastAsia="zh-CN"/>
              </w:rPr>
            </w:pPr>
            <w:r>
              <w:rPr>
                <w:rFonts w:hint="eastAsia" w:ascii="方正仿宋_GBK" w:hAnsi="方正仿宋_GBK" w:eastAsia="方正仿宋_GBK" w:cs="方正仿宋_GBK"/>
                <w:i w:val="0"/>
                <w:iCs w:val="0"/>
                <w:color w:val="000000"/>
                <w:kern w:val="0"/>
                <w:sz w:val="24"/>
                <w:szCs w:val="24"/>
                <w:u w:val="none"/>
                <w:lang w:val="en-US" w:eastAsia="zh-CN" w:bidi="ar"/>
              </w:rPr>
              <w:t>效益（20分）</w:t>
            </w:r>
          </w:p>
        </w:tc>
        <w:tc>
          <w:tcPr>
            <w:tcW w:w="735" w:type="dxa"/>
            <w:vMerge w:val="restart"/>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项目效益（20分）</w:t>
            </w:r>
          </w:p>
        </w:tc>
        <w:tc>
          <w:tcPr>
            <w:tcW w:w="762" w:type="dxa"/>
            <w:vMerge w:val="restart"/>
            <w:shd w:val="clear" w:color="auto" w:fill="FFFFFF"/>
            <w:vAlign w:val="center"/>
          </w:tcPr>
          <w:p>
            <w:pPr>
              <w:keepNext w:val="0"/>
              <w:keepLines w:val="0"/>
              <w:widowControl/>
              <w:suppressLineNumbers w:val="0"/>
              <w:jc w:val="center"/>
              <w:textAlignment w:val="center"/>
            </w:pPr>
            <w:r>
              <w:rPr>
                <w:rFonts w:hint="eastAsia" w:ascii="方正仿宋_GBK" w:hAnsi="方正仿宋_GBK" w:eastAsia="方正仿宋_GBK" w:cs="方正仿宋_GBK"/>
                <w:i w:val="0"/>
                <w:iCs w:val="0"/>
                <w:color w:val="000000"/>
                <w:kern w:val="0"/>
                <w:sz w:val="24"/>
                <w:szCs w:val="24"/>
                <w:u w:val="none"/>
                <w:lang w:val="en-US" w:eastAsia="zh-CN" w:bidi="ar"/>
              </w:rPr>
              <w:t>实施效益（10分）</w:t>
            </w:r>
          </w:p>
        </w:tc>
        <w:tc>
          <w:tcPr>
            <w:tcW w:w="5342" w:type="dxa"/>
            <w:shd w:val="clear" w:color="auto" w:fill="FFFFFF"/>
            <w:vAlign w:val="center"/>
          </w:tcPr>
          <w:p>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①经济效益：无   </w:t>
            </w:r>
          </w:p>
        </w:tc>
        <w:tc>
          <w:tcPr>
            <w:tcW w:w="1002" w:type="dxa"/>
            <w:vMerge w:val="restart"/>
            <w:shd w:val="clear" w:color="auto" w:fill="FFFFFF"/>
            <w:vAlign w:val="center"/>
          </w:tcPr>
          <w:p>
            <w:pPr>
              <w:keepNext w:val="0"/>
              <w:keepLines w:val="0"/>
              <w:widowControl/>
              <w:suppressLineNumbers w:val="0"/>
              <w:jc w:val="center"/>
              <w:textAlignment w:val="center"/>
            </w:pPr>
            <w:r>
              <w:rPr>
                <w:rFonts w:hint="default" w:ascii="Times New Roman" w:hAnsi="Times New Roman" w:eastAsia="宋体" w:cs="Times New Roman"/>
                <w:i w:val="0"/>
                <w:iCs w:val="0"/>
                <w:color w:val="000000"/>
                <w:kern w:val="0"/>
                <w:sz w:val="24"/>
                <w:szCs w:val="24"/>
                <w:u w:val="none"/>
                <w:lang w:val="en-US" w:eastAsia="zh-CN" w:bidi="ar"/>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35" w:type="dxa"/>
            <w:vMerge w:val="continue"/>
            <w:shd w:val="clear" w:color="auto" w:fill="FFFFFF"/>
            <w:vAlign w:val="center"/>
          </w:tcPr>
          <w:p>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62" w:type="dxa"/>
            <w:vMerge w:val="continue"/>
            <w:shd w:val="clear" w:color="auto" w:fill="FFFFFF"/>
            <w:vAlign w:val="center"/>
          </w:tcPr>
          <w:p>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5342" w:type="dxa"/>
            <w:shd w:val="clear" w:color="auto" w:fill="FFFFFF"/>
            <w:vAlign w:val="center"/>
          </w:tcPr>
          <w:p>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②社会效益：“有效保障驻村工作组工作顺利实施”完成该指标得满分（10分）否则不得分；                            </w:t>
            </w:r>
          </w:p>
        </w:tc>
        <w:tc>
          <w:tcPr>
            <w:tcW w:w="1002" w:type="dxa"/>
            <w:vMerge w:val="continue"/>
            <w:shd w:val="clear" w:color="auto" w:fill="FFFFFF"/>
            <w:vAlign w:val="center"/>
          </w:tcPr>
          <w:p>
            <w:pPr>
              <w:jc w:val="center"/>
              <w:rPr>
                <w:rFonts w:hint="default" w:ascii="Times New Roman" w:hAnsi="Times New Roman" w:eastAsia="宋体" w:cs="Times New Roman"/>
                <w:i w:val="0"/>
                <w:iCs w:val="0"/>
                <w:color w:val="000000"/>
                <w:kern w:val="0"/>
                <w:sz w:val="24"/>
                <w:szCs w:val="24"/>
                <w:u w:val="none"/>
                <w:lang w:val="en-US" w:eastAsia="zh-CN" w:bidi="ar"/>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35" w:type="dxa"/>
            <w:vMerge w:val="continue"/>
            <w:shd w:val="clear" w:color="auto" w:fill="FFFFFF"/>
            <w:vAlign w:val="center"/>
          </w:tcPr>
          <w:p>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62" w:type="dxa"/>
            <w:vMerge w:val="continue"/>
            <w:shd w:val="clear" w:color="auto" w:fill="FFFFFF"/>
            <w:vAlign w:val="center"/>
          </w:tcPr>
          <w:p>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5342" w:type="dxa"/>
            <w:shd w:val="clear" w:color="auto" w:fill="FFFFFF"/>
            <w:vAlign w:val="center"/>
          </w:tcPr>
          <w:p>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③生态效益：无                                                 </w:t>
            </w:r>
          </w:p>
        </w:tc>
        <w:tc>
          <w:tcPr>
            <w:tcW w:w="1002" w:type="dxa"/>
            <w:vMerge w:val="continue"/>
            <w:shd w:val="clear" w:color="auto" w:fill="FFFFFF"/>
            <w:vAlign w:val="center"/>
          </w:tcPr>
          <w:p>
            <w:pPr>
              <w:jc w:val="center"/>
              <w:rPr>
                <w:rFonts w:hint="default" w:ascii="Times New Roman" w:hAnsi="Times New Roman" w:eastAsia="宋体" w:cs="Times New Roman"/>
                <w:i w:val="0"/>
                <w:iCs w:val="0"/>
                <w:color w:val="000000"/>
                <w:kern w:val="0"/>
                <w:sz w:val="24"/>
                <w:szCs w:val="24"/>
                <w:u w:val="none"/>
                <w:lang w:val="en-US" w:eastAsia="zh-CN" w:bidi="ar"/>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35" w:type="dxa"/>
            <w:vMerge w:val="continue"/>
            <w:shd w:val="clear" w:color="auto" w:fill="FFFFFF"/>
            <w:vAlign w:val="center"/>
          </w:tcPr>
          <w:p>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62" w:type="dxa"/>
            <w:vMerge w:val="continue"/>
            <w:shd w:val="clear" w:color="auto" w:fill="FFFFFF"/>
            <w:vAlign w:val="center"/>
          </w:tcPr>
          <w:p>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5342" w:type="dxa"/>
            <w:shd w:val="clear" w:color="auto" w:fill="FFFFFF"/>
            <w:vAlign w:val="center"/>
          </w:tcPr>
          <w:p>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④可持续影响：无</w:t>
            </w:r>
          </w:p>
        </w:tc>
        <w:tc>
          <w:tcPr>
            <w:tcW w:w="1002" w:type="dxa"/>
            <w:vMerge w:val="continue"/>
            <w:shd w:val="clear" w:color="auto" w:fill="FFFFFF"/>
            <w:vAlign w:val="center"/>
          </w:tcPr>
          <w:p>
            <w:pPr>
              <w:jc w:val="center"/>
              <w:rPr>
                <w:rFonts w:hint="default" w:ascii="Times New Roman" w:hAnsi="Times New Roman" w:eastAsia="宋体" w:cs="Times New Roman"/>
                <w:i w:val="0"/>
                <w:iCs w:val="0"/>
                <w:color w:val="000000"/>
                <w:kern w:val="0"/>
                <w:sz w:val="24"/>
                <w:szCs w:val="24"/>
                <w:u w:val="none"/>
                <w:lang w:val="en-US" w:eastAsia="zh-CN" w:bidi="ar"/>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35" w:type="dxa"/>
            <w:vMerge w:val="continue"/>
            <w:shd w:val="clear" w:color="auto" w:fill="FFFFFF"/>
            <w:vAlign w:val="center"/>
          </w:tcPr>
          <w:p>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62" w:type="dxa"/>
            <w:vMerge w:val="restart"/>
            <w:shd w:val="clear" w:color="auto" w:fill="FFFFFF"/>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满意度（10分）</w:t>
            </w:r>
          </w:p>
        </w:tc>
        <w:tc>
          <w:tcPr>
            <w:tcW w:w="5342" w:type="dxa"/>
            <w:shd w:val="clear" w:color="auto" w:fill="FFFFFF"/>
            <w:vAlign w:val="center"/>
          </w:tcPr>
          <w:p>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根据问卷调查，①工作组对驻村工作服务保障满意的人数；                             </w:t>
            </w:r>
          </w:p>
        </w:tc>
        <w:tc>
          <w:tcPr>
            <w:tcW w:w="1002" w:type="dxa"/>
            <w:vMerge w:val="restart"/>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35" w:type="dxa"/>
            <w:vMerge w:val="continue"/>
            <w:shd w:val="clear" w:color="auto" w:fill="FFFFFF"/>
            <w:vAlign w:val="center"/>
          </w:tcPr>
          <w:p>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62" w:type="dxa"/>
            <w:vMerge w:val="continue"/>
            <w:shd w:val="clear" w:color="auto" w:fill="FFFFFF"/>
            <w:vAlign w:val="center"/>
          </w:tcPr>
          <w:p>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5342" w:type="dxa"/>
            <w:shd w:val="clear" w:color="auto" w:fill="FFFFFF"/>
            <w:vAlign w:val="center"/>
          </w:tcPr>
          <w:p>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①人数大于等于95%，得10分；</w:t>
            </w:r>
          </w:p>
        </w:tc>
        <w:tc>
          <w:tcPr>
            <w:tcW w:w="1002" w:type="dxa"/>
            <w:vMerge w:val="continue"/>
            <w:shd w:val="clear" w:color="auto" w:fill="FFFFFF"/>
            <w:vAlign w:val="center"/>
          </w:tcPr>
          <w:p>
            <w:pPr>
              <w:jc w:val="center"/>
              <w:rPr>
                <w:rFonts w:hint="default" w:ascii="Times New Roman" w:hAnsi="Times New Roman" w:eastAsia="宋体" w:cs="Times New Roman"/>
                <w:i w:val="0"/>
                <w:iCs w:val="0"/>
                <w:color w:val="000000"/>
                <w:kern w:val="0"/>
                <w:sz w:val="24"/>
                <w:szCs w:val="24"/>
                <w:u w:val="none"/>
                <w:lang w:val="en-US" w:eastAsia="zh-CN" w:bidi="ar"/>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35" w:type="dxa"/>
            <w:vMerge w:val="continue"/>
            <w:shd w:val="clear" w:color="auto" w:fill="FFFFFF"/>
            <w:vAlign w:val="center"/>
          </w:tcPr>
          <w:p>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62" w:type="dxa"/>
            <w:vMerge w:val="continue"/>
            <w:shd w:val="clear" w:color="auto" w:fill="FFFFFF"/>
            <w:vAlign w:val="center"/>
          </w:tcPr>
          <w:p>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5342" w:type="dxa"/>
            <w:shd w:val="clear" w:color="auto" w:fill="FFFFFF"/>
            <w:vAlign w:val="center"/>
          </w:tcPr>
          <w:p>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②人数小于95%大于等于85%，得8分；</w:t>
            </w:r>
          </w:p>
        </w:tc>
        <w:tc>
          <w:tcPr>
            <w:tcW w:w="1002" w:type="dxa"/>
            <w:vMerge w:val="continue"/>
            <w:shd w:val="clear" w:color="auto" w:fill="FFFFFF"/>
            <w:vAlign w:val="center"/>
          </w:tcPr>
          <w:p>
            <w:pPr>
              <w:jc w:val="center"/>
              <w:rPr>
                <w:rFonts w:hint="default" w:ascii="Times New Roman" w:hAnsi="Times New Roman" w:eastAsia="宋体" w:cs="Times New Roman"/>
                <w:i w:val="0"/>
                <w:iCs w:val="0"/>
                <w:color w:val="000000"/>
                <w:kern w:val="0"/>
                <w:sz w:val="24"/>
                <w:szCs w:val="24"/>
                <w:u w:val="none"/>
                <w:lang w:val="en-US" w:eastAsia="zh-CN" w:bidi="ar"/>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35" w:type="dxa"/>
            <w:vMerge w:val="continue"/>
            <w:shd w:val="clear" w:color="auto" w:fill="FFFFFF"/>
            <w:vAlign w:val="center"/>
          </w:tcPr>
          <w:p>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62" w:type="dxa"/>
            <w:vMerge w:val="continue"/>
            <w:shd w:val="clear" w:color="auto" w:fill="FFFFFF"/>
            <w:vAlign w:val="center"/>
          </w:tcPr>
          <w:p>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5342" w:type="dxa"/>
            <w:shd w:val="clear" w:color="auto" w:fill="FFFFFF"/>
            <w:vAlign w:val="center"/>
          </w:tcPr>
          <w:p>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③人数小于85%大于等于70%，得6分；</w:t>
            </w:r>
          </w:p>
        </w:tc>
        <w:tc>
          <w:tcPr>
            <w:tcW w:w="1002" w:type="dxa"/>
            <w:vMerge w:val="continue"/>
            <w:shd w:val="clear" w:color="auto" w:fill="FFFFFF"/>
            <w:vAlign w:val="center"/>
          </w:tcPr>
          <w:p>
            <w:pPr>
              <w:jc w:val="center"/>
              <w:rPr>
                <w:rFonts w:hint="default" w:ascii="Times New Roman" w:hAnsi="Times New Roman" w:eastAsia="宋体" w:cs="Times New Roman"/>
                <w:i w:val="0"/>
                <w:iCs w:val="0"/>
                <w:color w:val="000000"/>
                <w:kern w:val="0"/>
                <w:sz w:val="24"/>
                <w:szCs w:val="24"/>
                <w:u w:val="none"/>
                <w:lang w:val="en-US" w:eastAsia="zh-CN" w:bidi="ar"/>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vMerge w:val="continue"/>
            <w:shd w:val="clear" w:color="auto" w:fill="FFFFFF"/>
            <w:vAlign w:val="center"/>
          </w:tcPr>
          <w:p>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35" w:type="dxa"/>
            <w:vMerge w:val="continue"/>
            <w:shd w:val="clear" w:color="auto" w:fill="FFFFFF"/>
            <w:vAlign w:val="center"/>
          </w:tcPr>
          <w:p>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762" w:type="dxa"/>
            <w:vMerge w:val="continue"/>
            <w:shd w:val="clear" w:color="auto" w:fill="FFFFFF"/>
            <w:vAlign w:val="center"/>
          </w:tcPr>
          <w:p>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5342" w:type="dxa"/>
            <w:shd w:val="clear" w:color="auto" w:fill="FFFFFF"/>
            <w:vAlign w:val="center"/>
          </w:tcPr>
          <w:p>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④人数小于等于70%，不得分。</w:t>
            </w:r>
          </w:p>
        </w:tc>
        <w:tc>
          <w:tcPr>
            <w:tcW w:w="1002" w:type="dxa"/>
            <w:vMerge w:val="continue"/>
            <w:shd w:val="clear" w:color="auto" w:fill="FFFFFF"/>
            <w:vAlign w:val="center"/>
          </w:tcPr>
          <w:p>
            <w:pPr>
              <w:jc w:val="center"/>
              <w:rPr>
                <w:rFonts w:hint="default" w:ascii="Times New Roman" w:hAnsi="Times New Roman" w:eastAsia="宋体" w:cs="Times New Roman"/>
                <w:i w:val="0"/>
                <w:iCs w:val="0"/>
                <w:color w:val="000000"/>
                <w:kern w:val="0"/>
                <w:sz w:val="24"/>
                <w:szCs w:val="24"/>
                <w:u w:val="none"/>
                <w:lang w:val="en-US" w:eastAsia="zh-CN" w:bidi="ar"/>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709" w:type="dxa"/>
            <w:shd w:val="clear" w:color="auto" w:fill="FFFFFF"/>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合计</w:t>
            </w:r>
          </w:p>
        </w:tc>
        <w:tc>
          <w:tcPr>
            <w:tcW w:w="1497" w:type="dxa"/>
            <w:gridSpan w:val="2"/>
            <w:shd w:val="clear" w:color="auto" w:fill="FFFFFF"/>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0"/>
                <w:sz w:val="24"/>
                <w:szCs w:val="24"/>
                <w:u w:val="none"/>
                <w:lang w:val="en-US" w:eastAsia="zh-CN" w:bidi="ar"/>
              </w:rPr>
            </w:pPr>
            <w:r>
              <w:rPr>
                <w:rFonts w:hint="eastAsia" w:ascii="方正仿宋_GBK" w:hAnsi="方正仿宋_GBK" w:eastAsia="方正仿宋_GBK" w:cs="方正仿宋_GBK"/>
                <w:i w:val="0"/>
                <w:iCs w:val="0"/>
                <w:color w:val="000000"/>
                <w:kern w:val="0"/>
                <w:sz w:val="24"/>
                <w:szCs w:val="24"/>
                <w:u w:val="none"/>
                <w:lang w:val="en-US" w:eastAsia="zh-CN" w:bidi="ar"/>
              </w:rPr>
              <w:t>100分</w:t>
            </w:r>
          </w:p>
        </w:tc>
        <w:tc>
          <w:tcPr>
            <w:tcW w:w="5342" w:type="dxa"/>
            <w:shd w:val="clear" w:color="auto" w:fill="FFFFFF"/>
            <w:vAlign w:val="center"/>
          </w:tcPr>
          <w:p>
            <w:pPr>
              <w:jc w:val="center"/>
              <w:rPr>
                <w:rFonts w:hint="eastAsia" w:ascii="方正仿宋_GBK" w:hAnsi="方正仿宋_GBK" w:eastAsia="方正仿宋_GBK" w:cs="方正仿宋_GBK"/>
                <w:i w:val="0"/>
                <w:iCs w:val="0"/>
                <w:color w:val="000000"/>
                <w:kern w:val="0"/>
                <w:sz w:val="24"/>
                <w:szCs w:val="24"/>
                <w:u w:val="none"/>
                <w:lang w:val="en-US" w:eastAsia="zh-CN" w:bidi="ar"/>
              </w:rPr>
            </w:pPr>
          </w:p>
        </w:tc>
        <w:tc>
          <w:tcPr>
            <w:tcW w:w="1002" w:type="dxa"/>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bl>
    <w:p>
      <w:pPr>
        <w:pStyle w:val="20"/>
        <w:keepNext w:val="0"/>
        <w:keepLines w:val="0"/>
        <w:widowControl/>
        <w:suppressLineNumbers w:val="0"/>
        <w:spacing w:before="0" w:beforeAutospacing="0" w:after="0" w:afterAutospacing="0"/>
        <w:ind w:left="0" w:right="0" w:firstLine="0"/>
        <w:rPr>
          <w:rFonts w:hint="eastAsia" w:ascii="仿宋" w:hAnsi="仿宋" w:eastAsia="仿宋" w:cs="仿宋"/>
          <w:sz w:val="28"/>
          <w:szCs w:val="28"/>
          <w:highlight w:val="none"/>
          <w:lang w:val="en-US" w:eastAsia="zh-CN"/>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7"/>
          <w:jc w:val="center"/>
        </w:pPr>
        <w:r>
          <w:fldChar w:fldCharType="begin"/>
        </w:r>
        <w:r>
          <w:instrText xml:space="preserve">PAGE   \* MERGEFORMAT</w:instrText>
        </w:r>
        <w:r>
          <w:fldChar w:fldCharType="separate"/>
        </w:r>
        <w:r>
          <w:rPr>
            <w:lang w:val="zh-CN"/>
          </w:rPr>
          <w:t>1</w:t>
        </w:r>
        <w:r>
          <w:fldChar w:fldCharType="end"/>
        </w:r>
      </w:p>
    </w:sdtContent>
  </w:sdt>
  <w:p>
    <w:pPr>
      <w:pStyle w:val="1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2DF8FB"/>
    <w:multiLevelType w:val="singleLevel"/>
    <w:tmpl w:val="F22DF8FB"/>
    <w:lvl w:ilvl="0" w:tentative="0">
      <w:start w:val="3"/>
      <w:numFmt w:val="chineseCounting"/>
      <w:suff w:val="nothing"/>
      <w:lvlText w:val="%1、"/>
      <w:lvlJc w:val="left"/>
      <w:rPr>
        <w:rFonts w:hint="eastAsia"/>
      </w:rPr>
    </w:lvl>
  </w:abstractNum>
  <w:abstractNum w:abstractNumId="1">
    <w:nsid w:val="47EF152B"/>
    <w:multiLevelType w:val="singleLevel"/>
    <w:tmpl w:val="47EF152B"/>
    <w:lvl w:ilvl="0" w:tentative="0">
      <w:start w:val="1"/>
      <w:numFmt w:val="decimal"/>
      <w:suff w:val="nothing"/>
      <w:lvlText w:val="（%1）"/>
      <w:lvlJc w:val="left"/>
      <w:pPr>
        <w:ind w:left="562"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4YzlkYzdmMzdiYmQwY2EwY2E2MmIxMmJhNTdmNzM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11403A7"/>
    <w:rsid w:val="0153741C"/>
    <w:rsid w:val="01CA1ABC"/>
    <w:rsid w:val="056C1D73"/>
    <w:rsid w:val="07A447B1"/>
    <w:rsid w:val="08AB6470"/>
    <w:rsid w:val="094C6A76"/>
    <w:rsid w:val="09C86128"/>
    <w:rsid w:val="09DE4E6D"/>
    <w:rsid w:val="0E143C10"/>
    <w:rsid w:val="11F806E6"/>
    <w:rsid w:val="13EB044B"/>
    <w:rsid w:val="14253361"/>
    <w:rsid w:val="14B472A5"/>
    <w:rsid w:val="14D119F3"/>
    <w:rsid w:val="16FD2C38"/>
    <w:rsid w:val="1ABB2C07"/>
    <w:rsid w:val="1ACA3CA6"/>
    <w:rsid w:val="1FA0557D"/>
    <w:rsid w:val="20EF38A1"/>
    <w:rsid w:val="22203CF6"/>
    <w:rsid w:val="22CB7BA2"/>
    <w:rsid w:val="23ED4D6B"/>
    <w:rsid w:val="269B3D60"/>
    <w:rsid w:val="27532288"/>
    <w:rsid w:val="28FD0398"/>
    <w:rsid w:val="2AE11386"/>
    <w:rsid w:val="2D4C6AD2"/>
    <w:rsid w:val="2D5A6638"/>
    <w:rsid w:val="2E317331"/>
    <w:rsid w:val="311F41E9"/>
    <w:rsid w:val="326A2A2B"/>
    <w:rsid w:val="340D5924"/>
    <w:rsid w:val="34733E19"/>
    <w:rsid w:val="35AA386B"/>
    <w:rsid w:val="362A1178"/>
    <w:rsid w:val="379C6587"/>
    <w:rsid w:val="37F279C1"/>
    <w:rsid w:val="39F03B45"/>
    <w:rsid w:val="3A331B0D"/>
    <w:rsid w:val="41274A94"/>
    <w:rsid w:val="4136526A"/>
    <w:rsid w:val="43B04001"/>
    <w:rsid w:val="45687296"/>
    <w:rsid w:val="4609551D"/>
    <w:rsid w:val="472278DA"/>
    <w:rsid w:val="47D57668"/>
    <w:rsid w:val="47F53042"/>
    <w:rsid w:val="485F5097"/>
    <w:rsid w:val="48667AA9"/>
    <w:rsid w:val="4A620DD3"/>
    <w:rsid w:val="4D2606A1"/>
    <w:rsid w:val="4DD42C22"/>
    <w:rsid w:val="4E134A35"/>
    <w:rsid w:val="4E3D7D7E"/>
    <w:rsid w:val="4FFC0D0F"/>
    <w:rsid w:val="500E2086"/>
    <w:rsid w:val="505C542A"/>
    <w:rsid w:val="50796DE0"/>
    <w:rsid w:val="51556929"/>
    <w:rsid w:val="52EB5081"/>
    <w:rsid w:val="54947FF9"/>
    <w:rsid w:val="550409D4"/>
    <w:rsid w:val="55201852"/>
    <w:rsid w:val="56D227CA"/>
    <w:rsid w:val="56F72230"/>
    <w:rsid w:val="57252544"/>
    <w:rsid w:val="5792229A"/>
    <w:rsid w:val="5A6B0676"/>
    <w:rsid w:val="5AA359D0"/>
    <w:rsid w:val="5C875E04"/>
    <w:rsid w:val="5CF27722"/>
    <w:rsid w:val="5D8009F9"/>
    <w:rsid w:val="5DA70C36"/>
    <w:rsid w:val="5DD53C6C"/>
    <w:rsid w:val="5DEF6A40"/>
    <w:rsid w:val="60A96D51"/>
    <w:rsid w:val="6103059A"/>
    <w:rsid w:val="610656C5"/>
    <w:rsid w:val="61CC5C25"/>
    <w:rsid w:val="62540537"/>
    <w:rsid w:val="63051F86"/>
    <w:rsid w:val="660237E8"/>
    <w:rsid w:val="676E7ECB"/>
    <w:rsid w:val="681744E0"/>
    <w:rsid w:val="69CB014B"/>
    <w:rsid w:val="6E7C7749"/>
    <w:rsid w:val="6FA01084"/>
    <w:rsid w:val="6FAD75AE"/>
    <w:rsid w:val="70846342"/>
    <w:rsid w:val="716B6B6A"/>
    <w:rsid w:val="72FB087A"/>
    <w:rsid w:val="745B6657"/>
    <w:rsid w:val="756B57AF"/>
    <w:rsid w:val="767F4ACF"/>
    <w:rsid w:val="77780412"/>
    <w:rsid w:val="784C3649"/>
    <w:rsid w:val="795A7744"/>
    <w:rsid w:val="7A083D0E"/>
    <w:rsid w:val="7A4A6204"/>
    <w:rsid w:val="7A87683B"/>
    <w:rsid w:val="7B5F1FCE"/>
    <w:rsid w:val="7BDA1848"/>
    <w:rsid w:val="7C7B6554"/>
    <w:rsid w:val="7DD24CD9"/>
    <w:rsid w:val="7EF42A2E"/>
    <w:rsid w:val="7EFC2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7"/>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9"/>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30"/>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1"/>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2"/>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3"/>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4"/>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5"/>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4">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99"/>
    <w:pPr>
      <w:spacing w:line="360" w:lineRule="auto"/>
      <w:ind w:firstLine="480"/>
    </w:pPr>
    <w:rPr>
      <w:rFonts w:ascii="宋体" w:hAnsi="宋体" w:cs="宋体" w:eastAsiaTheme="minorEastAsia"/>
      <w:kern w:val="0"/>
      <w:sz w:val="24"/>
      <w:szCs w:val="24"/>
    </w:rPr>
  </w:style>
  <w:style w:type="paragraph" w:styleId="12">
    <w:name w:val="annotation text"/>
    <w:basedOn w:val="1"/>
    <w:unhideWhenUsed/>
    <w:qFormat/>
    <w:uiPriority w:val="99"/>
    <w:rPr>
      <w:rFonts w:cs="Times New Roman"/>
      <w:kern w:val="0"/>
      <w:sz w:val="20"/>
      <w:szCs w:val="20"/>
    </w:rPr>
  </w:style>
  <w:style w:type="paragraph" w:styleId="13">
    <w:name w:val="Body Text"/>
    <w:basedOn w:val="1"/>
    <w:qFormat/>
    <w:uiPriority w:val="0"/>
    <w:pPr>
      <w:spacing w:before="240" w:after="240" w:line="360" w:lineRule="auto"/>
      <w:jc w:val="center"/>
    </w:pPr>
    <w:rPr>
      <w:b/>
      <w:sz w:val="44"/>
    </w:rPr>
  </w:style>
  <w:style w:type="paragraph" w:styleId="14">
    <w:name w:val="Body Text Indent"/>
    <w:basedOn w:val="1"/>
    <w:next w:val="15"/>
    <w:unhideWhenUsed/>
    <w:qFormat/>
    <w:uiPriority w:val="0"/>
    <w:pPr>
      <w:spacing w:after="120"/>
      <w:ind w:left="420" w:leftChars="200"/>
    </w:pPr>
  </w:style>
  <w:style w:type="paragraph" w:styleId="15">
    <w:name w:val="envelope return"/>
    <w:basedOn w:val="1"/>
    <w:qFormat/>
    <w:uiPriority w:val="0"/>
    <w:pPr>
      <w:snapToGrid w:val="0"/>
    </w:pPr>
    <w:rPr>
      <w:rFonts w:ascii="Arial" w:hAnsi="Arial"/>
    </w:rPr>
  </w:style>
  <w:style w:type="paragraph" w:styleId="16">
    <w:name w:val="Balloon Text"/>
    <w:basedOn w:val="1"/>
    <w:link w:val="52"/>
    <w:semiHidden/>
    <w:unhideWhenUsed/>
    <w:qFormat/>
    <w:uiPriority w:val="99"/>
    <w:rPr>
      <w:sz w:val="18"/>
      <w:szCs w:val="18"/>
    </w:rPr>
  </w:style>
  <w:style w:type="paragraph" w:styleId="17">
    <w:name w:val="footer"/>
    <w:basedOn w:val="1"/>
    <w:link w:val="51"/>
    <w:unhideWhenUsed/>
    <w:qFormat/>
    <w:uiPriority w:val="99"/>
    <w:pPr>
      <w:tabs>
        <w:tab w:val="center" w:pos="4153"/>
        <w:tab w:val="right" w:pos="8306"/>
      </w:tabs>
      <w:snapToGrid w:val="0"/>
      <w:jc w:val="left"/>
    </w:pPr>
    <w:rPr>
      <w:rFonts w:ascii="Calibri" w:hAnsi="Calibri"/>
      <w:sz w:val="18"/>
      <w:szCs w:val="18"/>
    </w:rPr>
  </w:style>
  <w:style w:type="paragraph" w:styleId="18">
    <w:name w:val="header"/>
    <w:basedOn w:val="1"/>
    <w:link w:val="50"/>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9">
    <w:name w:val="Subtitle"/>
    <w:basedOn w:val="1"/>
    <w:next w:val="1"/>
    <w:link w:val="37"/>
    <w:qFormat/>
    <w:uiPriority w:val="11"/>
    <w:pPr>
      <w:widowControl/>
      <w:spacing w:after="60"/>
      <w:jc w:val="center"/>
      <w:outlineLvl w:val="1"/>
    </w:pPr>
    <w:rPr>
      <w:rFonts w:asciiTheme="majorHAnsi" w:hAnsiTheme="majorHAnsi" w:eastAsiaTheme="majorEastAsia"/>
      <w:kern w:val="0"/>
      <w:sz w:val="24"/>
    </w:rPr>
  </w:style>
  <w:style w:type="paragraph" w:styleId="20">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21">
    <w:name w:val="Title"/>
    <w:basedOn w:val="1"/>
    <w:next w:val="1"/>
    <w:link w:val="36"/>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22">
    <w:name w:val="Body Text First Indent 2"/>
    <w:basedOn w:val="14"/>
    <w:unhideWhenUsed/>
    <w:qFormat/>
    <w:uiPriority w:val="0"/>
    <w:pPr>
      <w:spacing w:before="50" w:beforeLines="50" w:after="50" w:afterLines="50"/>
      <w:ind w:left="0" w:leftChars="0"/>
    </w:pPr>
  </w:style>
  <w:style w:type="character" w:styleId="25">
    <w:name w:val="Strong"/>
    <w:basedOn w:val="24"/>
    <w:qFormat/>
    <w:uiPriority w:val="0"/>
    <w:rPr>
      <w:b/>
      <w:bCs/>
    </w:rPr>
  </w:style>
  <w:style w:type="character" w:styleId="26">
    <w:name w:val="Emphasis"/>
    <w:basedOn w:val="24"/>
    <w:qFormat/>
    <w:uiPriority w:val="20"/>
    <w:rPr>
      <w:rFonts w:asciiTheme="minorHAnsi" w:hAnsiTheme="minorHAnsi"/>
      <w:b/>
      <w:i/>
      <w:iCs/>
    </w:rPr>
  </w:style>
  <w:style w:type="character" w:customStyle="1" w:styleId="27">
    <w:name w:val="标题 2 字符"/>
    <w:basedOn w:val="24"/>
    <w:link w:val="4"/>
    <w:semiHidden/>
    <w:qFormat/>
    <w:uiPriority w:val="9"/>
    <w:rPr>
      <w:rFonts w:asciiTheme="majorHAnsi" w:hAnsiTheme="majorHAnsi" w:eastAsiaTheme="majorEastAsia"/>
      <w:b/>
      <w:bCs/>
      <w:i/>
      <w:iCs/>
      <w:sz w:val="28"/>
      <w:szCs w:val="28"/>
    </w:rPr>
  </w:style>
  <w:style w:type="character" w:customStyle="1" w:styleId="28">
    <w:name w:val="标题 1 字符"/>
    <w:basedOn w:val="24"/>
    <w:link w:val="3"/>
    <w:qFormat/>
    <w:uiPriority w:val="9"/>
    <w:rPr>
      <w:rFonts w:asciiTheme="majorHAnsi" w:hAnsiTheme="majorHAnsi" w:eastAsiaTheme="majorEastAsia"/>
      <w:b/>
      <w:bCs/>
      <w:kern w:val="32"/>
      <w:sz w:val="32"/>
      <w:szCs w:val="32"/>
    </w:rPr>
  </w:style>
  <w:style w:type="character" w:customStyle="1" w:styleId="29">
    <w:name w:val="标题 3 字符"/>
    <w:basedOn w:val="24"/>
    <w:link w:val="5"/>
    <w:semiHidden/>
    <w:qFormat/>
    <w:uiPriority w:val="9"/>
    <w:rPr>
      <w:rFonts w:asciiTheme="majorHAnsi" w:hAnsiTheme="majorHAnsi" w:eastAsiaTheme="majorEastAsia"/>
      <w:b/>
      <w:bCs/>
      <w:sz w:val="26"/>
      <w:szCs w:val="26"/>
    </w:rPr>
  </w:style>
  <w:style w:type="character" w:customStyle="1" w:styleId="30">
    <w:name w:val="标题 4 字符"/>
    <w:basedOn w:val="24"/>
    <w:link w:val="6"/>
    <w:qFormat/>
    <w:uiPriority w:val="9"/>
    <w:rPr>
      <w:b/>
      <w:bCs/>
      <w:sz w:val="28"/>
      <w:szCs w:val="28"/>
    </w:rPr>
  </w:style>
  <w:style w:type="character" w:customStyle="1" w:styleId="31">
    <w:name w:val="标题 5 字符"/>
    <w:basedOn w:val="24"/>
    <w:link w:val="7"/>
    <w:semiHidden/>
    <w:qFormat/>
    <w:uiPriority w:val="9"/>
    <w:rPr>
      <w:b/>
      <w:bCs/>
      <w:i/>
      <w:iCs/>
      <w:sz w:val="26"/>
      <w:szCs w:val="26"/>
    </w:rPr>
  </w:style>
  <w:style w:type="character" w:customStyle="1" w:styleId="32">
    <w:name w:val="标题 6 字符"/>
    <w:basedOn w:val="24"/>
    <w:link w:val="8"/>
    <w:semiHidden/>
    <w:qFormat/>
    <w:uiPriority w:val="9"/>
    <w:rPr>
      <w:b/>
      <w:bCs/>
    </w:rPr>
  </w:style>
  <w:style w:type="character" w:customStyle="1" w:styleId="33">
    <w:name w:val="标题 7 字符"/>
    <w:basedOn w:val="24"/>
    <w:link w:val="9"/>
    <w:semiHidden/>
    <w:qFormat/>
    <w:uiPriority w:val="9"/>
    <w:rPr>
      <w:sz w:val="24"/>
      <w:szCs w:val="24"/>
    </w:rPr>
  </w:style>
  <w:style w:type="character" w:customStyle="1" w:styleId="34">
    <w:name w:val="标题 8 字符"/>
    <w:basedOn w:val="24"/>
    <w:link w:val="10"/>
    <w:semiHidden/>
    <w:qFormat/>
    <w:uiPriority w:val="9"/>
    <w:rPr>
      <w:i/>
      <w:iCs/>
      <w:sz w:val="24"/>
      <w:szCs w:val="24"/>
    </w:rPr>
  </w:style>
  <w:style w:type="character" w:customStyle="1" w:styleId="35">
    <w:name w:val="标题 9 字符"/>
    <w:basedOn w:val="24"/>
    <w:link w:val="11"/>
    <w:semiHidden/>
    <w:qFormat/>
    <w:uiPriority w:val="9"/>
    <w:rPr>
      <w:rFonts w:asciiTheme="majorHAnsi" w:hAnsiTheme="majorHAnsi" w:eastAsiaTheme="majorEastAsia"/>
    </w:rPr>
  </w:style>
  <w:style w:type="character" w:customStyle="1" w:styleId="36">
    <w:name w:val="标题 字符"/>
    <w:basedOn w:val="24"/>
    <w:link w:val="21"/>
    <w:qFormat/>
    <w:uiPriority w:val="10"/>
    <w:rPr>
      <w:rFonts w:asciiTheme="majorHAnsi" w:hAnsiTheme="majorHAnsi" w:eastAsiaTheme="majorEastAsia"/>
      <w:b/>
      <w:bCs/>
      <w:kern w:val="28"/>
      <w:sz w:val="32"/>
      <w:szCs w:val="32"/>
    </w:rPr>
  </w:style>
  <w:style w:type="character" w:customStyle="1" w:styleId="37">
    <w:name w:val="副标题 字符"/>
    <w:basedOn w:val="24"/>
    <w:link w:val="19"/>
    <w:qFormat/>
    <w:uiPriority w:val="11"/>
    <w:rPr>
      <w:rFonts w:asciiTheme="majorHAnsi" w:hAnsiTheme="majorHAnsi" w:eastAsiaTheme="majorEastAsia"/>
      <w:sz w:val="24"/>
      <w:szCs w:val="24"/>
    </w:rPr>
  </w:style>
  <w:style w:type="paragraph" w:styleId="38">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9">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40">
    <w:name w:val="Quote"/>
    <w:basedOn w:val="1"/>
    <w:next w:val="1"/>
    <w:link w:val="41"/>
    <w:qFormat/>
    <w:uiPriority w:val="29"/>
    <w:pPr>
      <w:widowControl/>
      <w:jc w:val="left"/>
    </w:pPr>
    <w:rPr>
      <w:rFonts w:asciiTheme="minorHAnsi" w:hAnsiTheme="minorHAnsi" w:eastAsiaTheme="minorEastAsia"/>
      <w:i/>
      <w:kern w:val="0"/>
      <w:sz w:val="24"/>
    </w:rPr>
  </w:style>
  <w:style w:type="character" w:customStyle="1" w:styleId="41">
    <w:name w:val="引用 字符"/>
    <w:basedOn w:val="24"/>
    <w:link w:val="40"/>
    <w:qFormat/>
    <w:uiPriority w:val="29"/>
    <w:rPr>
      <w:i/>
      <w:sz w:val="24"/>
      <w:szCs w:val="24"/>
    </w:rPr>
  </w:style>
  <w:style w:type="paragraph" w:styleId="42">
    <w:name w:val="Intense Quote"/>
    <w:basedOn w:val="1"/>
    <w:next w:val="1"/>
    <w:link w:val="43"/>
    <w:qFormat/>
    <w:uiPriority w:val="30"/>
    <w:pPr>
      <w:widowControl/>
      <w:ind w:left="720" w:right="720"/>
      <w:jc w:val="left"/>
    </w:pPr>
    <w:rPr>
      <w:rFonts w:asciiTheme="minorHAnsi" w:hAnsiTheme="minorHAnsi" w:eastAsiaTheme="minorEastAsia"/>
      <w:b/>
      <w:i/>
      <w:kern w:val="0"/>
      <w:sz w:val="24"/>
      <w:szCs w:val="22"/>
    </w:rPr>
  </w:style>
  <w:style w:type="character" w:customStyle="1" w:styleId="43">
    <w:name w:val="明显引用 字符"/>
    <w:basedOn w:val="24"/>
    <w:link w:val="42"/>
    <w:qFormat/>
    <w:uiPriority w:val="30"/>
    <w:rPr>
      <w:b/>
      <w:i/>
      <w:sz w:val="24"/>
    </w:rPr>
  </w:style>
  <w:style w:type="character" w:customStyle="1" w:styleId="44">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5">
    <w:name w:val="明显强调1"/>
    <w:basedOn w:val="24"/>
    <w:qFormat/>
    <w:uiPriority w:val="21"/>
    <w:rPr>
      <w:b/>
      <w:i/>
      <w:sz w:val="24"/>
      <w:szCs w:val="24"/>
      <w:u w:val="single"/>
    </w:rPr>
  </w:style>
  <w:style w:type="character" w:customStyle="1" w:styleId="46">
    <w:name w:val="不明显参考1"/>
    <w:basedOn w:val="24"/>
    <w:qFormat/>
    <w:uiPriority w:val="31"/>
    <w:rPr>
      <w:sz w:val="24"/>
      <w:szCs w:val="24"/>
      <w:u w:val="single"/>
    </w:rPr>
  </w:style>
  <w:style w:type="character" w:customStyle="1" w:styleId="47">
    <w:name w:val="明显参考1"/>
    <w:basedOn w:val="24"/>
    <w:qFormat/>
    <w:uiPriority w:val="32"/>
    <w:rPr>
      <w:b/>
      <w:sz w:val="24"/>
      <w:u w:val="single"/>
    </w:rPr>
  </w:style>
  <w:style w:type="character" w:customStyle="1" w:styleId="48">
    <w:name w:val="书籍标题1"/>
    <w:basedOn w:val="24"/>
    <w:qFormat/>
    <w:uiPriority w:val="33"/>
    <w:rPr>
      <w:rFonts w:asciiTheme="majorHAnsi" w:hAnsiTheme="majorHAnsi" w:eastAsiaTheme="majorEastAsia"/>
      <w:b/>
      <w:i/>
      <w:sz w:val="24"/>
      <w:szCs w:val="24"/>
    </w:rPr>
  </w:style>
  <w:style w:type="paragraph" w:customStyle="1" w:styleId="49">
    <w:name w:val="TOC 标题1"/>
    <w:basedOn w:val="3"/>
    <w:next w:val="1"/>
    <w:semiHidden/>
    <w:unhideWhenUsed/>
    <w:qFormat/>
    <w:uiPriority w:val="39"/>
    <w:pPr>
      <w:outlineLvl w:val="9"/>
    </w:pPr>
    <w:rPr>
      <w:lang w:eastAsia="en-US" w:bidi="en-US"/>
    </w:rPr>
  </w:style>
  <w:style w:type="character" w:customStyle="1" w:styleId="50">
    <w:name w:val="页眉 字符"/>
    <w:basedOn w:val="24"/>
    <w:link w:val="18"/>
    <w:qFormat/>
    <w:uiPriority w:val="99"/>
    <w:rPr>
      <w:rFonts w:ascii="Calibri" w:hAnsi="Calibri" w:eastAsia="宋体"/>
      <w:kern w:val="2"/>
      <w:sz w:val="18"/>
      <w:szCs w:val="18"/>
    </w:rPr>
  </w:style>
  <w:style w:type="character" w:customStyle="1" w:styleId="51">
    <w:name w:val="页脚 字符"/>
    <w:basedOn w:val="24"/>
    <w:link w:val="17"/>
    <w:qFormat/>
    <w:uiPriority w:val="99"/>
    <w:rPr>
      <w:rFonts w:ascii="Calibri" w:hAnsi="Calibri" w:eastAsia="宋体"/>
      <w:kern w:val="2"/>
      <w:sz w:val="18"/>
      <w:szCs w:val="18"/>
    </w:rPr>
  </w:style>
  <w:style w:type="character" w:customStyle="1" w:styleId="52">
    <w:name w:val="批注框文本 字符"/>
    <w:basedOn w:val="24"/>
    <w:link w:val="16"/>
    <w:semiHidden/>
    <w:qFormat/>
    <w:uiPriority w:val="99"/>
    <w:rPr>
      <w:rFonts w:ascii="Times New Roman" w:hAnsi="Times New Roman" w:eastAsia="宋体"/>
      <w:kern w:val="2"/>
      <w:sz w:val="18"/>
      <w:szCs w:val="18"/>
    </w:rPr>
  </w:style>
  <w:style w:type="paragraph" w:customStyle="1" w:styleId="53">
    <w:name w:val="闻政-正文段落文字"/>
    <w:basedOn w:val="1"/>
    <w:qFormat/>
    <w:uiPriority w:val="3"/>
    <w:pPr>
      <w:spacing w:line="500" w:lineRule="exact"/>
      <w:ind w:firstLine="200"/>
    </w:pPr>
    <w:rPr>
      <w:rFonts w:cs="Times New Roman"/>
      <w:kern w:val="0"/>
      <w:szCs w:val="28"/>
    </w:rPr>
  </w:style>
  <w:style w:type="paragraph" w:customStyle="1" w:styleId="54">
    <w:name w:val="正文1"/>
    <w:basedOn w:val="55"/>
    <w:qFormat/>
    <w:uiPriority w:val="0"/>
    <w:pPr>
      <w:widowControl/>
      <w:autoSpaceDE/>
      <w:autoSpaceDN/>
      <w:adjustRightInd/>
      <w:jc w:val="both"/>
    </w:pPr>
    <w:rPr>
      <w:rFonts w:ascii="Calibri" w:hAnsi="Calibri" w:cs="Times New Roman"/>
      <w:sz w:val="21"/>
      <w:szCs w:val="20"/>
      <w:lang w:val="zh-CN"/>
    </w:rPr>
  </w:style>
  <w:style w:type="paragraph" w:customStyle="1" w:styleId="55">
    <w:name w:val="[Normal]"/>
    <w:qFormat/>
    <w:uiPriority w:val="0"/>
    <w:pPr>
      <w:widowControl w:val="0"/>
      <w:autoSpaceDE w:val="0"/>
      <w:autoSpaceDN w:val="0"/>
      <w:adjustRightInd w:val="0"/>
    </w:pPr>
    <w:rPr>
      <w:rFonts w:ascii="宋体" w:hAnsi="Times New Roman" w:eastAsia="宋体" w:cs="宋体"/>
      <w:sz w:val="24"/>
      <w:szCs w:val="24"/>
      <w:lang w:val="en-US" w:eastAsia="zh-CN" w:bidi="ar-SA"/>
    </w:rPr>
  </w:style>
  <w:style w:type="character" w:customStyle="1" w:styleId="56">
    <w:name w:val="font31"/>
    <w:basedOn w:val="24"/>
    <w:qFormat/>
    <w:uiPriority w:val="0"/>
    <w:rPr>
      <w:rFonts w:hint="eastAsia" w:ascii="宋体" w:hAnsi="宋体" w:eastAsia="宋体" w:cs="宋体"/>
      <w:color w:val="000000"/>
      <w:sz w:val="18"/>
      <w:szCs w:val="18"/>
      <w:u w:val="none"/>
    </w:rPr>
  </w:style>
  <w:style w:type="character" w:customStyle="1" w:styleId="57">
    <w:name w:val="font121"/>
    <w:basedOn w:val="24"/>
    <w:qFormat/>
    <w:uiPriority w:val="0"/>
    <w:rPr>
      <w:rFonts w:ascii="Arial" w:hAnsi="Arial" w:cs="Arial"/>
      <w:color w:val="000000"/>
      <w:sz w:val="18"/>
      <w:szCs w:val="18"/>
      <w:u w:val="none"/>
    </w:rPr>
  </w:style>
  <w:style w:type="character" w:customStyle="1" w:styleId="58">
    <w:name w:val="font122"/>
    <w:basedOn w:val="24"/>
    <w:qFormat/>
    <w:uiPriority w:val="0"/>
    <w:rPr>
      <w:rFonts w:ascii="Arial" w:hAnsi="Arial" w:cs="Arial"/>
      <w:color w:val="000000"/>
      <w:sz w:val="18"/>
      <w:szCs w:val="18"/>
      <w:u w:val="none"/>
    </w:rPr>
  </w:style>
  <w:style w:type="character" w:customStyle="1" w:styleId="59">
    <w:name w:val="font91"/>
    <w:basedOn w:val="24"/>
    <w:qFormat/>
    <w:uiPriority w:val="0"/>
    <w:rPr>
      <w:rFonts w:ascii="Arial" w:hAnsi="Arial" w:cs="Arial"/>
      <w:color w:val="000000"/>
      <w:sz w:val="18"/>
      <w:szCs w:val="18"/>
      <w:u w:val="none"/>
    </w:rPr>
  </w:style>
  <w:style w:type="character" w:customStyle="1" w:styleId="60">
    <w:name w:val="font11"/>
    <w:basedOn w:val="24"/>
    <w:qFormat/>
    <w:uiPriority w:val="0"/>
    <w:rPr>
      <w:rFonts w:hint="eastAsia" w:ascii="宋体" w:hAnsi="宋体" w:eastAsia="宋体" w:cs="宋体"/>
      <w:color w:val="000000"/>
      <w:sz w:val="18"/>
      <w:szCs w:val="18"/>
      <w:u w:val="none"/>
    </w:rPr>
  </w:style>
  <w:style w:type="character" w:customStyle="1" w:styleId="61">
    <w:name w:val="font21"/>
    <w:basedOn w:val="24"/>
    <w:qFormat/>
    <w:uiPriority w:val="0"/>
    <w:rPr>
      <w:rFonts w:hint="eastAsia" w:ascii="宋体" w:hAnsi="宋体" w:eastAsia="宋体" w:cs="宋体"/>
      <w:color w:val="000000"/>
      <w:sz w:val="18"/>
      <w:szCs w:val="18"/>
      <w:u w:val="none"/>
    </w:rPr>
  </w:style>
  <w:style w:type="character" w:customStyle="1" w:styleId="62">
    <w:name w:val="font101"/>
    <w:basedOn w:val="24"/>
    <w:qFormat/>
    <w:uiPriority w:val="0"/>
    <w:rPr>
      <w:rFonts w:ascii="Arial" w:hAnsi="Arial" w:cs="Arial"/>
      <w:color w:val="000000"/>
      <w:sz w:val="18"/>
      <w:szCs w:val="18"/>
      <w:u w:val="none"/>
    </w:rPr>
  </w:style>
  <w:style w:type="paragraph" w:customStyle="1" w:styleId="63">
    <w:name w:val="闻政-正文二级标题"/>
    <w:basedOn w:val="4"/>
    <w:next w:val="53"/>
    <w:qFormat/>
    <w:uiPriority w:val="3"/>
    <w:pPr>
      <w:spacing w:before="120" w:after="60" w:line="500" w:lineRule="exact"/>
      <w:ind w:left="200" w:leftChars="200" w:firstLine="0" w:firstLineChars="0"/>
    </w:pPr>
    <w:rPr>
      <w:rFonts w:ascii="Times New Roman" w:hAnsi="Times New Roman"/>
      <w:sz w:val="28"/>
    </w:rPr>
  </w:style>
  <w:style w:type="character" w:customStyle="1" w:styleId="64">
    <w:name w:val="font41"/>
    <w:basedOn w:val="24"/>
    <w:qFormat/>
    <w:uiPriority w:val="0"/>
    <w:rPr>
      <w:rFonts w:hint="eastAsia" w:ascii="方正仿宋_GBK" w:hAnsi="方正仿宋_GBK" w:eastAsia="方正仿宋_GBK" w:cs="方正仿宋_GBK"/>
      <w:color w:val="000000"/>
      <w:sz w:val="24"/>
      <w:szCs w:val="24"/>
      <w:u w:val="none"/>
    </w:rPr>
  </w:style>
  <w:style w:type="character" w:customStyle="1" w:styleId="65">
    <w:name w:val="font51"/>
    <w:basedOn w:val="24"/>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10081</Words>
  <Characters>10528</Characters>
  <Lines>5</Lines>
  <Paragraphs>1</Paragraphs>
  <TotalTime>3</TotalTime>
  <ScaleCrop>false</ScaleCrop>
  <LinksUpToDate>false</LinksUpToDate>
  <CharactersWithSpaces>10817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Lenovo</cp:lastModifiedBy>
  <cp:lastPrinted>2018-12-31T10:56:00Z</cp:lastPrinted>
  <dcterms:modified xsi:type="dcterms:W3CDTF">2024-04-08T10:53:34Z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CE52DC9AD2D04C95AF53140E2D51A15A_13</vt:lpwstr>
  </property>
</Properties>
</file>