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ascii="黑体" w:hAnsi="黑体" w:eastAsia="黑体"/>
          <w:color w:val="auto"/>
          <w:sz w:val="32"/>
          <w:szCs w:val="32"/>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lang w:val="en-US" w:eastAsia="zh-CN"/>
        </w:rPr>
      </w:pPr>
      <w:r>
        <w:rPr>
          <w:rFonts w:hint="eastAsia" w:ascii="方正小标宋_GBK" w:hAnsi="宋体" w:eastAsia="方正小标宋_GBK"/>
          <w:color w:val="auto"/>
          <w:sz w:val="44"/>
          <w:szCs w:val="44"/>
          <w:highlight w:val="none"/>
          <w:lang w:val="en-US" w:eastAsia="zh-CN"/>
        </w:rPr>
        <w:t>新疆维吾尔自治区自然资源规划研究院</w:t>
      </w: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lang w:eastAsia="zh-CN"/>
        </w:rPr>
        <w:t>2023年度</w:t>
      </w:r>
      <w:r>
        <w:rPr>
          <w:rFonts w:hint="eastAsia" w:ascii="方正小标宋_GBK" w:hAnsi="宋体" w:eastAsia="方正小标宋_GBK"/>
          <w:color w:val="auto"/>
          <w:sz w:val="44"/>
          <w:szCs w:val="44"/>
          <w:highlight w:val="none"/>
        </w:rPr>
        <w:t>部门决算公开说明</w:t>
      </w:r>
    </w:p>
    <w:p>
      <w:pPr>
        <w:jc w:val="center"/>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color w:val="auto"/>
          <w:kern w:val="0"/>
          <w:sz w:val="32"/>
          <w:szCs w:val="32"/>
          <w:highlight w:val="none"/>
        </w:rPr>
      </w:pPr>
      <w:r>
        <w:rPr>
          <w:rFonts w:hint="eastAsia" w:ascii="仿宋_GB2312" w:hAnsi="仿宋_GB2312" w:eastAsia="仿宋_GB2312" w:cs="仿宋_GB2312"/>
          <w:b/>
          <w:bCs w:val="0"/>
          <w:color w:val="auto"/>
          <w:kern w:val="0"/>
          <w:sz w:val="36"/>
          <w:szCs w:val="36"/>
          <w:highlight w:val="none"/>
        </w:rPr>
        <w:t>目  录</w:t>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TOC \o "1-3" \n  \h \u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_Toc32314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 xml:space="preserve">第一部分 </w:t>
      </w:r>
      <w:r>
        <w:rPr>
          <w:rFonts w:hint="eastAsia" w:ascii="仿宋_GB2312" w:hAnsi="仿宋_GB2312" w:eastAsia="仿宋_GB2312" w:cs="仿宋_GB2312"/>
          <w:b/>
          <w:bCs/>
          <w:color w:val="auto"/>
          <w:sz w:val="32"/>
          <w:szCs w:val="32"/>
          <w:highlight w:val="none"/>
          <w:lang w:eastAsia="zh-CN"/>
        </w:rPr>
        <w:t>单位</w:t>
      </w:r>
      <w:r>
        <w:rPr>
          <w:rFonts w:hint="eastAsia" w:ascii="仿宋_GB2312" w:hAnsi="仿宋_GB2312" w:eastAsia="仿宋_GB2312" w:cs="仿宋_GB2312"/>
          <w:b/>
          <w:bCs/>
          <w:color w:val="auto"/>
          <w:sz w:val="32"/>
          <w:szCs w:val="32"/>
          <w:highlight w:val="none"/>
        </w:rPr>
        <w:t>概况</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_Toc30567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一、主要职能</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二、机构设置</w:t>
      </w:r>
      <w:r>
        <w:rPr>
          <w:rFonts w:hint="eastAsia" w:ascii="仿宋_GB2312" w:hAnsi="仿宋_GB2312" w:eastAsia="仿宋_GB2312" w:cs="仿宋_GB2312"/>
          <w:bCs/>
          <w:color w:val="auto"/>
          <w:kern w:val="0"/>
          <w:sz w:val="32"/>
          <w:szCs w:val="32"/>
          <w:highlight w:val="none"/>
          <w:lang w:eastAsia="zh-CN"/>
        </w:rPr>
        <w:t>及人员</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color w:val="auto"/>
          <w:sz w:val="32"/>
          <w:szCs w:val="32"/>
          <w:highlight w:val="none"/>
        </w:rPr>
        <w:fldChar w:fldCharType="end"/>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_Toc29374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第二部分 部门决算情况说明</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_Toc25314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一、收入支出决算总体情况说明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_Toc12142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二、</w:t>
      </w:r>
      <w:r>
        <w:rPr>
          <w:rFonts w:hint="eastAsia" w:ascii="仿宋_GB2312" w:hAnsi="仿宋_GB2312" w:eastAsia="仿宋_GB2312" w:cs="仿宋_GB2312"/>
          <w:bCs/>
          <w:color w:val="auto"/>
          <w:kern w:val="0"/>
          <w:sz w:val="32"/>
          <w:szCs w:val="32"/>
          <w:highlight w:val="none"/>
        </w:rPr>
        <w:t>收入</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_Toc13201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三、支出决算情况说明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_Toc26564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四、财政拨款收入支出决算总体情况说明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_Toc20360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五、一般公共预算财政拨款支出决算情况说明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_Toc30870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六、一般公共预算财政拨款基本支出决算情况说明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_Toc21518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七</w:t>
      </w:r>
      <w:r>
        <w:rPr>
          <w:rFonts w:hint="eastAsia" w:ascii="仿宋_GB2312" w:hAnsi="仿宋_GB2312" w:eastAsia="仿宋_GB2312" w:cs="仿宋_GB2312"/>
          <w:bCs/>
          <w:color w:val="auto"/>
          <w:kern w:val="0"/>
          <w:sz w:val="32"/>
          <w:szCs w:val="32"/>
          <w:highlight w:val="none"/>
        </w:rPr>
        <w:t>、</w:t>
      </w:r>
      <w:r>
        <w:rPr>
          <w:rFonts w:hint="eastAsia" w:ascii="仿宋_GB2312" w:hAnsi="仿宋_GB2312" w:eastAsia="仿宋_GB2312" w:cs="仿宋_GB2312"/>
          <w:bCs/>
          <w:color w:val="auto"/>
          <w:kern w:val="0"/>
          <w:sz w:val="32"/>
          <w:szCs w:val="32"/>
          <w:highlight w:val="none"/>
          <w:lang w:eastAsia="zh-CN"/>
        </w:rPr>
        <w:t>财政拨款</w:t>
      </w:r>
      <w:r>
        <w:rPr>
          <w:rFonts w:hint="eastAsia" w:ascii="仿宋_GB2312" w:hAnsi="仿宋_GB2312" w:eastAsia="仿宋_GB2312" w:cs="仿宋_GB2312"/>
          <w:bCs/>
          <w:color w:val="auto"/>
          <w:kern w:val="0"/>
          <w:sz w:val="32"/>
          <w:szCs w:val="32"/>
          <w:highlight w:val="none"/>
        </w:rPr>
        <w:t>“三公”经费支出</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lang w:eastAsia="zh-CN"/>
        </w:rPr>
        <w:t>政府性基金预算财政拨款收入支出决算情况说明</w:t>
      </w:r>
      <w:r>
        <w:rPr>
          <w:rFonts w:hint="eastAsia" w:ascii="仿宋_GB2312" w:hAnsi="仿宋_GB2312" w:eastAsia="仿宋_GB2312" w:cs="仿宋_GB2312"/>
          <w:color w:val="auto"/>
          <w:sz w:val="32"/>
          <w:szCs w:val="32"/>
          <w:highlight w:val="none"/>
        </w:rPr>
        <w:fldChar w:fldCharType="end"/>
      </w:r>
    </w:p>
    <w:p>
      <w:pPr>
        <w:rPr>
          <w:rFonts w:hint="eastAsia"/>
          <w:color w:val="auto"/>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、国有资本经营预算财政拨款收入支出决算情况说明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_Toc1235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十</w:t>
      </w:r>
      <w:r>
        <w:rPr>
          <w:rFonts w:hint="eastAsia" w:ascii="仿宋_GB2312" w:hAnsi="仿宋_GB2312" w:eastAsia="仿宋_GB2312" w:cs="仿宋_GB2312"/>
          <w:bCs/>
          <w:color w:val="auto"/>
          <w:kern w:val="0"/>
          <w:sz w:val="32"/>
          <w:szCs w:val="32"/>
          <w:highlight w:val="none"/>
        </w:rPr>
        <w:t>、其他重要事项的情况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_Toc14519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（一）</w:t>
      </w:r>
      <w:r>
        <w:rPr>
          <w:rFonts w:hint="eastAsia" w:ascii="仿宋_GB2312" w:hAnsi="仿宋_GB2312" w:eastAsia="仿宋_GB2312" w:cs="仿宋_GB2312"/>
          <w:color w:val="auto"/>
          <w:sz w:val="32"/>
          <w:szCs w:val="32"/>
          <w:highlight w:val="none"/>
        </w:rPr>
        <w:t>机关运行经费支出情况</w:t>
      </w:r>
      <w:r>
        <w:rPr>
          <w:rFonts w:hint="eastAsia" w:ascii="仿宋_GB2312" w:hAnsi="仿宋_GB2312" w:eastAsia="仿宋_GB2312" w:cs="仿宋_GB2312"/>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_Toc227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（二）政府采购情况</w:t>
      </w:r>
      <w:r>
        <w:rPr>
          <w:rFonts w:hint="eastAsia" w:ascii="仿宋_GB2312" w:hAnsi="仿宋_GB2312" w:eastAsia="仿宋_GB2312" w:cs="仿宋_GB2312"/>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_Toc8391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（三）国有资产占用情况说明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_Toc11283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十</w:t>
      </w:r>
      <w:r>
        <w:rPr>
          <w:rFonts w:hint="eastAsia" w:ascii="仿宋_GB2312" w:hAnsi="仿宋_GB2312" w:eastAsia="仿宋_GB2312" w:cs="仿宋_GB2312"/>
          <w:bCs/>
          <w:color w:val="auto"/>
          <w:kern w:val="0"/>
          <w:sz w:val="32"/>
          <w:szCs w:val="32"/>
          <w:highlight w:val="none"/>
          <w:lang w:val="en-US" w:eastAsia="zh-CN"/>
        </w:rPr>
        <w:t>一</w:t>
      </w:r>
      <w:r>
        <w:rPr>
          <w:rFonts w:hint="eastAsia" w:ascii="仿宋_GB2312" w:hAnsi="仿宋_GB2312" w:eastAsia="仿宋_GB2312" w:cs="仿宋_GB2312"/>
          <w:bCs/>
          <w:color w:val="auto"/>
          <w:kern w:val="0"/>
          <w:sz w:val="32"/>
          <w:szCs w:val="32"/>
          <w:highlight w:val="none"/>
          <w:lang w:eastAsia="zh-CN"/>
        </w:rPr>
        <w:t>、预算绩效的情况说明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十二、其他需说明的事项</w:t>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_Toc3250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第三部分 专业名词解释</w:t>
      </w:r>
      <w:r>
        <w:rPr>
          <w:rFonts w:hint="eastAsia" w:ascii="仿宋_GB2312" w:hAnsi="仿宋_GB2312" w:eastAsia="仿宋_GB2312" w:cs="仿宋_GB2312"/>
          <w:b/>
          <w:bCs/>
          <w:color w:val="auto"/>
          <w:sz w:val="32"/>
          <w:szCs w:val="32"/>
          <w:highlight w:val="none"/>
        </w:rPr>
        <w:fldChar w:fldCharType="end"/>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_Toc22784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第四部分 部门决算报表（见附表）</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_Toc24532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二、《收入决算表》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_Toc32434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三、《支出决算表》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_Toc28786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四、《财政拨款收入支出决算总表》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_Toc14869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五、《一般公共预算财政拨款支出决算表》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_Toc8884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六、《一般公共预算财政拨款基本支出决算表》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_Toc29106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七、《财政拨款“三公”经费支出决算表》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fldChar w:fldCharType="begin"/>
      </w:r>
      <w:r>
        <w:rPr>
          <w:rFonts w:hint="eastAsia" w:ascii="仿宋_GB2312" w:hAnsi="仿宋_GB2312" w:eastAsia="仿宋_GB2312" w:cs="仿宋_GB2312"/>
          <w:bCs/>
          <w:color w:val="auto"/>
          <w:kern w:val="0"/>
          <w:sz w:val="32"/>
          <w:szCs w:val="32"/>
          <w:highlight w:val="none"/>
        </w:rPr>
        <w:instrText xml:space="preserve"> HYPERLINK \l _Toc7643 </w:instrText>
      </w:r>
      <w:r>
        <w:rPr>
          <w:rFonts w:hint="eastAsia" w:ascii="仿宋_GB2312" w:hAnsi="仿宋_GB2312" w:eastAsia="仿宋_GB2312" w:cs="仿宋_GB2312"/>
          <w:bCs/>
          <w:color w:val="auto"/>
          <w:kern w:val="0"/>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rPr>
        <w:t>《政府性基金预算财政拨款收入支出决算表》</w:t>
      </w:r>
      <w:r>
        <w:rPr>
          <w:rFonts w:hint="eastAsia" w:ascii="仿宋_GB2312" w:hAnsi="仿宋_GB2312" w:eastAsia="仿宋_GB2312" w:cs="仿宋_GB2312"/>
          <w:bCs/>
          <w:color w:val="auto"/>
          <w:kern w:val="0"/>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lang w:eastAsia="zh-CN"/>
        </w:rPr>
      </w:pP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w:t>
      </w:r>
      <w:r>
        <w:rPr>
          <w:rFonts w:hint="eastAsia" w:ascii="仿宋_GB2312" w:hAnsi="仿宋_GB2312" w:eastAsia="仿宋_GB2312" w:cs="仿宋_GB2312"/>
          <w:bCs/>
          <w:color w:val="auto"/>
          <w:kern w:val="0"/>
          <w:sz w:val="32"/>
          <w:szCs w:val="32"/>
          <w:highlight w:val="none"/>
        </w:rPr>
        <w:t>预算财政拨款收入支出决算表</w:t>
      </w:r>
      <w:r>
        <w:rPr>
          <w:rFonts w:hint="eastAsia" w:ascii="仿宋_GB2312" w:hAnsi="仿宋_GB2312" w:eastAsia="仿宋_GB2312" w:cs="仿宋_GB2312"/>
          <w:bCs/>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ind w:left="0" w:leftChars="0"/>
        <w:jc w:val="both"/>
        <w:textAlignment w:val="auto"/>
        <w:rPr>
          <w:color w:val="auto"/>
          <w:highlight w:val="none"/>
        </w:rPr>
      </w:pPr>
      <w:r>
        <w:rPr>
          <w:rFonts w:hint="eastAsia" w:ascii="仿宋_GB2312" w:hAnsi="仿宋_GB2312" w:eastAsia="仿宋_GB2312" w:cs="仿宋_GB2312"/>
          <w:color w:val="auto"/>
          <w:sz w:val="32"/>
          <w:szCs w:val="32"/>
          <w:highlight w:val="none"/>
        </w:rPr>
        <w:fldChar w:fldCharType="end"/>
      </w:r>
    </w:p>
    <w:p>
      <w:pPr>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s="黑体"/>
          <w:color w:val="auto"/>
          <w:sz w:val="32"/>
          <w:szCs w:val="32"/>
          <w:highlight w:val="none"/>
        </w:rPr>
      </w:pPr>
      <w:bookmarkStart w:id="0" w:name="_Toc24028"/>
      <w:bookmarkStart w:id="1" w:name="_Toc32314"/>
      <w:r>
        <w:rPr>
          <w:rFonts w:hint="eastAsia" w:ascii="黑体" w:hAnsi="黑体" w:eastAsia="黑体" w:cs="黑体"/>
          <w:color w:val="auto"/>
          <w:sz w:val="32"/>
          <w:szCs w:val="32"/>
          <w:highlight w:val="none"/>
        </w:rPr>
        <w:t xml:space="preserve">第一部分 </w:t>
      </w:r>
      <w:r>
        <w:rPr>
          <w:rFonts w:hint="eastAsia" w:ascii="黑体" w:hAnsi="黑体" w:eastAsia="黑体" w:cs="黑体"/>
          <w:color w:val="auto"/>
          <w:sz w:val="32"/>
          <w:szCs w:val="32"/>
          <w:highlight w:val="none"/>
          <w:lang w:eastAsia="zh-CN"/>
        </w:rPr>
        <w:t>单位</w:t>
      </w:r>
      <w:r>
        <w:rPr>
          <w:rFonts w:hint="eastAsia" w:ascii="黑体" w:hAnsi="黑体" w:eastAsia="黑体" w:cs="黑体"/>
          <w:color w:val="auto"/>
          <w:sz w:val="32"/>
          <w:szCs w:val="32"/>
          <w:highlight w:val="none"/>
        </w:rPr>
        <w:t>概况</w:t>
      </w:r>
      <w:bookmarkEnd w:id="0"/>
      <w:bookmarkEnd w:id="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ascii="黑体" w:hAnsi="黑体" w:eastAsia="黑体" w:cs="宋体"/>
          <w:bCs/>
          <w:color w:val="auto"/>
          <w:kern w:val="0"/>
          <w:sz w:val="32"/>
          <w:szCs w:val="32"/>
          <w:highlight w:val="none"/>
        </w:rPr>
      </w:pPr>
      <w:bookmarkStart w:id="2" w:name="_Toc30567"/>
      <w:bookmarkStart w:id="3" w:name="_Toc30738"/>
      <w:r>
        <w:rPr>
          <w:rFonts w:hint="eastAsia" w:ascii="黑体" w:hAnsi="黑体" w:eastAsia="黑体" w:cs="宋体"/>
          <w:bCs/>
          <w:color w:val="auto"/>
          <w:kern w:val="0"/>
          <w:sz w:val="32"/>
          <w:szCs w:val="32"/>
          <w:highlight w:val="none"/>
        </w:rPr>
        <w:t>一、主要职能</w:t>
      </w:r>
      <w:bookmarkEnd w:id="2"/>
      <w:bookmarkEnd w:id="3"/>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eastAsia="仿宋_GB2312"/>
          <w:sz w:val="32"/>
          <w:szCs w:val="32"/>
          <w:lang w:eastAsia="zh-CN"/>
        </w:rPr>
      </w:pPr>
      <w:bookmarkStart w:id="4" w:name="_Toc31238"/>
      <w:bookmarkStart w:id="5" w:name="_Toc2151"/>
      <w:r>
        <w:rPr>
          <w:rFonts w:ascii="仿宋_GB2312" w:eastAsia="仿宋_GB2312"/>
          <w:sz w:val="32"/>
          <w:szCs w:val="32"/>
        </w:rPr>
        <w:t>（1）承担自治区土地利用，矿产资源总体规划及专项规划业务技术工作，参与指导地、州、市、县（市）土地利用、矿产资源总体规划的有关技术工作。</w:t>
      </w:r>
    </w:p>
    <w:p>
      <w:pPr>
        <w:rPr>
          <w:rFonts w:hint="eastAsia" w:ascii="仿宋_GB2312" w:eastAsia="仿宋_GB2312"/>
          <w:sz w:val="32"/>
          <w:szCs w:val="32"/>
          <w:lang w:eastAsia="zh-CN"/>
        </w:rPr>
      </w:pPr>
      <w:r>
        <w:rPr>
          <w:rFonts w:ascii="仿宋_GB2312" w:eastAsia="仿宋_GB2312"/>
          <w:sz w:val="32"/>
          <w:szCs w:val="32"/>
        </w:rPr>
        <w:t>　　（2）承担城乡土地资源现状调查评价和动态监测中的技术工作及成果应用和技术指导。</w:t>
      </w:r>
    </w:p>
    <w:p>
      <w:pPr>
        <w:rPr>
          <w:rFonts w:hint="eastAsia" w:ascii="仿宋_GB2312" w:eastAsia="仿宋_GB2312"/>
          <w:sz w:val="32"/>
          <w:szCs w:val="32"/>
          <w:lang w:eastAsia="zh-CN"/>
        </w:rPr>
      </w:pPr>
      <w:r>
        <w:rPr>
          <w:rFonts w:ascii="仿宋_GB2312" w:eastAsia="仿宋_GB2312"/>
          <w:sz w:val="32"/>
          <w:szCs w:val="32"/>
        </w:rPr>
        <w:t>　　（3）承担城乡地籍测量和调查的技术工作。</w:t>
      </w:r>
    </w:p>
    <w:p>
      <w:pPr>
        <w:rPr>
          <w:rFonts w:hint="eastAsia" w:ascii="仿宋_GB2312" w:eastAsia="仿宋_GB2312"/>
          <w:sz w:val="32"/>
          <w:szCs w:val="32"/>
          <w:lang w:eastAsia="zh-CN"/>
        </w:rPr>
      </w:pPr>
      <w:r>
        <w:rPr>
          <w:rFonts w:ascii="仿宋_GB2312" w:eastAsia="仿宋_GB2312"/>
          <w:sz w:val="32"/>
          <w:szCs w:val="32"/>
        </w:rPr>
        <w:t>　　（4）从事国家等级内的各项测量工作和制图工作。</w:t>
      </w:r>
    </w:p>
    <w:p>
      <w:pPr>
        <w:rPr>
          <w:rFonts w:hint="eastAsia" w:ascii="仿宋_GB2312" w:eastAsia="仿宋_GB2312"/>
          <w:sz w:val="32"/>
          <w:szCs w:val="32"/>
          <w:lang w:eastAsia="zh-CN"/>
        </w:rPr>
      </w:pPr>
      <w:r>
        <w:rPr>
          <w:rFonts w:ascii="仿宋_GB2312" w:eastAsia="仿宋_GB2312"/>
          <w:sz w:val="32"/>
          <w:szCs w:val="32"/>
        </w:rPr>
        <w:t>　　（5）承担国家、自治区批准建设用地项目的土地权属勘界工作。</w:t>
      </w:r>
    </w:p>
    <w:p>
      <w:pPr>
        <w:rPr>
          <w:rFonts w:hint="eastAsia" w:ascii="仿宋_GB2312" w:eastAsia="仿宋_GB2312"/>
          <w:sz w:val="32"/>
          <w:szCs w:val="32"/>
          <w:lang w:eastAsia="zh-CN"/>
        </w:rPr>
      </w:pPr>
      <w:r>
        <w:rPr>
          <w:rFonts w:ascii="仿宋_GB2312" w:eastAsia="仿宋_GB2312"/>
          <w:sz w:val="32"/>
          <w:szCs w:val="32"/>
        </w:rPr>
        <w:t>　　（6）承担地、州、市土地勘测规划相关业务的技术指导。</w:t>
      </w:r>
    </w:p>
    <w:p>
      <w:pPr>
        <w:rPr>
          <w:rFonts w:hint="eastAsia" w:ascii="仿宋_GB2312" w:eastAsia="仿宋_GB2312"/>
          <w:sz w:val="32"/>
          <w:szCs w:val="32"/>
          <w:lang w:eastAsia="zh-CN"/>
        </w:rPr>
      </w:pPr>
      <w:r>
        <w:rPr>
          <w:rFonts w:ascii="仿宋_GB2312" w:eastAsia="仿宋_GB2312"/>
          <w:sz w:val="32"/>
          <w:szCs w:val="32"/>
        </w:rPr>
        <w:t>　　（7）参与自治区矿产资源补偿费地质勘查项目、矿产资源保护项目和地质勘查专项资金项目的立项审查和成果验收。</w:t>
      </w:r>
    </w:p>
    <w:p>
      <w:pPr>
        <w:rPr>
          <w:rFonts w:hint="eastAsia" w:ascii="仿宋_GB2312" w:eastAsia="仿宋_GB2312"/>
          <w:sz w:val="32"/>
          <w:szCs w:val="32"/>
          <w:lang w:eastAsia="zh-CN"/>
        </w:rPr>
      </w:pPr>
      <w:r>
        <w:rPr>
          <w:rFonts w:ascii="仿宋_GB2312" w:eastAsia="仿宋_GB2312"/>
          <w:sz w:val="32"/>
          <w:szCs w:val="32"/>
        </w:rPr>
        <w:t>　　（8）承担自治区矿产资源补偿费地质勘查项目，矿产资源保护项目和地质勘查专项资金项目的设计审核，质量监理。</w:t>
      </w:r>
    </w:p>
    <w:p>
      <w:pPr>
        <w:rPr>
          <w:rFonts w:hint="eastAsia" w:ascii="仿宋_GB2312" w:eastAsia="仿宋_GB2312"/>
          <w:sz w:val="32"/>
          <w:szCs w:val="32"/>
          <w:lang w:eastAsia="zh-CN"/>
        </w:rPr>
      </w:pPr>
      <w:r>
        <w:rPr>
          <w:rFonts w:ascii="仿宋_GB2312" w:eastAsia="仿宋_GB2312"/>
          <w:sz w:val="32"/>
          <w:szCs w:val="32"/>
        </w:rPr>
        <w:t>　　（9）承担地、州、市国土资源规划院（队）相关业务的技术指导。</w:t>
      </w:r>
    </w:p>
    <w:p>
      <w:pPr>
        <w:rPr>
          <w:rFonts w:hint="eastAsia" w:ascii="仿宋_GB2312" w:eastAsia="仿宋_GB2312"/>
          <w:sz w:val="32"/>
          <w:szCs w:val="32"/>
          <w:lang w:eastAsia="zh-CN"/>
        </w:rPr>
      </w:pPr>
      <w:r>
        <w:rPr>
          <w:rFonts w:ascii="仿宋_GB2312" w:eastAsia="仿宋_GB2312"/>
          <w:sz w:val="32"/>
          <w:szCs w:val="32"/>
        </w:rPr>
        <w:t>　　（10）开展相关的科研工作。</w:t>
      </w:r>
    </w:p>
    <w:p>
      <w:pPr>
        <w:ind w:firstLine="640" w:firstLineChars="200"/>
        <w:rPr>
          <w:rFonts w:ascii="黑体" w:hAnsi="黑体" w:eastAsia="黑体" w:cs="宋体"/>
          <w:bCs/>
          <w:kern w:val="0"/>
          <w:sz w:val="32"/>
          <w:szCs w:val="32"/>
        </w:rPr>
      </w:pPr>
      <w:r>
        <w:rPr>
          <w:rFonts w:hint="eastAsia" w:ascii="仿宋_GB2312" w:eastAsia="仿宋_GB2312"/>
          <w:sz w:val="32"/>
          <w:szCs w:val="32"/>
          <w:lang w:eastAsia="zh-CN"/>
        </w:rPr>
        <w:t>（</w:t>
      </w:r>
      <w:r>
        <w:rPr>
          <w:rFonts w:hint="eastAsia" w:ascii="仿宋_GB2312" w:eastAsia="仿宋_GB2312"/>
          <w:sz w:val="32"/>
          <w:szCs w:val="32"/>
          <w:lang w:val="en-US" w:eastAsia="zh-CN"/>
        </w:rPr>
        <w:t>11</w:t>
      </w:r>
      <w:r>
        <w:rPr>
          <w:rFonts w:hint="eastAsia" w:ascii="仿宋_GB2312" w:eastAsia="仿宋_GB2312"/>
          <w:sz w:val="32"/>
          <w:szCs w:val="32"/>
          <w:lang w:eastAsia="zh-CN"/>
        </w:rPr>
        <w:t>）</w:t>
      </w:r>
      <w:r>
        <w:rPr>
          <w:rFonts w:ascii="仿宋_GB2312" w:eastAsia="仿宋_GB2312"/>
          <w:sz w:val="32"/>
          <w:szCs w:val="32"/>
        </w:rPr>
        <w:t>承办厅交办的其他事项</w:t>
      </w:r>
      <w:r>
        <w:rPr>
          <w:rFonts w:hint="eastAsia" w:ascii="仿宋_GB2312"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r>
        <w:rPr>
          <w:rFonts w:hint="eastAsia" w:ascii="黑体" w:hAnsi="黑体" w:eastAsia="黑体" w:cs="宋体"/>
          <w:bCs/>
          <w:color w:val="auto"/>
          <w:kern w:val="0"/>
          <w:sz w:val="32"/>
          <w:szCs w:val="32"/>
          <w:highlight w:val="none"/>
        </w:rPr>
        <w:t>二、机构设置</w:t>
      </w:r>
      <w:r>
        <w:rPr>
          <w:rFonts w:hint="eastAsia" w:ascii="黑体" w:hAnsi="黑体" w:eastAsia="黑体" w:cs="宋体"/>
          <w:bCs/>
          <w:color w:val="auto"/>
          <w:kern w:val="0"/>
          <w:sz w:val="32"/>
          <w:szCs w:val="32"/>
          <w:highlight w:val="none"/>
          <w:lang w:eastAsia="zh-CN"/>
        </w:rPr>
        <w:t>及</w:t>
      </w:r>
      <w:bookmarkEnd w:id="4"/>
      <w:r>
        <w:rPr>
          <w:rFonts w:hint="eastAsia" w:ascii="黑体" w:hAnsi="黑体" w:eastAsia="黑体" w:cs="宋体"/>
          <w:bCs/>
          <w:color w:val="auto"/>
          <w:kern w:val="0"/>
          <w:sz w:val="32"/>
          <w:szCs w:val="32"/>
          <w:highlight w:val="none"/>
          <w:lang w:eastAsia="zh-CN"/>
        </w:rPr>
        <w:t>人员</w:t>
      </w:r>
      <w:r>
        <w:rPr>
          <w:rFonts w:hint="eastAsia" w:ascii="黑体" w:hAnsi="黑体" w:eastAsia="黑体" w:cs="宋体"/>
          <w:bCs/>
          <w:color w:val="auto"/>
          <w:kern w:val="0"/>
          <w:sz w:val="32"/>
          <w:szCs w:val="32"/>
          <w:highlight w:val="none"/>
        </w:rPr>
        <w:t>情况</w:t>
      </w:r>
      <w:bookmarkEnd w:id="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b/>
          <w:color w:val="auto"/>
          <w:sz w:val="32"/>
          <w:szCs w:val="32"/>
          <w:highlight w:val="none"/>
        </w:rPr>
      </w:pPr>
      <w:r>
        <w:rPr>
          <w:rFonts w:hint="eastAsia" w:ascii="仿宋_GB2312" w:eastAsia="仿宋_GB2312"/>
          <w:color w:val="auto"/>
          <w:sz w:val="32"/>
          <w:szCs w:val="32"/>
          <w:highlight w:val="none"/>
          <w:lang w:val="en-US" w:eastAsia="zh-CN"/>
        </w:rPr>
        <w:t>新疆维吾尔自治区自然资源规划研究院</w:t>
      </w:r>
      <w:r>
        <w:rPr>
          <w:rFonts w:hint="eastAsia" w:ascii="仿宋_GB2312" w:eastAsia="仿宋_GB2312"/>
          <w:color w:val="auto"/>
          <w:sz w:val="32"/>
          <w:szCs w:val="32"/>
          <w:highlight w:val="none"/>
          <w:lang w:eastAsia="zh-CN"/>
        </w:rPr>
        <w:t>2023年度，</w:t>
      </w:r>
      <w:r>
        <w:rPr>
          <w:rFonts w:hint="eastAsia" w:ascii="仿宋_GB2312" w:eastAsia="仿宋_GB2312"/>
          <w:color w:val="auto"/>
          <w:sz w:val="32"/>
          <w:szCs w:val="32"/>
          <w:highlight w:val="none"/>
        </w:rPr>
        <w:t>实有人数</w:t>
      </w:r>
      <w:r>
        <w:rPr>
          <w:rFonts w:hint="eastAsia" w:ascii="仿宋_GB2312" w:eastAsia="仿宋_GB2312"/>
          <w:color w:val="auto"/>
          <w:sz w:val="32"/>
          <w:szCs w:val="32"/>
          <w:highlight w:val="none"/>
          <w:lang w:val="zh-CN" w:eastAsia="zh-CN"/>
        </w:rPr>
        <w:t>102</w:t>
      </w:r>
      <w:r>
        <w:rPr>
          <w:rFonts w:hint="eastAsia" w:ascii="仿宋_GB2312" w:eastAsia="仿宋_GB2312"/>
          <w:color w:val="auto"/>
          <w:sz w:val="32"/>
          <w:szCs w:val="32"/>
          <w:highlight w:val="none"/>
        </w:rPr>
        <w:t>人，其中：在职人员</w:t>
      </w:r>
      <w:r>
        <w:rPr>
          <w:rFonts w:hint="eastAsia" w:ascii="仿宋_GB2312" w:eastAsia="仿宋_GB2312"/>
          <w:color w:val="auto"/>
          <w:sz w:val="32"/>
          <w:szCs w:val="32"/>
          <w:highlight w:val="none"/>
          <w:lang w:val="zh-CN" w:eastAsia="zh-CN"/>
        </w:rPr>
        <w:t>64</w:t>
      </w:r>
      <w:r>
        <w:rPr>
          <w:rFonts w:hint="eastAsia" w:ascii="仿宋_GB2312" w:eastAsia="仿宋_GB2312"/>
          <w:color w:val="auto"/>
          <w:sz w:val="32"/>
          <w:szCs w:val="32"/>
          <w:highlight w:val="none"/>
        </w:rPr>
        <w:t>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离休人员</w:t>
      </w:r>
      <w:r>
        <w:rPr>
          <w:rFonts w:hint="eastAsia" w:ascii="仿宋_GB2312" w:eastAsia="仿宋_GB2312"/>
          <w:color w:val="auto"/>
          <w:sz w:val="32"/>
          <w:szCs w:val="32"/>
          <w:highlight w:val="none"/>
          <w:lang w:val="zh-CN" w:eastAsia="zh-CN"/>
        </w:rPr>
        <w:t>0</w:t>
      </w:r>
      <w:r>
        <w:rPr>
          <w:rFonts w:hint="eastAsia" w:ascii="仿宋_GB2312" w:eastAsia="仿宋_GB2312"/>
          <w:color w:val="auto"/>
          <w:sz w:val="32"/>
          <w:szCs w:val="32"/>
          <w:highlight w:val="none"/>
        </w:rPr>
        <w:t>人，退休人员</w:t>
      </w:r>
      <w:r>
        <w:rPr>
          <w:rFonts w:hint="eastAsia" w:ascii="仿宋_GB2312" w:eastAsia="仿宋_GB2312"/>
          <w:color w:val="auto"/>
          <w:sz w:val="32"/>
          <w:szCs w:val="32"/>
          <w:highlight w:val="none"/>
          <w:lang w:val="zh-CN" w:eastAsia="zh-CN"/>
        </w:rPr>
        <w:t>38</w:t>
      </w:r>
      <w:r>
        <w:rPr>
          <w:rFonts w:hint="eastAsia" w:ascii="仿宋_GB2312" w:eastAsia="仿宋_GB2312"/>
          <w:color w:val="auto"/>
          <w:sz w:val="32"/>
          <w:szCs w:val="32"/>
          <w:highlight w:val="none"/>
        </w:rPr>
        <w:t>人。</w:t>
      </w:r>
    </w:p>
    <w:p>
      <w:pPr>
        <w:ind w:firstLine="640" w:firstLineChars="200"/>
        <w:rPr>
          <w:rFonts w:ascii="仿宋_GB2312" w:eastAsia="仿宋_GB2312"/>
          <w:sz w:val="32"/>
          <w:szCs w:val="32"/>
        </w:rPr>
      </w:pPr>
      <w:r>
        <w:rPr>
          <w:rFonts w:hint="eastAsia" w:ascii="仿宋_GB2312" w:hAnsi="黑体" w:eastAsia="仿宋_GB2312" w:cs="宋体"/>
          <w:bCs/>
          <w:color w:val="auto"/>
          <w:kern w:val="0"/>
          <w:sz w:val="32"/>
          <w:szCs w:val="32"/>
          <w:highlight w:val="none"/>
        </w:rPr>
        <w:t>单位无下属预算单位，</w:t>
      </w:r>
      <w:r>
        <w:rPr>
          <w:rFonts w:hint="eastAsia" w:ascii="仿宋_GB2312" w:hAnsi="黑体" w:eastAsia="仿宋_GB2312" w:cs="宋体"/>
          <w:bCs/>
          <w:kern w:val="0"/>
          <w:sz w:val="32"/>
          <w:szCs w:val="32"/>
        </w:rPr>
        <w:t>下设</w:t>
      </w:r>
      <w:r>
        <w:rPr>
          <w:rFonts w:hint="eastAsia" w:ascii="仿宋_GB2312" w:eastAsia="仿宋_GB2312"/>
          <w:sz w:val="32"/>
          <w:szCs w:val="32"/>
        </w:rPr>
        <w:t>13</w:t>
      </w:r>
      <w:r>
        <w:rPr>
          <w:rFonts w:hint="eastAsia" w:ascii="仿宋_GB2312" w:hAnsi="黑体" w:eastAsia="仿宋_GB2312" w:cs="宋体"/>
          <w:bCs/>
          <w:kern w:val="0"/>
          <w:sz w:val="32"/>
          <w:szCs w:val="32"/>
        </w:rPr>
        <w:t>个处室，分别是：办公室（党办）、财务办公室、人力资源办公室、总工程师办公室、规划所、土地利用所、勘界所、土地调查所、地籍所、矿产所、地政研究中心、土地信息工程与数据中心、学术交流办公室</w:t>
      </w:r>
      <w:r>
        <w:rPr>
          <w:rFonts w:hint="eastAsia" w:ascii="仿宋_GB2312" w:hAnsi="宋体" w:eastAsia="仿宋_GB2312" w:cs="宋体"/>
          <w:kern w:val="0"/>
          <w:sz w:val="32"/>
          <w:szCs w:val="32"/>
        </w:rPr>
        <w:t>。</w:t>
      </w:r>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hAnsi="宋体" w:eastAsia="仿宋_GB2312" w:cs="宋体"/>
          <w:color w:val="auto"/>
          <w:kern w:val="0"/>
          <w:sz w:val="32"/>
          <w:szCs w:val="32"/>
          <w:highlight w:val="none"/>
        </w:rPr>
        <w:sectPr>
          <w:footerReference r:id="rId3" w:type="default"/>
          <w:pgSz w:w="11906" w:h="16838"/>
          <w:pgMar w:top="1440" w:right="1800" w:bottom="1440" w:left="1800" w:header="851" w:footer="992" w:gutter="0"/>
          <w:cols w:space="720" w:num="1"/>
          <w:docGrid w:type="lines" w:linePitch="312" w:charSpace="0"/>
        </w:sect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s="黑体"/>
          <w:color w:val="auto"/>
          <w:sz w:val="32"/>
          <w:szCs w:val="32"/>
          <w:highlight w:val="none"/>
        </w:rPr>
      </w:pPr>
      <w:bookmarkStart w:id="6" w:name="_Toc29374"/>
      <w:bookmarkStart w:id="7" w:name="_Toc3092"/>
      <w:r>
        <w:rPr>
          <w:rFonts w:hint="eastAsia" w:ascii="黑体" w:hAnsi="黑体" w:eastAsia="黑体" w:cs="黑体"/>
          <w:color w:val="auto"/>
          <w:sz w:val="32"/>
          <w:szCs w:val="32"/>
          <w:highlight w:val="none"/>
        </w:rPr>
        <w:t>第</w:t>
      </w:r>
      <w:r>
        <w:rPr>
          <w:rFonts w:hint="eastAsia" w:ascii="黑体" w:hAnsi="黑体" w:eastAsia="黑体" w:cs="黑体"/>
          <w:color w:val="auto"/>
          <w:sz w:val="32"/>
          <w:szCs w:val="32"/>
          <w:highlight w:val="none"/>
          <w:lang w:val="en-US" w:eastAsia="zh-CN"/>
        </w:rPr>
        <w:t>二</w:t>
      </w:r>
      <w:r>
        <w:rPr>
          <w:rFonts w:hint="eastAsia" w:ascii="黑体" w:hAnsi="黑体" w:eastAsia="黑体" w:cs="黑体"/>
          <w:color w:val="auto"/>
          <w:sz w:val="32"/>
          <w:szCs w:val="32"/>
          <w:highlight w:val="none"/>
        </w:rPr>
        <w:t>部分 部门决算情况说明</w:t>
      </w:r>
      <w:bookmarkEnd w:id="6"/>
      <w:bookmarkEnd w:id="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8" w:name="_Toc25314"/>
      <w:bookmarkStart w:id="9" w:name="_Toc12566"/>
      <w:r>
        <w:rPr>
          <w:rFonts w:hint="eastAsia" w:ascii="黑体" w:hAnsi="黑体" w:eastAsia="黑体" w:cs="宋体"/>
          <w:bCs/>
          <w:color w:val="auto"/>
          <w:kern w:val="0"/>
          <w:sz w:val="32"/>
          <w:szCs w:val="32"/>
          <w:highlight w:val="none"/>
        </w:rPr>
        <w:t>一、收入支出决算总体情况说明</w:t>
      </w:r>
      <w:bookmarkEnd w:id="8"/>
      <w:bookmarkEnd w:id="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pacing w:val="0"/>
          <w:sz w:val="32"/>
          <w:szCs w:val="32"/>
          <w:highlight w:val="none"/>
          <w:lang w:val="en-US" w:eastAsia="zh-CN"/>
        </w:rPr>
        <w:t>收入总计</w:t>
      </w:r>
      <w:r>
        <w:rPr>
          <w:rFonts w:hint="eastAsia" w:ascii="仿宋_GB2312" w:eastAsia="仿宋_GB2312"/>
          <w:color w:val="auto"/>
          <w:spacing w:val="0"/>
          <w:sz w:val="32"/>
          <w:szCs w:val="32"/>
          <w:highlight w:val="none"/>
          <w:lang w:eastAsia="zh-CN"/>
        </w:rPr>
        <w:t>6,953.79万元，</w:t>
      </w:r>
      <w:r>
        <w:rPr>
          <w:rFonts w:hint="eastAsia" w:ascii="仿宋_GB2312" w:eastAsia="仿宋_GB2312"/>
          <w:color w:val="auto"/>
          <w:spacing w:val="0"/>
          <w:sz w:val="32"/>
          <w:szCs w:val="32"/>
          <w:highlight w:val="none"/>
          <w:lang w:val="en-US" w:eastAsia="zh-CN"/>
        </w:rPr>
        <w:t>其中：本年收入合计</w:t>
      </w:r>
      <w:r>
        <w:rPr>
          <w:rFonts w:hint="eastAsia" w:ascii="仿宋_GB2312" w:eastAsia="仿宋_GB2312"/>
          <w:color w:val="auto"/>
          <w:spacing w:val="0"/>
          <w:sz w:val="32"/>
          <w:szCs w:val="32"/>
          <w:highlight w:val="none"/>
          <w:lang w:eastAsia="zh-CN"/>
        </w:rPr>
        <w:t>6,217.29万元，使用非财政拨款结余606.71万元，年初结转和结余129.79万元。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2023</w:t>
      </w:r>
      <w:r>
        <w:rPr>
          <w:rFonts w:hint="eastAsia" w:ascii="仿宋_GB2312" w:eastAsia="仿宋_GB2312"/>
          <w:color w:val="auto"/>
          <w:spacing w:val="0"/>
          <w:sz w:val="32"/>
          <w:szCs w:val="32"/>
          <w:highlight w:val="none"/>
          <w:lang w:eastAsia="zh-CN"/>
        </w:rPr>
        <w:t>年</w:t>
      </w:r>
      <w:r>
        <w:rPr>
          <w:rFonts w:hint="eastAsia" w:ascii="仿宋_GB2312" w:eastAsia="仿宋_GB2312"/>
          <w:color w:val="auto"/>
          <w:spacing w:val="0"/>
          <w:sz w:val="32"/>
          <w:szCs w:val="32"/>
          <w:highlight w:val="none"/>
          <w:lang w:val="en-US" w:eastAsia="zh-CN"/>
        </w:rPr>
        <w:t>度</w:t>
      </w:r>
      <w:r>
        <w:rPr>
          <w:rFonts w:hint="eastAsia" w:ascii="仿宋_GB2312" w:eastAsia="仿宋_GB2312"/>
          <w:color w:val="auto"/>
          <w:spacing w:val="0"/>
          <w:sz w:val="32"/>
          <w:szCs w:val="32"/>
          <w:highlight w:val="none"/>
          <w:lang w:eastAsia="zh-CN"/>
        </w:rPr>
        <w:t>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eastAsia="zh-CN"/>
        </w:rPr>
        <w:t>6,953.79万元，</w:t>
      </w:r>
      <w:r>
        <w:rPr>
          <w:rFonts w:hint="eastAsia" w:ascii="仿宋_GB2312" w:eastAsia="仿宋_GB2312"/>
          <w:color w:val="auto"/>
          <w:spacing w:val="0"/>
          <w:sz w:val="32"/>
          <w:szCs w:val="32"/>
          <w:highlight w:val="none"/>
          <w:lang w:val="en-US" w:eastAsia="zh-CN"/>
        </w:rPr>
        <w:t>其中：本年支出合计</w:t>
      </w:r>
      <w:r>
        <w:rPr>
          <w:rFonts w:hint="eastAsia" w:ascii="仿宋_GB2312" w:eastAsia="仿宋_GB2312"/>
          <w:color w:val="auto"/>
          <w:spacing w:val="0"/>
          <w:sz w:val="32"/>
          <w:szCs w:val="32"/>
          <w:highlight w:val="none"/>
          <w:lang w:eastAsia="zh-CN"/>
        </w:rPr>
        <w:t>6,349.15万元，</w:t>
      </w:r>
      <w:r>
        <w:rPr>
          <w:rFonts w:hint="eastAsia" w:ascii="仿宋_GB2312" w:eastAsia="仿宋_GB2312"/>
          <w:color w:val="auto"/>
          <w:spacing w:val="0"/>
          <w:sz w:val="32"/>
          <w:szCs w:val="32"/>
          <w:highlight w:val="none"/>
          <w:lang w:val="en-US" w:eastAsia="zh-CN"/>
        </w:rPr>
        <w:t>结余分配</w:t>
      </w:r>
      <w:r>
        <w:rPr>
          <w:rFonts w:hint="eastAsia" w:ascii="仿宋_GB2312" w:eastAsia="仿宋_GB2312"/>
          <w:color w:val="auto"/>
          <w:spacing w:val="0"/>
          <w:sz w:val="32"/>
          <w:szCs w:val="32"/>
          <w:highlight w:val="none"/>
          <w:lang w:eastAsia="zh-CN"/>
        </w:rPr>
        <w:t>519.41万元，年末结转和结余85.23万元。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收入支出总体与上年相比</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增加260.20万元</w:t>
      </w:r>
      <w:r>
        <w:rPr>
          <w:rFonts w:hint="eastAsia" w:ascii="仿宋_GB2312" w:eastAsia="仿宋_GB2312"/>
          <w:color w:val="auto"/>
          <w:spacing w:val="0"/>
          <w:sz w:val="32"/>
          <w:szCs w:val="32"/>
          <w:highlight w:val="none"/>
          <w:lang w:eastAsia="zh-CN"/>
        </w:rPr>
        <w:t>，增长3.89%，主要原因是：</w:t>
      </w:r>
      <w:r>
        <w:rPr>
          <w:rFonts w:hint="eastAsia" w:ascii="仿宋_GB2312" w:eastAsia="仿宋_GB2312"/>
          <w:color w:val="auto"/>
          <w:spacing w:val="0"/>
          <w:sz w:val="32"/>
          <w:szCs w:val="32"/>
          <w:highlight w:val="none"/>
          <w:lang w:val="en-US" w:eastAsia="zh-CN"/>
        </w:rPr>
        <w:t>本年收到科研项目资金，且本年职业年金及在职人员社保、公积金基数调增</w:t>
      </w:r>
      <w:r>
        <w:rPr>
          <w:rFonts w:hint="eastAsia" w:ascii="仿宋_GB2312" w:eastAsia="仿宋_GB2312"/>
          <w:color w:val="auto"/>
          <w:spacing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rPr>
      </w:pPr>
      <w:bookmarkStart w:id="10" w:name="_Toc1979"/>
      <w:bookmarkStart w:id="11" w:name="_Toc12142"/>
      <w:r>
        <w:rPr>
          <w:rFonts w:hint="eastAsia" w:ascii="黑体" w:hAnsi="黑体" w:eastAsia="黑体" w:cs="宋体"/>
          <w:bCs/>
          <w:color w:val="auto"/>
          <w:kern w:val="0"/>
          <w:sz w:val="32"/>
          <w:szCs w:val="32"/>
          <w:highlight w:val="none"/>
          <w:lang w:eastAsia="zh-CN"/>
        </w:rPr>
        <w:t>二、</w:t>
      </w:r>
      <w:r>
        <w:rPr>
          <w:rFonts w:hint="eastAsia" w:ascii="黑体" w:hAnsi="黑体" w:eastAsia="黑体" w:cs="宋体"/>
          <w:bCs/>
          <w:color w:val="auto"/>
          <w:kern w:val="0"/>
          <w:sz w:val="32"/>
          <w:szCs w:val="32"/>
          <w:highlight w:val="none"/>
        </w:rPr>
        <w:t>收入</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情况说明</w:t>
      </w:r>
      <w:bookmarkEnd w:id="10"/>
      <w:bookmarkEnd w:id="1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本年收入</w:t>
      </w:r>
      <w:r>
        <w:rPr>
          <w:rFonts w:hint="eastAsia" w:ascii="仿宋_GB2312" w:eastAsia="仿宋_GB2312"/>
          <w:color w:val="auto"/>
          <w:sz w:val="32"/>
          <w:szCs w:val="32"/>
          <w:highlight w:val="none"/>
          <w:lang w:eastAsia="zh-CN"/>
        </w:rPr>
        <w:t>6,217.29</w:t>
      </w:r>
      <w:r>
        <w:rPr>
          <w:rFonts w:hint="eastAsia" w:ascii="仿宋_GB2312" w:eastAsia="仿宋_GB2312"/>
          <w:color w:val="auto"/>
          <w:sz w:val="32"/>
          <w:szCs w:val="32"/>
          <w:highlight w:val="none"/>
        </w:rPr>
        <w:t>万元，其中：财政拨款收入</w:t>
      </w:r>
      <w:r>
        <w:rPr>
          <w:rFonts w:hint="eastAsia" w:ascii="仿宋_GB2312" w:eastAsia="仿宋_GB2312"/>
          <w:color w:val="auto"/>
          <w:sz w:val="32"/>
          <w:szCs w:val="32"/>
          <w:highlight w:val="none"/>
          <w:lang w:val="zh-CN"/>
        </w:rPr>
        <w:t>4,949.28</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79.61</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；上级补助收入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；事业收入</w:t>
      </w:r>
      <w:r>
        <w:rPr>
          <w:rFonts w:hint="eastAsia" w:ascii="仿宋_GB2312" w:eastAsia="仿宋_GB2312"/>
          <w:color w:val="auto"/>
          <w:sz w:val="32"/>
          <w:szCs w:val="32"/>
          <w:highlight w:val="none"/>
          <w:lang w:val="zh-CN"/>
        </w:rPr>
        <w:t>40.00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0.64</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；经营收入</w:t>
      </w:r>
      <w:r>
        <w:rPr>
          <w:rFonts w:hint="eastAsia" w:ascii="仿宋_GB2312" w:eastAsia="仿宋_GB2312"/>
          <w:color w:val="auto"/>
          <w:sz w:val="32"/>
          <w:szCs w:val="32"/>
          <w:highlight w:val="none"/>
          <w:lang w:val="zh-CN"/>
        </w:rPr>
        <w:t>1,219.38</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19.61</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附属单位上缴收入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；其他收入</w:t>
      </w:r>
      <w:r>
        <w:rPr>
          <w:rFonts w:hint="eastAsia" w:ascii="仿宋_GB2312" w:eastAsia="仿宋_GB2312"/>
          <w:color w:val="auto"/>
          <w:sz w:val="32"/>
          <w:szCs w:val="32"/>
          <w:highlight w:val="none"/>
          <w:lang w:val="zh-CN"/>
        </w:rPr>
        <w:t>8.63</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0.14</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2" w:name="_Toc27961"/>
      <w:bookmarkStart w:id="13" w:name="_Toc13201"/>
      <w:r>
        <w:rPr>
          <w:rFonts w:hint="eastAsia" w:ascii="黑体" w:hAnsi="黑体" w:eastAsia="黑体" w:cs="宋体"/>
          <w:bCs/>
          <w:color w:val="auto"/>
          <w:kern w:val="0"/>
          <w:sz w:val="32"/>
          <w:szCs w:val="32"/>
          <w:highlight w:val="none"/>
          <w:lang w:eastAsia="zh-CN"/>
        </w:rPr>
        <w:t>三、支出决算情况说明</w:t>
      </w:r>
      <w:bookmarkEnd w:id="12"/>
      <w:bookmarkEnd w:id="1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仿宋_GB2312"/>
          <w:color w:val="auto"/>
          <w:sz w:val="30"/>
          <w:szCs w:val="30"/>
          <w:highlight w:val="none"/>
          <w:lang w:val="zh-CN" w:eastAsia="zh-CN"/>
        </w:rPr>
      </w:pPr>
      <w:r>
        <w:rPr>
          <w:rFonts w:hint="eastAsia" w:ascii="Times New Roman" w:hAnsi="Times New Roman" w:eastAsia="仿宋_GB2312" w:cs="仿宋_GB2312"/>
          <w:color w:val="auto"/>
          <w:sz w:val="32"/>
          <w:szCs w:val="32"/>
          <w:highlight w:val="none"/>
          <w:lang w:val="zh-CN" w:eastAsia="zh-CN"/>
        </w:rPr>
        <w:t>本年支出6,349.15万元，其中：基本支出1,601.99万元，占25.23%；项目支出4,047.18万元，占63.74%；上缴上级支出0.00万元，占0.00%；经营支出699.97万元，占11.02%；对附属单位补助支出0.00万元，占0.00%。</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4" w:name="_Toc4393"/>
      <w:bookmarkStart w:id="15" w:name="_Toc26564"/>
      <w:r>
        <w:rPr>
          <w:rFonts w:hint="eastAsia" w:ascii="黑体" w:hAnsi="黑体" w:eastAsia="黑体" w:cs="宋体"/>
          <w:bCs/>
          <w:color w:val="auto"/>
          <w:kern w:val="0"/>
          <w:sz w:val="32"/>
          <w:szCs w:val="32"/>
          <w:highlight w:val="none"/>
          <w:lang w:eastAsia="zh-CN"/>
        </w:rPr>
        <w:t>四、财政拨款收入支出决算总体情况说明</w:t>
      </w:r>
      <w:bookmarkEnd w:id="14"/>
      <w:bookmarkEnd w:id="1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2023年度财政拨款收入</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4,949.28</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其中：年初财政拨款结转和结余</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本年财政拨款收入</w:t>
      </w:r>
      <w:r>
        <w:rPr>
          <w:rFonts w:hint="eastAsia" w:ascii="仿宋_GB2312" w:eastAsia="仿宋_GB2312"/>
          <w:color w:val="auto"/>
          <w:spacing w:val="0"/>
          <w:sz w:val="32"/>
          <w:szCs w:val="32"/>
          <w:highlight w:val="none"/>
          <w:lang w:val="zh-CN" w:eastAsia="zh-CN"/>
        </w:rPr>
        <w:t>4,949.28</w:t>
      </w:r>
      <w:r>
        <w:rPr>
          <w:rFonts w:hint="eastAsia" w:ascii="仿宋_GB2312" w:eastAsia="仿宋_GB2312"/>
          <w:color w:val="auto"/>
          <w:spacing w:val="0"/>
          <w:sz w:val="32"/>
          <w:szCs w:val="32"/>
          <w:highlight w:val="none"/>
          <w:lang w:eastAsia="zh-CN"/>
        </w:rPr>
        <w:t>万元。财政拨款支出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4,949.28</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其中：年末财政拨款结转和结余</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本年财政拨款支出</w:t>
      </w:r>
      <w:r>
        <w:rPr>
          <w:rFonts w:hint="eastAsia" w:ascii="仿宋_GB2312" w:eastAsia="仿宋_GB2312"/>
          <w:color w:val="auto"/>
          <w:spacing w:val="0"/>
          <w:sz w:val="32"/>
          <w:szCs w:val="32"/>
          <w:highlight w:val="none"/>
          <w:lang w:val="zh-CN" w:eastAsia="zh-CN"/>
        </w:rPr>
        <w:t>4,949.28</w:t>
      </w:r>
      <w:r>
        <w:rPr>
          <w:rFonts w:hint="eastAsia" w:ascii="仿宋_GB2312" w:eastAsia="仿宋_GB2312"/>
          <w:color w:val="auto"/>
          <w:spacing w:val="0"/>
          <w:sz w:val="32"/>
          <w:szCs w:val="32"/>
          <w:highlight w:val="none"/>
          <w:lang w:eastAsia="zh-CN"/>
        </w:rPr>
        <w:t>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财政拨款收入支出总体与上年相比</w:t>
      </w:r>
      <w:r>
        <w:rPr>
          <w:rFonts w:hint="eastAsia" w:ascii="仿宋_GB2312" w:eastAsia="仿宋_GB2312"/>
          <w:color w:val="auto"/>
          <w:spacing w:val="0"/>
          <w:sz w:val="32"/>
          <w:szCs w:val="32"/>
          <w:highlight w:val="none"/>
          <w:lang w:val="en-US" w:eastAsia="zh-CN"/>
        </w:rPr>
        <w:t>,</w:t>
      </w:r>
      <w:r>
        <w:rPr>
          <w:rFonts w:hint="eastAsia" w:ascii="仿宋_GB2312" w:eastAsia="仿宋_GB2312"/>
          <w:color w:val="auto"/>
          <w:spacing w:val="0"/>
          <w:sz w:val="32"/>
          <w:szCs w:val="32"/>
          <w:highlight w:val="none"/>
          <w:lang w:val="zh-CN" w:eastAsia="zh-CN"/>
        </w:rPr>
        <w:t>增加45.51万元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en-US" w:eastAsia="zh-CN"/>
        </w:rPr>
        <w:t>增长0.93%,</w:t>
      </w:r>
      <w:r>
        <w:rPr>
          <w:rFonts w:hint="eastAsia" w:ascii="仿宋_GB2312" w:eastAsia="仿宋_GB2312"/>
          <w:color w:val="auto"/>
          <w:spacing w:val="0"/>
          <w:sz w:val="32"/>
          <w:szCs w:val="32"/>
          <w:highlight w:val="none"/>
          <w:lang w:eastAsia="zh-CN"/>
        </w:rPr>
        <w:t>主要原因是：</w:t>
      </w:r>
      <w:r>
        <w:rPr>
          <w:rFonts w:hint="eastAsia" w:ascii="仿宋_GB2312" w:eastAsia="仿宋_GB2312"/>
          <w:color w:val="auto"/>
          <w:spacing w:val="0"/>
          <w:sz w:val="32"/>
          <w:szCs w:val="32"/>
          <w:highlight w:val="none"/>
          <w:lang w:val="en-US" w:eastAsia="zh-CN"/>
        </w:rPr>
        <w:t>本年在职转退休4人追加职业年金及在职人员社保、公积金基数调增（其中：</w:t>
      </w:r>
      <w:r>
        <w:rPr>
          <w:rFonts w:hint="eastAsia" w:ascii="仿宋_GB2312" w:eastAsia="仿宋_GB2312"/>
          <w:color w:val="auto"/>
          <w:spacing w:val="0"/>
          <w:sz w:val="32"/>
          <w:szCs w:val="32"/>
          <w:highlight w:val="none"/>
          <w:lang w:eastAsia="zh-CN"/>
        </w:rPr>
        <w:t>社会保障和就业支出</w:t>
      </w:r>
      <w:r>
        <w:rPr>
          <w:rFonts w:hint="eastAsia" w:ascii="仿宋_GB2312" w:eastAsia="仿宋_GB2312"/>
          <w:color w:val="auto"/>
          <w:spacing w:val="0"/>
          <w:sz w:val="32"/>
          <w:szCs w:val="32"/>
          <w:highlight w:val="none"/>
          <w:lang w:val="en-US" w:eastAsia="zh-CN"/>
        </w:rPr>
        <w:t>增加</w:t>
      </w:r>
      <w:r>
        <w:rPr>
          <w:rFonts w:hint="eastAsia" w:ascii="仿宋_GB2312" w:eastAsia="仿宋_GB2312"/>
          <w:color w:val="auto"/>
          <w:spacing w:val="0"/>
          <w:sz w:val="32"/>
          <w:szCs w:val="32"/>
          <w:highlight w:val="none"/>
          <w:lang w:eastAsia="zh-CN"/>
        </w:rPr>
        <w:t>22.45</w:t>
      </w:r>
      <w:r>
        <w:rPr>
          <w:rFonts w:hint="eastAsia" w:ascii="仿宋_GB2312" w:eastAsia="仿宋_GB2312"/>
          <w:color w:val="auto"/>
          <w:spacing w:val="0"/>
          <w:sz w:val="32"/>
          <w:szCs w:val="32"/>
          <w:highlight w:val="none"/>
          <w:lang w:val="en-US" w:eastAsia="zh-CN"/>
        </w:rPr>
        <w:t>万元，</w:t>
      </w:r>
      <w:r>
        <w:rPr>
          <w:rFonts w:hint="eastAsia" w:ascii="仿宋_GB2312" w:eastAsia="仿宋_GB2312"/>
          <w:color w:val="auto"/>
          <w:spacing w:val="0"/>
          <w:sz w:val="32"/>
          <w:szCs w:val="32"/>
          <w:highlight w:val="none"/>
          <w:lang w:eastAsia="zh-CN"/>
        </w:rPr>
        <w:t>卫生健康支出</w:t>
      </w:r>
      <w:r>
        <w:rPr>
          <w:rFonts w:hint="eastAsia" w:ascii="仿宋_GB2312" w:eastAsia="仿宋_GB2312"/>
          <w:color w:val="auto"/>
          <w:spacing w:val="0"/>
          <w:sz w:val="32"/>
          <w:szCs w:val="32"/>
          <w:highlight w:val="none"/>
          <w:lang w:val="en-US" w:eastAsia="zh-CN"/>
        </w:rPr>
        <w:t>增加</w:t>
      </w:r>
      <w:r>
        <w:rPr>
          <w:rFonts w:hint="eastAsia" w:ascii="仿宋_GB2312" w:eastAsia="仿宋_GB2312"/>
          <w:color w:val="auto"/>
          <w:spacing w:val="0"/>
          <w:sz w:val="32"/>
          <w:szCs w:val="32"/>
          <w:highlight w:val="none"/>
          <w:lang w:eastAsia="zh-CN"/>
        </w:rPr>
        <w:t>13.22</w:t>
      </w:r>
      <w:r>
        <w:rPr>
          <w:rFonts w:hint="eastAsia" w:ascii="仿宋_GB2312" w:eastAsia="仿宋_GB2312"/>
          <w:color w:val="auto"/>
          <w:spacing w:val="0"/>
          <w:sz w:val="32"/>
          <w:szCs w:val="32"/>
          <w:highlight w:val="none"/>
          <w:lang w:val="en-US" w:eastAsia="zh-CN"/>
        </w:rPr>
        <w:t>万元，</w:t>
      </w:r>
      <w:r>
        <w:rPr>
          <w:rFonts w:hint="eastAsia" w:ascii="仿宋_GB2312" w:eastAsia="仿宋_GB2312"/>
          <w:color w:val="auto"/>
          <w:spacing w:val="0"/>
          <w:sz w:val="32"/>
          <w:szCs w:val="32"/>
          <w:highlight w:val="none"/>
          <w:lang w:eastAsia="zh-CN"/>
        </w:rPr>
        <w:t>住房保障支出</w:t>
      </w:r>
      <w:r>
        <w:rPr>
          <w:rFonts w:hint="eastAsia" w:ascii="仿宋_GB2312" w:eastAsia="仿宋_GB2312"/>
          <w:color w:val="auto"/>
          <w:spacing w:val="0"/>
          <w:sz w:val="32"/>
          <w:szCs w:val="32"/>
          <w:highlight w:val="none"/>
          <w:lang w:val="en-US" w:eastAsia="zh-CN"/>
        </w:rPr>
        <w:t>增加</w:t>
      </w:r>
      <w:r>
        <w:rPr>
          <w:rFonts w:hint="eastAsia" w:ascii="仿宋_GB2312" w:eastAsia="仿宋_GB2312"/>
          <w:color w:val="auto"/>
          <w:spacing w:val="0"/>
          <w:sz w:val="32"/>
          <w:szCs w:val="32"/>
          <w:highlight w:val="none"/>
          <w:lang w:eastAsia="zh-CN"/>
        </w:rPr>
        <w:t>10.5</w:t>
      </w:r>
      <w:r>
        <w:rPr>
          <w:rFonts w:hint="eastAsia" w:ascii="仿宋_GB2312" w:eastAsia="仿宋_GB2312"/>
          <w:color w:val="auto"/>
          <w:spacing w:val="0"/>
          <w:sz w:val="32"/>
          <w:szCs w:val="32"/>
          <w:highlight w:val="none"/>
          <w:lang w:val="en-US" w:eastAsia="zh-CN"/>
        </w:rPr>
        <w:t>万元，财政项目</w:t>
      </w:r>
      <w:r>
        <w:rPr>
          <w:rFonts w:hint="eastAsia" w:ascii="仿宋_GB2312" w:eastAsia="仿宋_GB2312"/>
          <w:color w:val="auto"/>
          <w:spacing w:val="0"/>
          <w:sz w:val="32"/>
          <w:szCs w:val="32"/>
          <w:highlight w:val="none"/>
          <w:lang w:eastAsia="zh-CN"/>
        </w:rPr>
        <w:t>支出</w:t>
      </w:r>
      <w:r>
        <w:rPr>
          <w:rFonts w:hint="eastAsia" w:ascii="仿宋_GB2312" w:eastAsia="仿宋_GB2312"/>
          <w:color w:val="auto"/>
          <w:spacing w:val="0"/>
          <w:sz w:val="32"/>
          <w:szCs w:val="32"/>
          <w:highlight w:val="none"/>
          <w:lang w:val="en-US" w:eastAsia="zh-CN"/>
        </w:rPr>
        <w:t>减少</w:t>
      </w:r>
      <w:r>
        <w:rPr>
          <w:rFonts w:hint="eastAsia" w:ascii="仿宋_GB2312" w:eastAsia="仿宋_GB2312"/>
          <w:color w:val="auto"/>
          <w:spacing w:val="0"/>
          <w:sz w:val="32"/>
          <w:szCs w:val="32"/>
          <w:highlight w:val="none"/>
          <w:lang w:eastAsia="zh-CN"/>
        </w:rPr>
        <w:t>0.6</w:t>
      </w:r>
      <w:r>
        <w:rPr>
          <w:rFonts w:hint="eastAsia" w:ascii="仿宋_GB2312" w:eastAsia="仿宋_GB2312"/>
          <w:color w:val="auto"/>
          <w:spacing w:val="0"/>
          <w:sz w:val="32"/>
          <w:szCs w:val="32"/>
          <w:highlight w:val="none"/>
          <w:lang w:val="en-US" w:eastAsia="zh-CN"/>
        </w:rPr>
        <w:t>6万元）。</w:t>
      </w:r>
      <w:r>
        <w:rPr>
          <w:rFonts w:hint="eastAsia" w:ascii="仿宋_GB2312" w:eastAsia="仿宋_GB2312"/>
          <w:color w:val="auto"/>
          <w:spacing w:val="0"/>
          <w:sz w:val="32"/>
          <w:szCs w:val="32"/>
          <w:highlight w:val="none"/>
          <w:lang w:eastAsia="zh-CN"/>
        </w:rPr>
        <w:t>与年初预算相比，年初预算数</w:t>
      </w:r>
      <w:r>
        <w:rPr>
          <w:rFonts w:hint="eastAsia" w:ascii="仿宋_GB2312" w:eastAsia="仿宋_GB2312"/>
          <w:color w:val="auto"/>
          <w:spacing w:val="0"/>
          <w:sz w:val="32"/>
          <w:szCs w:val="32"/>
          <w:highlight w:val="none"/>
          <w:lang w:val="zh-CN" w:eastAsia="zh-CN"/>
        </w:rPr>
        <w:t>4,802.47</w:t>
      </w:r>
      <w:r>
        <w:rPr>
          <w:rFonts w:hint="eastAsia" w:ascii="仿宋_GB2312" w:eastAsia="仿宋_GB2312"/>
          <w:color w:val="auto"/>
          <w:spacing w:val="0"/>
          <w:sz w:val="32"/>
          <w:szCs w:val="32"/>
          <w:highlight w:val="none"/>
          <w:lang w:eastAsia="zh-CN"/>
        </w:rPr>
        <w:t>万元，决算</w:t>
      </w:r>
      <w:r>
        <w:rPr>
          <w:rFonts w:hint="eastAsia" w:ascii="仿宋_GB2312" w:eastAsia="仿宋_GB2312"/>
          <w:color w:val="auto"/>
          <w:spacing w:val="0"/>
          <w:sz w:val="32"/>
          <w:szCs w:val="32"/>
          <w:highlight w:val="none"/>
          <w:lang w:val="zh-CN" w:eastAsia="zh-CN"/>
        </w:rPr>
        <w:t>4,949.28</w:t>
      </w:r>
      <w:r>
        <w:rPr>
          <w:rFonts w:hint="eastAsia" w:ascii="仿宋_GB2312" w:eastAsia="仿宋_GB2312"/>
          <w:color w:val="auto"/>
          <w:spacing w:val="0"/>
          <w:sz w:val="32"/>
          <w:szCs w:val="32"/>
          <w:highlight w:val="none"/>
          <w:lang w:eastAsia="zh-CN"/>
        </w:rPr>
        <w:t>万元，预决算差异率3.06%，主要原因是：</w:t>
      </w:r>
      <w:r>
        <w:rPr>
          <w:rFonts w:hint="eastAsia" w:ascii="仿宋_GB2312" w:eastAsia="仿宋_GB2312"/>
          <w:color w:val="auto"/>
          <w:spacing w:val="0"/>
          <w:sz w:val="32"/>
          <w:szCs w:val="32"/>
          <w:highlight w:val="none"/>
          <w:lang w:val="en-US" w:eastAsia="zh-CN"/>
        </w:rPr>
        <w:t>本年在职转退休4人，年中追加职业年金</w:t>
      </w:r>
      <w:r>
        <w:rPr>
          <w:rFonts w:hint="eastAsia" w:ascii="仿宋_GB2312" w:eastAsia="仿宋_GB2312"/>
          <w:color w:val="auto"/>
          <w:spacing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6" w:name="_Toc13833"/>
      <w:bookmarkStart w:id="17" w:name="_Toc20360"/>
      <w:r>
        <w:rPr>
          <w:rFonts w:hint="eastAsia" w:ascii="黑体" w:hAnsi="黑体" w:eastAsia="黑体" w:cs="宋体"/>
          <w:bCs/>
          <w:color w:val="auto"/>
          <w:kern w:val="0"/>
          <w:sz w:val="32"/>
          <w:szCs w:val="32"/>
          <w:highlight w:val="none"/>
          <w:lang w:eastAsia="zh-CN"/>
        </w:rPr>
        <w:t>五、一般公共预算财政拨款支出决算情况说明</w:t>
      </w:r>
      <w:bookmarkEnd w:id="16"/>
      <w:bookmarkEnd w:id="1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（一）一般公共预算财政拨款支出决算总体情况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hint="default"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2023年度一般公共预算财政拨款支出4,949.28万元，占本年支出合计的</w:t>
      </w:r>
      <w:r>
        <w:rPr>
          <w:rFonts w:hint="eastAsia" w:ascii="仿宋_GB2312" w:eastAsia="仿宋_GB2312"/>
          <w:color w:val="auto"/>
          <w:spacing w:val="0"/>
          <w:sz w:val="32"/>
          <w:szCs w:val="32"/>
          <w:highlight w:val="none"/>
          <w:lang w:val="zh-CN" w:eastAsia="zh-CN"/>
        </w:rPr>
        <w:t>77.95%</w:t>
      </w:r>
      <w:r>
        <w:rPr>
          <w:rFonts w:hint="eastAsia" w:ascii="仿宋_GB2312" w:eastAsia="仿宋_GB2312"/>
          <w:color w:val="auto"/>
          <w:spacing w:val="0"/>
          <w:sz w:val="32"/>
          <w:szCs w:val="32"/>
          <w:highlight w:val="none"/>
          <w:lang w:eastAsia="zh-CN"/>
        </w:rPr>
        <w:t>。与上年相比，</w:t>
      </w:r>
      <w:r>
        <w:rPr>
          <w:rFonts w:hint="eastAsia" w:ascii="仿宋_GB2312" w:eastAsia="仿宋_GB2312"/>
          <w:color w:val="auto"/>
          <w:spacing w:val="0"/>
          <w:sz w:val="32"/>
          <w:szCs w:val="32"/>
          <w:highlight w:val="none"/>
          <w:lang w:val="zh-CN" w:eastAsia="zh-CN"/>
        </w:rPr>
        <w:t>增加45.51万元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en-US" w:eastAsia="zh-CN"/>
        </w:rPr>
        <w:t>增长0.93%,</w:t>
      </w:r>
      <w:r>
        <w:rPr>
          <w:rFonts w:hint="eastAsia" w:ascii="仿宋_GB2312" w:eastAsia="仿宋_GB2312"/>
          <w:color w:val="auto"/>
          <w:spacing w:val="0"/>
          <w:sz w:val="32"/>
          <w:szCs w:val="32"/>
          <w:highlight w:val="none"/>
          <w:lang w:eastAsia="zh-CN"/>
        </w:rPr>
        <w:t>主要原因是：</w:t>
      </w:r>
      <w:r>
        <w:rPr>
          <w:rFonts w:hint="eastAsia" w:ascii="仿宋_GB2312" w:eastAsia="仿宋_GB2312"/>
          <w:color w:val="auto"/>
          <w:spacing w:val="0"/>
          <w:sz w:val="32"/>
          <w:szCs w:val="32"/>
          <w:highlight w:val="none"/>
          <w:lang w:val="en-US" w:eastAsia="zh-CN"/>
        </w:rPr>
        <w:t>本年在职转退休4人追加职业年金及在职人员社保、公积金基数调增（其中：</w:t>
      </w:r>
      <w:r>
        <w:rPr>
          <w:rFonts w:hint="eastAsia" w:ascii="仿宋_GB2312" w:eastAsia="仿宋_GB2312"/>
          <w:color w:val="auto"/>
          <w:spacing w:val="0"/>
          <w:sz w:val="32"/>
          <w:szCs w:val="32"/>
          <w:highlight w:val="none"/>
          <w:lang w:eastAsia="zh-CN"/>
        </w:rPr>
        <w:t>社会保障和就业支出</w:t>
      </w:r>
      <w:r>
        <w:rPr>
          <w:rFonts w:hint="eastAsia" w:ascii="仿宋_GB2312" w:eastAsia="仿宋_GB2312"/>
          <w:color w:val="auto"/>
          <w:spacing w:val="0"/>
          <w:sz w:val="32"/>
          <w:szCs w:val="32"/>
          <w:highlight w:val="none"/>
          <w:lang w:val="en-US" w:eastAsia="zh-CN"/>
        </w:rPr>
        <w:t>增加</w:t>
      </w:r>
      <w:r>
        <w:rPr>
          <w:rFonts w:hint="eastAsia" w:ascii="仿宋_GB2312" w:eastAsia="仿宋_GB2312"/>
          <w:color w:val="auto"/>
          <w:spacing w:val="0"/>
          <w:sz w:val="32"/>
          <w:szCs w:val="32"/>
          <w:highlight w:val="none"/>
          <w:lang w:eastAsia="zh-CN"/>
        </w:rPr>
        <w:t>22.45</w:t>
      </w:r>
      <w:r>
        <w:rPr>
          <w:rFonts w:hint="eastAsia" w:ascii="仿宋_GB2312" w:eastAsia="仿宋_GB2312"/>
          <w:color w:val="auto"/>
          <w:spacing w:val="0"/>
          <w:sz w:val="32"/>
          <w:szCs w:val="32"/>
          <w:highlight w:val="none"/>
          <w:lang w:val="en-US" w:eastAsia="zh-CN"/>
        </w:rPr>
        <w:t>万元，</w:t>
      </w:r>
      <w:r>
        <w:rPr>
          <w:rFonts w:hint="eastAsia" w:ascii="仿宋_GB2312" w:eastAsia="仿宋_GB2312"/>
          <w:color w:val="auto"/>
          <w:spacing w:val="0"/>
          <w:sz w:val="32"/>
          <w:szCs w:val="32"/>
          <w:highlight w:val="none"/>
          <w:lang w:eastAsia="zh-CN"/>
        </w:rPr>
        <w:t>卫生健康支出</w:t>
      </w:r>
      <w:r>
        <w:rPr>
          <w:rFonts w:hint="eastAsia" w:ascii="仿宋_GB2312" w:eastAsia="仿宋_GB2312"/>
          <w:color w:val="auto"/>
          <w:spacing w:val="0"/>
          <w:sz w:val="32"/>
          <w:szCs w:val="32"/>
          <w:highlight w:val="none"/>
          <w:lang w:val="en-US" w:eastAsia="zh-CN"/>
        </w:rPr>
        <w:t>增加</w:t>
      </w:r>
      <w:r>
        <w:rPr>
          <w:rFonts w:hint="eastAsia" w:ascii="仿宋_GB2312" w:eastAsia="仿宋_GB2312"/>
          <w:color w:val="auto"/>
          <w:spacing w:val="0"/>
          <w:sz w:val="32"/>
          <w:szCs w:val="32"/>
          <w:highlight w:val="none"/>
          <w:lang w:eastAsia="zh-CN"/>
        </w:rPr>
        <w:t>13.22</w:t>
      </w:r>
      <w:r>
        <w:rPr>
          <w:rFonts w:hint="eastAsia" w:ascii="仿宋_GB2312" w:eastAsia="仿宋_GB2312"/>
          <w:color w:val="auto"/>
          <w:spacing w:val="0"/>
          <w:sz w:val="32"/>
          <w:szCs w:val="32"/>
          <w:highlight w:val="none"/>
          <w:lang w:val="en-US" w:eastAsia="zh-CN"/>
        </w:rPr>
        <w:t>万元，</w:t>
      </w:r>
      <w:r>
        <w:rPr>
          <w:rFonts w:hint="eastAsia" w:ascii="仿宋_GB2312" w:eastAsia="仿宋_GB2312"/>
          <w:color w:val="auto"/>
          <w:spacing w:val="0"/>
          <w:sz w:val="32"/>
          <w:szCs w:val="32"/>
          <w:highlight w:val="none"/>
          <w:lang w:eastAsia="zh-CN"/>
        </w:rPr>
        <w:t>住房保障支出</w:t>
      </w:r>
      <w:r>
        <w:rPr>
          <w:rFonts w:hint="eastAsia" w:ascii="仿宋_GB2312" w:eastAsia="仿宋_GB2312"/>
          <w:color w:val="auto"/>
          <w:spacing w:val="0"/>
          <w:sz w:val="32"/>
          <w:szCs w:val="32"/>
          <w:highlight w:val="none"/>
          <w:lang w:val="en-US" w:eastAsia="zh-CN"/>
        </w:rPr>
        <w:t>增加</w:t>
      </w:r>
      <w:r>
        <w:rPr>
          <w:rFonts w:hint="eastAsia" w:ascii="仿宋_GB2312" w:eastAsia="仿宋_GB2312"/>
          <w:color w:val="auto"/>
          <w:spacing w:val="0"/>
          <w:sz w:val="32"/>
          <w:szCs w:val="32"/>
          <w:highlight w:val="none"/>
          <w:lang w:eastAsia="zh-CN"/>
        </w:rPr>
        <w:t>10.5</w:t>
      </w:r>
      <w:r>
        <w:rPr>
          <w:rFonts w:hint="eastAsia" w:ascii="仿宋_GB2312" w:eastAsia="仿宋_GB2312"/>
          <w:color w:val="auto"/>
          <w:spacing w:val="0"/>
          <w:sz w:val="32"/>
          <w:szCs w:val="32"/>
          <w:highlight w:val="none"/>
          <w:lang w:val="en-US" w:eastAsia="zh-CN"/>
        </w:rPr>
        <w:t>万元，财政项目</w:t>
      </w:r>
      <w:r>
        <w:rPr>
          <w:rFonts w:hint="eastAsia" w:ascii="仿宋_GB2312" w:eastAsia="仿宋_GB2312"/>
          <w:color w:val="auto"/>
          <w:spacing w:val="0"/>
          <w:sz w:val="32"/>
          <w:szCs w:val="32"/>
          <w:highlight w:val="none"/>
          <w:lang w:eastAsia="zh-CN"/>
        </w:rPr>
        <w:t>支出</w:t>
      </w:r>
      <w:r>
        <w:rPr>
          <w:rFonts w:hint="eastAsia" w:ascii="仿宋_GB2312" w:eastAsia="仿宋_GB2312"/>
          <w:color w:val="auto"/>
          <w:spacing w:val="0"/>
          <w:sz w:val="32"/>
          <w:szCs w:val="32"/>
          <w:highlight w:val="none"/>
          <w:lang w:val="en-US" w:eastAsia="zh-CN"/>
        </w:rPr>
        <w:t>减少</w:t>
      </w:r>
      <w:r>
        <w:rPr>
          <w:rFonts w:hint="eastAsia" w:ascii="仿宋_GB2312" w:eastAsia="仿宋_GB2312"/>
          <w:color w:val="auto"/>
          <w:spacing w:val="0"/>
          <w:sz w:val="32"/>
          <w:szCs w:val="32"/>
          <w:highlight w:val="none"/>
          <w:lang w:eastAsia="zh-CN"/>
        </w:rPr>
        <w:t>0.6</w:t>
      </w:r>
      <w:r>
        <w:rPr>
          <w:rFonts w:hint="eastAsia" w:ascii="仿宋_GB2312" w:eastAsia="仿宋_GB2312"/>
          <w:color w:val="auto"/>
          <w:spacing w:val="0"/>
          <w:sz w:val="32"/>
          <w:szCs w:val="32"/>
          <w:highlight w:val="none"/>
          <w:lang w:val="en-US" w:eastAsia="zh-CN"/>
        </w:rPr>
        <w:t>6万元）。</w:t>
      </w:r>
      <w:r>
        <w:rPr>
          <w:rFonts w:hint="eastAsia" w:ascii="仿宋_GB2312" w:eastAsia="仿宋_GB2312"/>
          <w:color w:val="auto"/>
          <w:spacing w:val="0"/>
          <w:sz w:val="32"/>
          <w:szCs w:val="32"/>
          <w:highlight w:val="none"/>
          <w:lang w:eastAsia="zh-CN"/>
        </w:rPr>
        <w:t>与年初预算相比，年初预算数</w:t>
      </w:r>
      <w:r>
        <w:rPr>
          <w:rFonts w:hint="eastAsia" w:ascii="仿宋_GB2312" w:eastAsia="仿宋_GB2312"/>
          <w:color w:val="auto"/>
          <w:spacing w:val="0"/>
          <w:sz w:val="32"/>
          <w:szCs w:val="32"/>
          <w:highlight w:val="none"/>
          <w:lang w:val="zh-CN" w:eastAsia="zh-CN"/>
        </w:rPr>
        <w:t>4,802.47</w:t>
      </w:r>
      <w:r>
        <w:rPr>
          <w:rFonts w:hint="eastAsia" w:ascii="仿宋_GB2312" w:eastAsia="仿宋_GB2312"/>
          <w:color w:val="auto"/>
          <w:spacing w:val="0"/>
          <w:sz w:val="32"/>
          <w:szCs w:val="32"/>
          <w:highlight w:val="none"/>
          <w:lang w:eastAsia="zh-CN"/>
        </w:rPr>
        <w:t>万元，决算</w:t>
      </w:r>
      <w:r>
        <w:rPr>
          <w:rFonts w:hint="eastAsia" w:ascii="仿宋_GB2312" w:eastAsia="仿宋_GB2312"/>
          <w:color w:val="auto"/>
          <w:spacing w:val="0"/>
          <w:sz w:val="32"/>
          <w:szCs w:val="32"/>
          <w:highlight w:val="none"/>
          <w:lang w:val="zh-CN" w:eastAsia="zh-CN"/>
        </w:rPr>
        <w:t>4,949.28</w:t>
      </w:r>
      <w:r>
        <w:rPr>
          <w:rFonts w:hint="eastAsia" w:ascii="仿宋_GB2312" w:eastAsia="仿宋_GB2312"/>
          <w:color w:val="auto"/>
          <w:spacing w:val="0"/>
          <w:sz w:val="32"/>
          <w:szCs w:val="32"/>
          <w:highlight w:val="none"/>
          <w:lang w:eastAsia="zh-CN"/>
        </w:rPr>
        <w:t>万元，预决算差异率</w:t>
      </w:r>
      <w:r>
        <w:rPr>
          <w:rFonts w:hint="eastAsia" w:ascii="仿宋_GB2312" w:eastAsia="仿宋_GB2312"/>
          <w:color w:val="auto"/>
          <w:spacing w:val="0"/>
          <w:sz w:val="32"/>
          <w:szCs w:val="32"/>
          <w:highlight w:val="none"/>
          <w:lang w:val="zh-CN" w:eastAsia="zh-CN"/>
        </w:rPr>
        <w:t>3.06%</w:t>
      </w:r>
      <w:r>
        <w:rPr>
          <w:rFonts w:hint="eastAsia" w:ascii="仿宋_GB2312" w:eastAsia="仿宋_GB2312"/>
          <w:color w:val="auto"/>
          <w:spacing w:val="0"/>
          <w:sz w:val="32"/>
          <w:szCs w:val="32"/>
          <w:highlight w:val="none"/>
          <w:lang w:eastAsia="zh-CN"/>
        </w:rPr>
        <w:t>，主要原因是：</w:t>
      </w:r>
      <w:r>
        <w:rPr>
          <w:rFonts w:hint="eastAsia" w:ascii="仿宋_GB2312" w:eastAsia="仿宋_GB2312"/>
          <w:color w:val="auto"/>
          <w:spacing w:val="0"/>
          <w:sz w:val="32"/>
          <w:szCs w:val="32"/>
          <w:highlight w:val="none"/>
          <w:lang w:val="en-US" w:eastAsia="zh-CN"/>
        </w:rPr>
        <w:t>本年在职转退休4人，年中追加职业年金</w:t>
      </w:r>
      <w:r>
        <w:rPr>
          <w:rFonts w:hint="eastAsia" w:ascii="仿宋_GB2312" w:eastAsia="仿宋_GB2312"/>
          <w:color w:val="auto"/>
          <w:spacing w:val="0"/>
          <w:sz w:val="32"/>
          <w:szCs w:val="32"/>
          <w:highlight w:val="none"/>
          <w:lang w:eastAsia="zh-CN"/>
        </w:rPr>
        <w:t>。</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一般公共预算</w:t>
      </w:r>
      <w:r>
        <w:rPr>
          <w:rFonts w:hint="eastAsia" w:ascii="黑体" w:hAnsi="黑体" w:eastAsia="黑体"/>
          <w:color w:val="auto"/>
          <w:sz w:val="32"/>
          <w:szCs w:val="32"/>
          <w:highlight w:val="none"/>
          <w:lang w:val="en-US" w:eastAsia="zh-CN"/>
        </w:rPr>
        <w:t>财政拨款支出决算</w:t>
      </w:r>
      <w:r>
        <w:rPr>
          <w:rFonts w:hint="eastAsia" w:ascii="黑体" w:hAnsi="黑体" w:eastAsia="黑体"/>
          <w:color w:val="auto"/>
          <w:sz w:val="32"/>
          <w:szCs w:val="32"/>
          <w:highlight w:val="none"/>
          <w:lang w:eastAsia="zh-CN"/>
        </w:rPr>
        <w:t>结构情况</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1</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社会保障和就业支出（类）</w:t>
      </w:r>
      <w:r>
        <w:rPr>
          <w:rFonts w:hint="eastAsia" w:ascii="仿宋_GB2312" w:hAnsi="Times New Roman" w:eastAsia="仿宋_GB2312" w:cs="Times New Roman"/>
          <w:color w:val="auto"/>
          <w:spacing w:val="0"/>
          <w:kern w:val="2"/>
          <w:sz w:val="32"/>
          <w:szCs w:val="32"/>
          <w:highlight w:val="none"/>
          <w:lang w:val="zh-CN" w:eastAsia="zh-CN" w:bidi="ar-SA"/>
        </w:rPr>
        <w:t>235.53</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4.76</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2</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卫生健康支出（类）</w:t>
      </w:r>
      <w:r>
        <w:rPr>
          <w:rFonts w:hint="eastAsia" w:ascii="仿宋_GB2312" w:hAnsi="Times New Roman" w:eastAsia="仿宋_GB2312" w:cs="Times New Roman"/>
          <w:color w:val="auto"/>
          <w:spacing w:val="0"/>
          <w:kern w:val="2"/>
          <w:sz w:val="32"/>
          <w:szCs w:val="32"/>
          <w:highlight w:val="none"/>
          <w:lang w:val="zh-CN" w:eastAsia="zh-CN" w:bidi="ar-SA"/>
        </w:rPr>
        <w:t>123.07</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2.49</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3</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自然资源海洋气象等支出（类）</w:t>
      </w:r>
      <w:r>
        <w:rPr>
          <w:rFonts w:hint="eastAsia" w:ascii="仿宋_GB2312" w:hAnsi="Times New Roman" w:eastAsia="仿宋_GB2312" w:cs="Times New Roman"/>
          <w:color w:val="auto"/>
          <w:spacing w:val="0"/>
          <w:kern w:val="2"/>
          <w:sz w:val="32"/>
          <w:szCs w:val="32"/>
          <w:highlight w:val="none"/>
          <w:lang w:val="zh-CN" w:eastAsia="zh-CN" w:bidi="ar-SA"/>
        </w:rPr>
        <w:t>4,494.15</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90.80</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en-US" w:eastAsia="zh-CN" w:bidi="ar-SA"/>
        </w:rPr>
      </w:pPr>
      <w:r>
        <w:rPr>
          <w:rFonts w:hint="eastAsia" w:ascii="仿宋_GB2312" w:eastAsia="仿宋_GB2312" w:cs="Times New Roman"/>
          <w:color w:val="auto"/>
          <w:spacing w:val="0"/>
          <w:kern w:val="2"/>
          <w:sz w:val="32"/>
          <w:szCs w:val="32"/>
          <w:lang w:val="en-US" w:eastAsia="zh-CN" w:bidi="ar-SA"/>
        </w:rPr>
        <w:t>4</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住房保障支出（类）</w:t>
      </w:r>
      <w:r>
        <w:rPr>
          <w:rFonts w:hint="eastAsia" w:ascii="仿宋_GB2312" w:hAnsi="Times New Roman" w:eastAsia="仿宋_GB2312" w:cs="Times New Roman"/>
          <w:color w:val="auto"/>
          <w:spacing w:val="0"/>
          <w:kern w:val="2"/>
          <w:sz w:val="32"/>
          <w:szCs w:val="32"/>
          <w:highlight w:val="none"/>
          <w:lang w:val="zh-CN" w:eastAsia="zh-CN" w:bidi="ar-SA"/>
        </w:rPr>
        <w:t>96.53</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1.95</w:t>
      </w:r>
      <w:r>
        <w:rPr>
          <w:rFonts w:hint="default" w:ascii="仿宋_GB2312" w:hAnsi="Times New Roman" w:eastAsia="仿宋_GB2312" w:cs="Times New Roman"/>
          <w:color w:val="auto"/>
          <w:spacing w:val="0"/>
          <w:kern w:val="2"/>
          <w:sz w:val="32"/>
          <w:szCs w:val="32"/>
          <w:highlight w:val="none"/>
          <w:lang w:val="zh-CN" w:eastAsia="zh-CN" w:bidi="ar-SA"/>
        </w:rPr>
        <w:t>%</w:t>
      </w:r>
      <w:r>
        <w:rPr>
          <w:rFonts w:hint="eastAsia" w:ascii="仿宋_GB2312" w:eastAsia="仿宋_GB2312" w:cs="Times New Roman"/>
          <w:color w:val="auto"/>
          <w:spacing w:val="0"/>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（三）一般公共预算财政拨款支出决算具体情况</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1.卫生健康支出（类）行政事业单位医疗（款）事业单位医疗（项）:支出决算数为66.77</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4.98</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8.06%，主要原因是：</w:t>
      </w:r>
      <w:r>
        <w:rPr>
          <w:rFonts w:hint="eastAsia" w:ascii="仿宋_GB2312" w:eastAsia="仿宋_GB2312"/>
          <w:sz w:val="32"/>
          <w:szCs w:val="32"/>
        </w:rPr>
        <w:t>在职人员工资</w:t>
      </w:r>
      <w:r>
        <w:rPr>
          <w:rFonts w:hint="eastAsia" w:ascii="仿宋_GB2312" w:eastAsia="仿宋_GB2312"/>
          <w:sz w:val="32"/>
          <w:szCs w:val="32"/>
          <w:lang w:eastAsia="zh-CN"/>
        </w:rPr>
        <w:t>调增，医疗</w:t>
      </w:r>
      <w:r>
        <w:rPr>
          <w:rFonts w:hint="eastAsia" w:ascii="仿宋_GB2312" w:eastAsia="仿宋_GB2312"/>
          <w:sz w:val="32"/>
          <w:szCs w:val="32"/>
        </w:rPr>
        <w:t>基数调增</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2.卫生健康支出（类）行政事业单位医疗（款）公务员医疗补助（项）:支出决算数为56.31</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8.25</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17.17%，主要原因是：</w:t>
      </w:r>
      <w:r>
        <w:rPr>
          <w:rFonts w:hint="eastAsia" w:ascii="仿宋_GB2312" w:eastAsia="仿宋_GB2312"/>
          <w:sz w:val="32"/>
          <w:szCs w:val="32"/>
        </w:rPr>
        <w:t>在职人员工资</w:t>
      </w:r>
      <w:r>
        <w:rPr>
          <w:rFonts w:hint="eastAsia" w:ascii="仿宋_GB2312" w:eastAsia="仿宋_GB2312"/>
          <w:sz w:val="32"/>
          <w:szCs w:val="32"/>
          <w:lang w:eastAsia="zh-CN"/>
        </w:rPr>
        <w:t>调增，医疗</w:t>
      </w:r>
      <w:r>
        <w:rPr>
          <w:rFonts w:hint="eastAsia" w:ascii="仿宋_GB2312" w:eastAsia="仿宋_GB2312"/>
          <w:sz w:val="32"/>
          <w:szCs w:val="32"/>
        </w:rPr>
        <w:t>基数调增</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3.自然资源海洋气象等支出（类）自然资源事务（款）其他自然资源事务支出（项）:支出决算数为3,347.29</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43.37</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1.31%，主要原因是：</w:t>
      </w:r>
      <w:r>
        <w:rPr>
          <w:rFonts w:hint="eastAsia" w:ascii="仿宋_GB2312" w:eastAsia="仿宋_GB2312"/>
          <w:sz w:val="32"/>
          <w:szCs w:val="32"/>
        </w:rPr>
        <w:t>财政</w:t>
      </w:r>
      <w:r>
        <w:rPr>
          <w:rFonts w:hint="eastAsia" w:ascii="仿宋_GB2312" w:eastAsia="仿宋_GB2312"/>
          <w:sz w:val="32"/>
          <w:szCs w:val="32"/>
          <w:lang w:val="en-US" w:eastAsia="zh-CN"/>
        </w:rPr>
        <w:t>专项资金增加</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4.住房保障支出（类）住房改革支出（款）住房公积金（项）:支出决算数为96.53</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10.50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12.21%，主要原因是：</w:t>
      </w:r>
      <w:r>
        <w:rPr>
          <w:rFonts w:hint="eastAsia" w:ascii="仿宋_GB2312" w:eastAsia="仿宋_GB2312"/>
          <w:sz w:val="32"/>
          <w:szCs w:val="32"/>
        </w:rPr>
        <w:t>在职人员工资</w:t>
      </w:r>
      <w:r>
        <w:rPr>
          <w:rFonts w:hint="eastAsia" w:ascii="仿宋_GB2312" w:eastAsia="仿宋_GB2312"/>
          <w:sz w:val="32"/>
          <w:szCs w:val="32"/>
          <w:lang w:eastAsia="zh-CN"/>
        </w:rPr>
        <w:t>调增，</w:t>
      </w:r>
      <w:r>
        <w:rPr>
          <w:rFonts w:hint="eastAsia" w:ascii="Times New Roman" w:hAnsi="Times New Roman" w:eastAsia="仿宋_GB2312" w:cs="Times New Roman"/>
          <w:color w:val="auto"/>
          <w:kern w:val="2"/>
          <w:sz w:val="32"/>
          <w:szCs w:val="32"/>
          <w:highlight w:val="none"/>
          <w:lang w:val="en-US" w:eastAsia="zh-CN" w:bidi="ar-SA"/>
        </w:rPr>
        <w:t>住房公积金</w:t>
      </w:r>
      <w:r>
        <w:rPr>
          <w:rFonts w:hint="eastAsia" w:ascii="仿宋_GB2312" w:eastAsia="仿宋_GB2312"/>
          <w:sz w:val="32"/>
          <w:szCs w:val="32"/>
        </w:rPr>
        <w:t>基数调增</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5.自然资源海洋气象等支出（类）自然资源事务（款）事业运行（项）:支出决算数为1,146.87</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9.71</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0.85%，主要原因是：</w:t>
      </w:r>
      <w:r>
        <w:rPr>
          <w:rFonts w:hint="eastAsia" w:ascii="仿宋_GB2312" w:eastAsia="仿宋_GB2312"/>
          <w:sz w:val="32"/>
          <w:szCs w:val="32"/>
        </w:rPr>
        <w:t>在职人员工资</w:t>
      </w:r>
      <w:r>
        <w:rPr>
          <w:rFonts w:hint="eastAsia" w:ascii="仿宋_GB2312" w:eastAsia="仿宋_GB2312"/>
          <w:sz w:val="32"/>
          <w:szCs w:val="32"/>
          <w:lang w:eastAsia="zh-CN"/>
        </w:rPr>
        <w:t>调增，相应支出增加</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6.社会保障和就业支出（类）行政事业单位养老支出（款）事业单位离退休（项）:支出决算数为61.20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32.59</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34.75%，主要原因是：</w:t>
      </w:r>
      <w:r>
        <w:rPr>
          <w:rFonts w:hint="eastAsia" w:eastAsia="仿宋_GB2312" w:cs="Times New Roman"/>
          <w:color w:val="auto"/>
          <w:kern w:val="2"/>
          <w:sz w:val="32"/>
          <w:szCs w:val="32"/>
          <w:highlight w:val="none"/>
          <w:lang w:val="en-US" w:eastAsia="zh-CN" w:bidi="ar-SA"/>
        </w:rPr>
        <w:t>按照新财社[2023]168号文交回离退休人员基本医疗保险</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7.社会保障和就业支出（类）行政事业单位养老支出（款）机关事业单位职业年金缴费支出（项）:支出决算数为45.62</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41.03</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893.39%，主要原因是：</w:t>
      </w:r>
      <w:r>
        <w:rPr>
          <w:rFonts w:hint="eastAsia" w:eastAsia="仿宋_GB2312" w:cs="Times New Roman"/>
          <w:color w:val="auto"/>
          <w:kern w:val="2"/>
          <w:sz w:val="32"/>
          <w:szCs w:val="32"/>
          <w:highlight w:val="none"/>
          <w:lang w:val="en-US" w:eastAsia="zh-CN" w:bidi="ar-SA"/>
        </w:rPr>
        <w:t>本年在职转退休4人，</w:t>
      </w:r>
      <w:r>
        <w:rPr>
          <w:rFonts w:hint="eastAsia" w:ascii="Times New Roman" w:hAnsi="Times New Roman" w:eastAsia="仿宋_GB2312" w:cs="Times New Roman"/>
          <w:color w:val="auto"/>
          <w:kern w:val="2"/>
          <w:sz w:val="32"/>
          <w:szCs w:val="32"/>
          <w:highlight w:val="none"/>
          <w:lang w:val="en-US" w:eastAsia="zh-CN" w:bidi="ar-SA"/>
        </w:rPr>
        <w:t>职业年金缴费</w:t>
      </w:r>
      <w:r>
        <w:rPr>
          <w:rFonts w:hint="eastAsia" w:eastAsia="仿宋_GB2312" w:cs="Times New Roman"/>
          <w:color w:val="auto"/>
          <w:kern w:val="2"/>
          <w:sz w:val="32"/>
          <w:szCs w:val="32"/>
          <w:highlight w:val="none"/>
          <w:lang w:val="en-US" w:eastAsia="zh-CN" w:bidi="ar-SA"/>
        </w:rPr>
        <w:t>坐实增加</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8.社会保障和就业支出（类）行政事业单位养老支出（款）机关事业单位基本养老保险缴费支出（项）:支出决算数为128.70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14.00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12.21%，主要原因是：</w:t>
      </w:r>
      <w:r>
        <w:rPr>
          <w:rFonts w:hint="eastAsia" w:ascii="仿宋_GB2312" w:eastAsia="仿宋_GB2312"/>
          <w:sz w:val="32"/>
          <w:szCs w:val="32"/>
        </w:rPr>
        <w:t>在职人员工资</w:t>
      </w:r>
      <w:r>
        <w:rPr>
          <w:rFonts w:hint="eastAsia" w:ascii="仿宋_GB2312" w:eastAsia="仿宋_GB2312"/>
          <w:sz w:val="32"/>
          <w:szCs w:val="32"/>
          <w:lang w:eastAsia="zh-CN"/>
        </w:rPr>
        <w:t>调增，</w:t>
      </w:r>
      <w:r>
        <w:rPr>
          <w:rFonts w:hint="eastAsia" w:ascii="Times New Roman" w:hAnsi="Times New Roman" w:eastAsia="仿宋_GB2312" w:cs="Times New Roman"/>
          <w:color w:val="auto"/>
          <w:kern w:val="2"/>
          <w:sz w:val="32"/>
          <w:szCs w:val="32"/>
          <w:highlight w:val="none"/>
          <w:lang w:val="en-US" w:eastAsia="zh-CN" w:bidi="ar-SA"/>
        </w:rPr>
        <w:t>养老保险缴费</w:t>
      </w:r>
      <w:r>
        <w:rPr>
          <w:rFonts w:hint="eastAsia" w:ascii="仿宋_GB2312" w:eastAsia="仿宋_GB2312"/>
          <w:sz w:val="32"/>
          <w:szCs w:val="32"/>
        </w:rPr>
        <w:t>基数调增</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9.自然资源海洋气象等支出（类）自然资源事务（款）自然资源规划及管理（项）:支出决算数为0.00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23.11</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100</w:t>
      </w:r>
      <w:r>
        <w:rPr>
          <w:rFonts w:hint="eastAsia" w:eastAsia="仿宋_GB2312" w:cs="Times New Roman"/>
          <w:color w:val="auto"/>
          <w:kern w:val="2"/>
          <w:sz w:val="32"/>
          <w:szCs w:val="32"/>
          <w:highlight w:val="none"/>
          <w:lang w:val="en-US" w:eastAsia="zh-CN" w:bidi="ar-SA"/>
        </w:rPr>
        <w:t>.00</w:t>
      </w:r>
      <w:r>
        <w:rPr>
          <w:rFonts w:hint="eastAsia" w:ascii="Times New Roman" w:hAnsi="Times New Roman" w:eastAsia="仿宋_GB2312" w:cs="Times New Roman"/>
          <w:color w:val="auto"/>
          <w:kern w:val="2"/>
          <w:sz w:val="32"/>
          <w:szCs w:val="32"/>
          <w:highlight w:val="none"/>
          <w:lang w:val="en-US" w:eastAsia="zh-CN" w:bidi="ar-SA"/>
        </w:rPr>
        <w:t>%，主要原因是：</w:t>
      </w:r>
      <w:r>
        <w:rPr>
          <w:rFonts w:hint="eastAsia" w:eastAsia="仿宋_GB2312" w:cs="Times New Roman"/>
          <w:color w:val="auto"/>
          <w:kern w:val="2"/>
          <w:sz w:val="32"/>
          <w:szCs w:val="32"/>
          <w:highlight w:val="none"/>
          <w:lang w:val="en-US" w:eastAsia="zh-CN" w:bidi="ar-SA"/>
        </w:rPr>
        <w:t>此款项为上年度项目尾款，本年未安排续做项目</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10.自然资源海洋气象等支出（类）自然资源事务（款）地质矿产资源与环境调查（项）:支出决算数为0.00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30.64</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100</w:t>
      </w:r>
      <w:r>
        <w:rPr>
          <w:rFonts w:hint="eastAsia" w:eastAsia="仿宋_GB2312" w:cs="Times New Roman"/>
          <w:color w:val="auto"/>
          <w:kern w:val="2"/>
          <w:sz w:val="32"/>
          <w:szCs w:val="32"/>
          <w:highlight w:val="none"/>
          <w:lang w:val="en-US" w:eastAsia="zh-CN" w:bidi="ar-SA"/>
        </w:rPr>
        <w:t>.00</w:t>
      </w:r>
      <w:r>
        <w:rPr>
          <w:rFonts w:hint="eastAsia" w:ascii="Times New Roman" w:hAnsi="Times New Roman" w:eastAsia="仿宋_GB2312" w:cs="Times New Roman"/>
          <w:color w:val="auto"/>
          <w:kern w:val="2"/>
          <w:sz w:val="32"/>
          <w:szCs w:val="32"/>
          <w:highlight w:val="none"/>
          <w:lang w:val="en-US" w:eastAsia="zh-CN" w:bidi="ar-SA"/>
        </w:rPr>
        <w:t>%，主要原因是：</w:t>
      </w:r>
      <w:r>
        <w:rPr>
          <w:rFonts w:hint="eastAsia" w:eastAsia="仿宋_GB2312" w:cs="Times New Roman"/>
          <w:color w:val="auto"/>
          <w:kern w:val="2"/>
          <w:sz w:val="32"/>
          <w:szCs w:val="32"/>
          <w:highlight w:val="none"/>
          <w:lang w:val="en-US" w:eastAsia="zh-CN" w:bidi="ar-SA"/>
        </w:rPr>
        <w:t>此款项为上年度项目尾款，本年未安排续做项目</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六、一般公共预算财政拨款基本支出决算情况说明</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z w:val="32"/>
          <w:szCs w:val="32"/>
          <w:highlight w:val="none"/>
        </w:rPr>
        <w:t>一般公共预算财政拨款基本支出</w:t>
      </w:r>
      <w:r>
        <w:rPr>
          <w:rFonts w:hint="eastAsia" w:ascii="仿宋_GB2312" w:eastAsia="仿宋_GB2312"/>
          <w:color w:val="auto"/>
          <w:sz w:val="32"/>
          <w:szCs w:val="32"/>
          <w:highlight w:val="none"/>
          <w:lang w:eastAsia="zh-CN"/>
        </w:rPr>
        <w:t>1,601.99</w:t>
      </w:r>
      <w:r>
        <w:rPr>
          <w:rFonts w:hint="eastAsia" w:ascii="仿宋_GB2312" w:eastAsia="仿宋_GB2312"/>
          <w:color w:val="auto"/>
          <w:sz w:val="32"/>
          <w:szCs w:val="32"/>
          <w:highlight w:val="none"/>
        </w:rPr>
        <w:t>万元，其中：人员经费</w:t>
      </w:r>
      <w:r>
        <w:rPr>
          <w:rFonts w:hint="eastAsia" w:ascii="仿宋_GB2312" w:eastAsia="仿宋_GB2312"/>
          <w:color w:val="auto"/>
          <w:sz w:val="32"/>
          <w:szCs w:val="32"/>
          <w:highlight w:val="none"/>
          <w:lang w:eastAsia="zh-CN"/>
        </w:rPr>
        <w:t>1,488.54</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基本工资、津贴补贴、奖金、绩效工资、机关事业单位基本养老保险缴费、职业年金缴费、职工基本医疗保险缴费、公务员医疗补助缴费、其他社会保障缴费、住房公积金、其他工资福利支出、退休费、抚恤金、其他对个人和家庭的补助。</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default" w:ascii="仿宋_GB2312" w:eastAsia="仿宋_GB2312"/>
          <w:color w:val="auto"/>
          <w:sz w:val="32"/>
          <w:szCs w:val="32"/>
          <w:highlight w:val="red"/>
          <w:lang w:val="en-US" w:eastAsia="zh-CN"/>
        </w:rPr>
      </w:pPr>
      <w:r>
        <w:rPr>
          <w:rFonts w:hint="eastAsia" w:ascii="仿宋_GB2312" w:eastAsia="仿宋_GB2312"/>
          <w:color w:val="auto"/>
          <w:sz w:val="32"/>
          <w:szCs w:val="32"/>
          <w:highlight w:val="none"/>
        </w:rPr>
        <w:t>公用经费</w:t>
      </w:r>
      <w:r>
        <w:rPr>
          <w:rFonts w:hint="eastAsia" w:ascii="仿宋_GB2312" w:eastAsia="仿宋_GB2312"/>
          <w:color w:val="auto"/>
          <w:sz w:val="32"/>
          <w:szCs w:val="32"/>
          <w:highlight w:val="none"/>
          <w:lang w:eastAsia="zh-CN"/>
        </w:rPr>
        <w:t>113.46</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水费、电费、邮电费、取暖费、物业管理费、差旅费、工会经费、福利费、公务用车运行维护费、其他商品和服务支出。</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七、</w:t>
      </w:r>
      <w:r>
        <w:rPr>
          <w:rFonts w:hint="eastAsia" w:ascii="黑体" w:hAnsi="黑体" w:eastAsia="黑体" w:cs="宋体"/>
          <w:bCs/>
          <w:color w:val="auto"/>
          <w:kern w:val="0"/>
          <w:sz w:val="32"/>
          <w:szCs w:val="32"/>
          <w:highlight w:val="none"/>
          <w:lang w:eastAsia="zh-CN"/>
        </w:rPr>
        <w:t>财政拨款</w:t>
      </w:r>
      <w:r>
        <w:rPr>
          <w:rFonts w:hint="eastAsia" w:ascii="黑体" w:hAnsi="黑体" w:eastAsia="黑体" w:cs="宋体"/>
          <w:bCs/>
          <w:color w:val="auto"/>
          <w:kern w:val="0"/>
          <w:sz w:val="32"/>
          <w:szCs w:val="32"/>
          <w:highlight w:val="none"/>
        </w:rPr>
        <w:t>“三公”经费支出</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w:t>
      </w:r>
      <w:r>
        <w:rPr>
          <w:rFonts w:hint="eastAsia" w:ascii="黑体" w:hAnsi="黑体" w:eastAsia="黑体" w:cs="宋体"/>
          <w:bCs/>
          <w:color w:val="auto"/>
          <w:kern w:val="0"/>
          <w:sz w:val="32"/>
          <w:szCs w:val="32"/>
          <w:highlight w:val="none"/>
          <w:lang w:eastAsia="zh-CN"/>
        </w:rPr>
        <w:t>说明</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2023年度</w:t>
      </w:r>
      <w:r>
        <w:rPr>
          <w:rFonts w:hint="eastAsia" w:ascii="仿宋_GB2312" w:eastAsia="仿宋_GB2312"/>
          <w:color w:val="auto"/>
          <w:sz w:val="32"/>
          <w:szCs w:val="32"/>
          <w:highlight w:val="none"/>
          <w:lang w:val="en-US" w:eastAsia="zh-CN"/>
        </w:rPr>
        <w:t>财政拨款</w:t>
      </w:r>
      <w:r>
        <w:rPr>
          <w:rFonts w:hint="eastAsia" w:ascii="仿宋_GB2312" w:eastAsia="仿宋_GB2312"/>
          <w:color w:val="auto"/>
          <w:sz w:val="32"/>
          <w:szCs w:val="32"/>
          <w:highlight w:val="none"/>
          <w:lang w:val="zh-CN" w:eastAsia="zh-CN"/>
        </w:rPr>
        <w:t>“三公”经费支出12.42万元，</w:t>
      </w:r>
      <w:r>
        <w:rPr>
          <w:rFonts w:hint="eastAsia" w:ascii="仿宋_GB2312" w:eastAsia="仿宋_GB2312"/>
          <w:color w:val="auto"/>
          <w:sz w:val="32"/>
          <w:szCs w:val="32"/>
          <w:highlight w:val="none"/>
          <w:lang w:val="en-US" w:eastAsia="zh-CN"/>
        </w:rPr>
        <w:t>比上年</w:t>
      </w:r>
      <w:r>
        <w:rPr>
          <w:rFonts w:hint="eastAsia" w:ascii="仿宋_GB2312" w:eastAsia="仿宋_GB2312"/>
          <w:color w:val="auto"/>
          <w:sz w:val="32"/>
          <w:szCs w:val="32"/>
          <w:highlight w:val="none"/>
          <w:lang w:val="zh-CN" w:eastAsia="zh-CN"/>
        </w:rPr>
        <w:t>增加0.00万元，</w:t>
      </w:r>
      <w:r>
        <w:rPr>
          <w:rFonts w:hint="eastAsia" w:ascii="仿宋_GB2312" w:eastAsia="仿宋_GB2312"/>
          <w:color w:val="auto"/>
          <w:spacing w:val="0"/>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w:t>
      </w:r>
      <w:r>
        <w:rPr>
          <w:rFonts w:hint="eastAsia" w:ascii="仿宋_GB2312" w:eastAsia="仿宋_GB2312"/>
          <w:sz w:val="32"/>
          <w:szCs w:val="32"/>
          <w:lang w:val="en-US" w:eastAsia="zh-CN"/>
        </w:rPr>
        <w:t>与上年一致无差异</w:t>
      </w:r>
      <w:r>
        <w:rPr>
          <w:rFonts w:hint="eastAsia" w:ascii="仿宋_GB2312" w:eastAsia="仿宋_GB2312"/>
          <w:color w:val="auto"/>
          <w:sz w:val="32"/>
          <w:szCs w:val="32"/>
          <w:highlight w:val="none"/>
          <w:lang w:val="zh-CN" w:eastAsia="zh-CN"/>
        </w:rPr>
        <w:t>。其中：因公出国（境）费支出0.00万元，占0.00%，比上年增加0.00万元，</w:t>
      </w:r>
      <w:r>
        <w:rPr>
          <w:rFonts w:hint="eastAsia" w:ascii="仿宋_GB2312" w:eastAsia="仿宋_GB2312"/>
          <w:color w:val="auto"/>
          <w:spacing w:val="0"/>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w:t>
      </w:r>
      <w:r>
        <w:rPr>
          <w:rFonts w:ascii="仿宋_GB2312" w:eastAsia="仿宋_GB2312"/>
          <w:sz w:val="32"/>
          <w:szCs w:val="32"/>
        </w:rPr>
        <w:t>我单位无因公出国（境）费</w:t>
      </w:r>
      <w:r>
        <w:rPr>
          <w:rFonts w:hint="eastAsia" w:ascii="仿宋_GB2312" w:eastAsia="仿宋_GB2312"/>
          <w:color w:val="auto"/>
          <w:sz w:val="32"/>
          <w:szCs w:val="32"/>
          <w:highlight w:val="none"/>
          <w:lang w:val="zh-CN" w:eastAsia="zh-CN"/>
        </w:rPr>
        <w:t>；公务用车购置及运行维护费支出12.42万元，占100.00%，比上年增加0.00万元，</w:t>
      </w:r>
      <w:r>
        <w:rPr>
          <w:rFonts w:hint="eastAsia" w:ascii="仿宋_GB2312" w:eastAsia="仿宋_GB2312"/>
          <w:color w:val="auto"/>
          <w:spacing w:val="0"/>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w:t>
      </w:r>
      <w:r>
        <w:rPr>
          <w:rFonts w:hint="eastAsia" w:ascii="仿宋_GB2312" w:eastAsia="仿宋_GB2312"/>
          <w:sz w:val="32"/>
          <w:szCs w:val="32"/>
          <w:lang w:val="en-US" w:eastAsia="zh-CN"/>
        </w:rPr>
        <w:t>与上年一致无差异</w:t>
      </w:r>
      <w:r>
        <w:rPr>
          <w:rFonts w:hint="eastAsia" w:ascii="仿宋_GB2312" w:eastAsia="仿宋_GB2312"/>
          <w:color w:val="auto"/>
          <w:sz w:val="32"/>
          <w:szCs w:val="32"/>
          <w:highlight w:val="none"/>
          <w:lang w:val="zh-CN" w:eastAsia="zh-CN"/>
        </w:rPr>
        <w:t>；公务接待费支出0.00万元，占0.00%，比上年增加0.00万元，</w:t>
      </w:r>
      <w:r>
        <w:rPr>
          <w:rFonts w:hint="eastAsia" w:ascii="仿宋_GB2312" w:eastAsia="仿宋_GB2312"/>
          <w:color w:val="auto"/>
          <w:spacing w:val="0"/>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w:t>
      </w:r>
      <w:r>
        <w:rPr>
          <w:rFonts w:ascii="仿宋_GB2312" w:eastAsia="仿宋_GB2312"/>
          <w:sz w:val="32"/>
          <w:szCs w:val="32"/>
        </w:rPr>
        <w:t>我单位无公务接待费</w:t>
      </w:r>
      <w:r>
        <w:rPr>
          <w:rFonts w:hint="eastAsia" w:ascii="仿宋_GB2312" w:eastAsia="仿宋_GB2312"/>
          <w:color w:val="auto"/>
          <w:sz w:val="32"/>
          <w:szCs w:val="32"/>
          <w:highlight w:val="none"/>
          <w:lang w:val="zh-CN" w:eastAsia="zh-CN"/>
        </w:rPr>
        <w:t>。</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具体情况如下：</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因公出国（境）费支出0.00万元，开支内容包括</w:t>
      </w:r>
      <w:r>
        <w:rPr>
          <w:rFonts w:hint="eastAsia" w:ascii="仿宋_GB2312" w:eastAsia="仿宋_GB2312"/>
          <w:sz w:val="32"/>
          <w:szCs w:val="32"/>
        </w:rPr>
        <w:t>我单位无因公出国（境）费</w:t>
      </w:r>
      <w:r>
        <w:rPr>
          <w:rFonts w:hint="eastAsia" w:ascii="仿宋_GB2312" w:eastAsia="仿宋_GB2312"/>
          <w:color w:val="auto"/>
          <w:sz w:val="32"/>
          <w:szCs w:val="32"/>
          <w:highlight w:val="none"/>
          <w:lang w:val="zh-CN" w:eastAsia="zh-CN"/>
        </w:rPr>
        <w:t>。单位全年安排的因公出国（境）团组0个，因公出国（境）0人次。</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zh-CN" w:eastAsia="zh-CN"/>
        </w:rPr>
        <w:t>公务用车购置及运行维护费12.42万元，其中：公务用车购置费0.00万元，公务用车运行维护费12.42万元。公务用车运行维护费开支内容包括</w:t>
      </w:r>
      <w:r>
        <w:rPr>
          <w:rFonts w:hint="eastAsia" w:ascii="仿宋_GB2312" w:eastAsia="仿宋_GB2312"/>
          <w:sz w:val="32"/>
          <w:szCs w:val="32"/>
          <w:lang w:val="en-US" w:eastAsia="zh-CN"/>
        </w:rPr>
        <w:t>车辆燃油费、保险费和维修费等</w:t>
      </w:r>
      <w:r>
        <w:rPr>
          <w:rFonts w:hint="eastAsia" w:ascii="仿宋_GB2312" w:eastAsia="仿宋_GB2312"/>
          <w:color w:val="auto"/>
          <w:sz w:val="32"/>
          <w:szCs w:val="32"/>
          <w:highlight w:val="none"/>
          <w:lang w:val="zh-CN" w:eastAsia="zh-CN"/>
        </w:rPr>
        <w:t>。公务用车购置数0辆，公务用车保有量8辆。国有资产占用情况</w:t>
      </w:r>
      <w:r>
        <w:rPr>
          <w:rFonts w:hint="eastAsia" w:ascii="仿宋_GB2312" w:eastAsia="仿宋_GB2312"/>
          <w:color w:val="auto"/>
          <w:sz w:val="32"/>
          <w:szCs w:val="32"/>
          <w:highlight w:val="none"/>
          <w:lang w:val="en-US" w:eastAsia="zh-CN"/>
        </w:rPr>
        <w:t>中固定资产车辆</w:t>
      </w:r>
      <w:r>
        <w:rPr>
          <w:rFonts w:hint="eastAsia" w:ascii="仿宋_GB2312" w:eastAsia="仿宋_GB2312"/>
          <w:color w:val="auto"/>
          <w:sz w:val="32"/>
          <w:szCs w:val="32"/>
          <w:highlight w:val="none"/>
          <w:lang w:val="zh-CN" w:eastAsia="zh-CN"/>
        </w:rPr>
        <w:t>8辆，</w:t>
      </w:r>
      <w:r>
        <w:rPr>
          <w:rFonts w:hint="eastAsia" w:ascii="仿宋_GB2312" w:eastAsia="仿宋_GB2312"/>
          <w:color w:val="auto"/>
          <w:sz w:val="32"/>
          <w:szCs w:val="32"/>
          <w:highlight w:val="none"/>
          <w:lang w:val="en-US" w:eastAsia="zh-CN"/>
        </w:rPr>
        <w:t>与</w:t>
      </w:r>
      <w:r>
        <w:rPr>
          <w:rFonts w:hint="eastAsia" w:ascii="仿宋_GB2312" w:eastAsia="仿宋_GB2312"/>
          <w:color w:val="auto"/>
          <w:sz w:val="32"/>
          <w:szCs w:val="32"/>
          <w:highlight w:val="none"/>
          <w:lang w:val="zh-CN" w:eastAsia="zh-CN"/>
        </w:rPr>
        <w:t>公务用车</w:t>
      </w:r>
      <w:r>
        <w:rPr>
          <w:rFonts w:hint="eastAsia" w:ascii="仿宋_GB2312" w:eastAsia="仿宋_GB2312"/>
          <w:color w:val="auto"/>
          <w:sz w:val="32"/>
          <w:szCs w:val="32"/>
          <w:highlight w:val="none"/>
          <w:lang w:val="en-US" w:eastAsia="zh-CN"/>
        </w:rPr>
        <w:t>保有量差异</w:t>
      </w:r>
      <w:r>
        <w:rPr>
          <w:rFonts w:hint="eastAsia" w:ascii="仿宋_GB2312" w:eastAsia="仿宋_GB2312"/>
          <w:color w:val="auto"/>
          <w:sz w:val="32"/>
          <w:szCs w:val="32"/>
          <w:highlight w:val="none"/>
          <w:lang w:val="zh-CN" w:eastAsia="zh-CN"/>
        </w:rPr>
        <w:t>原因是：</w:t>
      </w:r>
      <w:r>
        <w:rPr>
          <w:rFonts w:hint="eastAsia" w:ascii="仿宋_GB2312" w:eastAsia="仿宋_GB2312"/>
          <w:color w:val="auto"/>
          <w:sz w:val="32"/>
          <w:szCs w:val="32"/>
          <w:highlight w:val="none"/>
          <w:lang w:val="en-US" w:eastAsia="zh-CN"/>
        </w:rPr>
        <w:t>无差异</w:t>
      </w:r>
      <w:r>
        <w:rPr>
          <w:rFonts w:hint="eastAsia" w:ascii="仿宋_GB2312" w:eastAsia="仿宋_GB2312"/>
          <w:color w:val="auto"/>
          <w:sz w:val="32"/>
          <w:szCs w:val="32"/>
          <w:highlight w:val="none"/>
          <w:lang w:val="zh-CN" w:eastAsia="zh-CN"/>
        </w:rPr>
        <w:t>。</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公务接待费0.00万元，开支内容包括</w:t>
      </w:r>
      <w:r>
        <w:rPr>
          <w:rFonts w:hint="eastAsia" w:ascii="仿宋_GB2312" w:eastAsia="仿宋_GB2312"/>
          <w:sz w:val="32"/>
          <w:szCs w:val="32"/>
        </w:rPr>
        <w:t>我单位无公务接待费</w:t>
      </w:r>
      <w:r>
        <w:rPr>
          <w:rFonts w:hint="eastAsia" w:ascii="仿宋_GB2312" w:eastAsia="仿宋_GB2312"/>
          <w:color w:val="auto"/>
          <w:sz w:val="32"/>
          <w:szCs w:val="32"/>
          <w:highlight w:val="none"/>
          <w:lang w:val="zh-CN" w:eastAsia="zh-CN"/>
        </w:rPr>
        <w:t>。单位全年安排的国内公务接待0批次，0人次。</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与</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预算相比</w:t>
      </w:r>
      <w:r>
        <w:rPr>
          <w:rFonts w:hint="eastAsia" w:ascii="仿宋_GB2312" w:eastAsia="仿宋_GB2312"/>
          <w:color w:val="auto"/>
          <w:sz w:val="32"/>
          <w:szCs w:val="32"/>
          <w:highlight w:val="none"/>
          <w:lang w:val="en-US" w:eastAsia="zh-CN"/>
        </w:rPr>
        <w:t>,</w:t>
      </w:r>
      <w:r>
        <w:rPr>
          <w:rFonts w:hint="eastAsia" w:ascii="仿宋_GB2312" w:eastAsia="仿宋_GB2312"/>
          <w:color w:val="auto"/>
          <w:sz w:val="32"/>
          <w:szCs w:val="32"/>
          <w:highlight w:val="none"/>
          <w:lang w:val="zh-CN" w:eastAsia="zh-CN"/>
        </w:rPr>
        <w:t>财政拨款“三公”经费支出</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预算数12.42万元，决算数12.42万元，预决算差异率0.00%，主要原因是：</w:t>
      </w:r>
      <w:r>
        <w:rPr>
          <w:rFonts w:hint="eastAsia" w:ascii="仿宋_GB2312" w:eastAsia="仿宋_GB2312"/>
          <w:sz w:val="32"/>
          <w:szCs w:val="32"/>
        </w:rPr>
        <w:t>我</w:t>
      </w:r>
      <w:r>
        <w:rPr>
          <w:rFonts w:ascii="仿宋_GB2312" w:eastAsia="仿宋_GB2312"/>
          <w:sz w:val="32"/>
          <w:szCs w:val="32"/>
        </w:rPr>
        <w:t>单位</w:t>
      </w:r>
      <w:r>
        <w:rPr>
          <w:rFonts w:hint="eastAsia" w:ascii="仿宋_GB2312" w:eastAsia="仿宋_GB2312"/>
          <w:sz w:val="32"/>
          <w:szCs w:val="32"/>
        </w:rPr>
        <w:t>严格按公务</w:t>
      </w:r>
      <w:r>
        <w:rPr>
          <w:rFonts w:ascii="仿宋_GB2312" w:eastAsia="仿宋_GB2312"/>
          <w:sz w:val="32"/>
          <w:szCs w:val="32"/>
        </w:rPr>
        <w:t>用车运行</w:t>
      </w:r>
      <w:r>
        <w:rPr>
          <w:rFonts w:hint="eastAsia" w:ascii="仿宋_GB2312" w:eastAsia="仿宋_GB2312"/>
          <w:sz w:val="32"/>
          <w:szCs w:val="32"/>
        </w:rPr>
        <w:t>维护</w:t>
      </w:r>
      <w:r>
        <w:rPr>
          <w:rFonts w:ascii="仿宋_GB2312" w:eastAsia="仿宋_GB2312"/>
          <w:sz w:val="32"/>
          <w:szCs w:val="32"/>
        </w:rPr>
        <w:t>费</w:t>
      </w:r>
      <w:r>
        <w:rPr>
          <w:rFonts w:hint="eastAsia" w:ascii="仿宋_GB2312" w:eastAsia="仿宋_GB2312"/>
          <w:sz w:val="32"/>
          <w:szCs w:val="32"/>
        </w:rPr>
        <w:t>预算进行开支</w:t>
      </w:r>
      <w:r>
        <w:rPr>
          <w:rFonts w:hint="eastAsia" w:ascii="仿宋_GB2312" w:eastAsia="仿宋_GB2312"/>
          <w:color w:val="auto"/>
          <w:sz w:val="32"/>
          <w:szCs w:val="32"/>
          <w:highlight w:val="none"/>
          <w:lang w:val="zh-CN" w:eastAsia="zh-CN"/>
        </w:rPr>
        <w:t>。其中：因公出国（境）费</w:t>
      </w:r>
      <w:r>
        <w:rPr>
          <w:rFonts w:hint="eastAsia" w:ascii="仿宋_GB2312" w:eastAsia="仿宋_GB2312"/>
          <w:color w:val="auto"/>
          <w:sz w:val="32"/>
          <w:szCs w:val="32"/>
          <w:highlight w:val="none"/>
          <w:lang w:val="en-US" w:eastAsia="zh-CN"/>
        </w:rPr>
        <w:t>全年预算数</w:t>
      </w:r>
      <w:r>
        <w:rPr>
          <w:rFonts w:hint="eastAsia" w:ascii="仿宋_GB2312" w:eastAsia="仿宋_GB2312"/>
          <w:color w:val="auto"/>
          <w:sz w:val="32"/>
          <w:szCs w:val="32"/>
          <w:highlight w:val="none"/>
          <w:lang w:val="zh-CN" w:eastAsia="zh-CN"/>
        </w:rPr>
        <w:t>0.00万元，决算数0.00万元，预决算差异率0.00%，主要原因是：</w:t>
      </w:r>
      <w:r>
        <w:rPr>
          <w:rFonts w:hint="eastAsia" w:ascii="仿宋_GB2312" w:eastAsia="仿宋_GB2312"/>
          <w:sz w:val="32"/>
          <w:szCs w:val="32"/>
        </w:rPr>
        <w:t>我单位无因公出国（境）费</w:t>
      </w:r>
      <w:r>
        <w:rPr>
          <w:rFonts w:hint="eastAsia" w:ascii="仿宋_GB2312" w:eastAsia="仿宋_GB2312"/>
          <w:color w:val="auto"/>
          <w:sz w:val="32"/>
          <w:szCs w:val="32"/>
          <w:highlight w:val="none"/>
          <w:lang w:val="zh-CN" w:eastAsia="zh-CN"/>
        </w:rPr>
        <w:t>；公务用车购置费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sz w:val="32"/>
          <w:szCs w:val="32"/>
        </w:rPr>
        <w:t>我单位无公务用车购置费</w:t>
      </w:r>
      <w:r>
        <w:rPr>
          <w:rFonts w:hint="eastAsia" w:ascii="仿宋_GB2312" w:eastAsia="仿宋_GB2312"/>
          <w:color w:val="auto"/>
          <w:sz w:val="32"/>
          <w:szCs w:val="32"/>
          <w:highlight w:val="none"/>
          <w:lang w:val="zh-CN" w:eastAsia="zh-CN"/>
        </w:rPr>
        <w:t>；公务用车运行费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预算数12.42万元，决算数12.42万元，预决算差异率0.00%，主要原因是：</w:t>
      </w:r>
      <w:r>
        <w:rPr>
          <w:rFonts w:ascii="仿宋_GB2312" w:eastAsia="仿宋_GB2312"/>
          <w:sz w:val="32"/>
          <w:szCs w:val="32"/>
        </w:rPr>
        <w:t>单位</w:t>
      </w:r>
      <w:r>
        <w:rPr>
          <w:rFonts w:hint="eastAsia" w:ascii="仿宋_GB2312" w:eastAsia="仿宋_GB2312"/>
          <w:sz w:val="32"/>
          <w:szCs w:val="32"/>
        </w:rPr>
        <w:t>严格按公务</w:t>
      </w:r>
      <w:r>
        <w:rPr>
          <w:rFonts w:ascii="仿宋_GB2312" w:eastAsia="仿宋_GB2312"/>
          <w:sz w:val="32"/>
          <w:szCs w:val="32"/>
        </w:rPr>
        <w:t>用车运行</w:t>
      </w:r>
      <w:r>
        <w:rPr>
          <w:rFonts w:hint="eastAsia" w:ascii="仿宋_GB2312" w:eastAsia="仿宋_GB2312"/>
          <w:sz w:val="32"/>
          <w:szCs w:val="32"/>
        </w:rPr>
        <w:t>维护</w:t>
      </w:r>
      <w:r>
        <w:rPr>
          <w:rFonts w:ascii="仿宋_GB2312" w:eastAsia="仿宋_GB2312"/>
          <w:sz w:val="32"/>
          <w:szCs w:val="32"/>
        </w:rPr>
        <w:t>费</w:t>
      </w:r>
      <w:r>
        <w:rPr>
          <w:rFonts w:hint="eastAsia" w:ascii="仿宋_GB2312" w:eastAsia="仿宋_GB2312"/>
          <w:sz w:val="32"/>
          <w:szCs w:val="32"/>
        </w:rPr>
        <w:t>预算进行开支</w:t>
      </w:r>
      <w:r>
        <w:rPr>
          <w:rFonts w:hint="eastAsia" w:ascii="仿宋_GB2312" w:eastAsia="仿宋_GB2312"/>
          <w:color w:val="auto"/>
          <w:sz w:val="32"/>
          <w:szCs w:val="32"/>
          <w:highlight w:val="none"/>
          <w:lang w:val="zh-CN" w:eastAsia="zh-CN"/>
        </w:rPr>
        <w:t>；公务接待费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sz w:val="32"/>
          <w:szCs w:val="32"/>
        </w:rPr>
        <w:t>我单位无公务接待费</w:t>
      </w:r>
      <w:r>
        <w:rPr>
          <w:rFonts w:hint="eastAsia" w:ascii="仿宋_GB2312" w:eastAsia="仿宋_GB2312"/>
          <w:color w:val="auto"/>
          <w:sz w:val="32"/>
          <w:szCs w:val="32"/>
          <w:highlight w:val="none"/>
          <w:lang w:val="zh-CN"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仿宋_GB2312" w:eastAsia="仿宋_GB2312"/>
          <w:color w:val="auto"/>
          <w:sz w:val="32"/>
          <w:szCs w:val="32"/>
          <w:highlight w:val="none"/>
          <w:lang w:eastAsia="zh-CN"/>
        </w:rPr>
      </w:pPr>
      <w:bookmarkStart w:id="18" w:name="_Toc5810"/>
      <w:bookmarkStart w:id="19" w:name="_Toc7927"/>
      <w:r>
        <w:rPr>
          <w:rFonts w:hint="eastAsia" w:ascii="黑体" w:hAnsi="黑体" w:eastAsia="黑体" w:cs="宋体"/>
          <w:bCs/>
          <w:color w:val="auto"/>
          <w:kern w:val="0"/>
          <w:sz w:val="32"/>
          <w:szCs w:val="32"/>
          <w:highlight w:val="none"/>
          <w:lang w:val="en-US" w:eastAsia="zh-CN"/>
        </w:rPr>
        <w:t>八</w:t>
      </w:r>
      <w:r>
        <w:rPr>
          <w:rFonts w:hint="eastAsia" w:ascii="黑体" w:hAnsi="黑体" w:eastAsia="黑体" w:cs="宋体"/>
          <w:bCs/>
          <w:color w:val="auto"/>
          <w:kern w:val="0"/>
          <w:sz w:val="32"/>
          <w:szCs w:val="32"/>
          <w:highlight w:val="none"/>
          <w:lang w:eastAsia="zh-CN"/>
        </w:rPr>
        <w:t>、政府性基金预算财政拨款收入支出决算情况说明</w:t>
      </w:r>
      <w:bookmarkEnd w:id="18"/>
      <w:bookmarkEnd w:id="19"/>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本年度无政府性基金预算财政拨款收入、支出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政府性基金预算财政拨款收入支出决算表为空表。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九</w:t>
      </w:r>
      <w:r>
        <w:rPr>
          <w:rFonts w:hint="eastAsia" w:ascii="黑体" w:hAnsi="黑体" w:eastAsia="黑体" w:cs="宋体"/>
          <w:bCs/>
          <w:color w:val="auto"/>
          <w:kern w:val="0"/>
          <w:sz w:val="32"/>
          <w:szCs w:val="32"/>
          <w:highlight w:val="none"/>
          <w:lang w:eastAsia="zh-CN"/>
        </w:rPr>
        <w:t>、国有资本经营预算财政拨款收入支出决算情况说明</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本年度无国有资本经营预算财政拨款收入、支出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，国有资本经营</w:t>
      </w:r>
      <w:r>
        <w:rPr>
          <w:rFonts w:hint="eastAsia" w:ascii="仿宋_GB2312" w:eastAsia="仿宋_GB2312"/>
          <w:color w:val="auto"/>
          <w:sz w:val="32"/>
          <w:szCs w:val="32"/>
          <w:highlight w:val="none"/>
        </w:rPr>
        <w:t>预算财政拨款收入支出决算表为空表。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0" w:name="_Toc1235"/>
      <w:bookmarkStart w:id="21" w:name="_Toc7314"/>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rPr>
        <w:t>、其他重要事项的情况</w:t>
      </w:r>
      <w:r>
        <w:rPr>
          <w:rFonts w:hint="eastAsia" w:ascii="黑体" w:hAnsi="黑体" w:eastAsia="黑体" w:cs="宋体"/>
          <w:bCs/>
          <w:color w:val="auto"/>
          <w:kern w:val="0"/>
          <w:sz w:val="32"/>
          <w:szCs w:val="32"/>
          <w:highlight w:val="none"/>
          <w:lang w:eastAsia="zh-CN"/>
        </w:rPr>
        <w:t>说明</w:t>
      </w:r>
      <w:bookmarkEnd w:id="20"/>
      <w:bookmarkEnd w:id="2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rPr>
      </w:pPr>
      <w:bookmarkStart w:id="22" w:name="_Toc13105"/>
      <w:bookmarkStart w:id="23" w:name="_Toc14519"/>
      <w:r>
        <w:rPr>
          <w:rFonts w:hint="eastAsia" w:ascii="黑体" w:hAnsi="黑体" w:eastAsia="黑体"/>
          <w:color w:val="auto"/>
          <w:sz w:val="32"/>
          <w:szCs w:val="32"/>
          <w:highlight w:val="none"/>
          <w:lang w:eastAsia="zh-CN"/>
        </w:rPr>
        <w:t>（一）</w:t>
      </w:r>
      <w:r>
        <w:rPr>
          <w:rFonts w:hint="eastAsia" w:ascii="黑体" w:hAnsi="黑体" w:eastAsia="黑体"/>
          <w:color w:val="auto"/>
          <w:sz w:val="32"/>
          <w:szCs w:val="32"/>
          <w:highlight w:val="none"/>
        </w:rPr>
        <w:t>机关运行经费支出情况</w:t>
      </w:r>
      <w:bookmarkEnd w:id="22"/>
      <w:bookmarkEnd w:id="2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en-US" w:eastAsia="zh-CN"/>
        </w:rPr>
      </w:pPr>
      <w:bookmarkStart w:id="24" w:name="_Toc26704"/>
      <w:bookmarkStart w:id="25" w:name="_Toc227"/>
      <w:r>
        <w:rPr>
          <w:rFonts w:hint="eastAsia" w:ascii="Times New Roman" w:hAnsi="Times New Roman" w:eastAsia="仿宋_GB2312" w:cs="Times New Roman"/>
          <w:color w:val="auto"/>
          <w:sz w:val="32"/>
          <w:szCs w:val="32"/>
          <w:highlight w:val="none"/>
          <w:lang w:val="zh-CN" w:eastAsia="zh-CN"/>
        </w:rPr>
        <w:t>2023年度</w:t>
      </w:r>
      <w:r>
        <w:rPr>
          <w:rFonts w:hint="eastAsia" w:ascii="Times New Roman" w:hAnsi="Times New Roman" w:eastAsia="仿宋_GB2312" w:cs="Times New Roman"/>
          <w:color w:val="auto"/>
          <w:sz w:val="32"/>
          <w:szCs w:val="32"/>
          <w:highlight w:val="none"/>
          <w:lang w:val="en-US" w:eastAsia="zh-CN"/>
        </w:rPr>
        <w:t>新疆维吾尔自治区自然资源规划研究院（事业单位）公用经费支出113.46万元，</w:t>
      </w:r>
      <w:r>
        <w:rPr>
          <w:rFonts w:hint="eastAsia" w:ascii="Times New Roman" w:hAnsi="Times New Roman" w:eastAsia="仿宋_GB2312" w:cs="Times New Roman"/>
          <w:color w:val="auto"/>
          <w:sz w:val="32"/>
          <w:szCs w:val="32"/>
          <w:highlight w:val="none"/>
          <w:lang w:val="zh-CN" w:eastAsia="zh-CN"/>
        </w:rPr>
        <w:t>比上年增加9.68万元，增长9.33%，主要原因是：</w:t>
      </w:r>
      <w:r>
        <w:rPr>
          <w:rFonts w:hint="eastAsia" w:eastAsia="仿宋_GB2312" w:cs="Times New Roman"/>
          <w:color w:val="auto"/>
          <w:sz w:val="32"/>
          <w:szCs w:val="32"/>
          <w:highlight w:val="none"/>
          <w:lang w:val="en-US" w:eastAsia="zh-CN"/>
        </w:rPr>
        <w:t>增加结亲人员交通费</w:t>
      </w:r>
      <w:r>
        <w:rPr>
          <w:rFonts w:hint="eastAsia" w:ascii="Times New Roman" w:hAnsi="Times New Roman" w:eastAsia="仿宋_GB2312" w:cs="Times New Roman"/>
          <w:color w:val="auto"/>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r>
        <w:rPr>
          <w:rFonts w:hint="eastAsia" w:ascii="Times New Roman" w:hAnsi="Times New Roman" w:eastAsia="黑体" w:cs="Times New Roman"/>
          <w:color w:val="auto"/>
          <w:sz w:val="32"/>
          <w:szCs w:val="30"/>
          <w:highlight w:val="none"/>
          <w:lang w:val="zh-CN" w:eastAsia="zh-CN"/>
        </w:rPr>
        <w:t>（二）政府采购情况</w:t>
      </w:r>
      <w:bookmarkEnd w:id="24"/>
      <w:bookmarkEnd w:id="2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zh-CN"/>
        </w:rPr>
      </w:pPr>
      <w:r>
        <w:rPr>
          <w:rFonts w:hint="eastAsia" w:ascii="Times New Roman" w:hAnsi="Times New Roman" w:eastAsia="仿宋_GB2312" w:cs="Times New Roman"/>
          <w:color w:val="auto"/>
          <w:sz w:val="32"/>
          <w:szCs w:val="32"/>
          <w:highlight w:val="none"/>
          <w:lang w:val="zh-CN" w:eastAsia="zh-CN"/>
        </w:rPr>
        <w:t>2023年度</w:t>
      </w:r>
      <w:r>
        <w:rPr>
          <w:rFonts w:hint="eastAsia" w:ascii="Times New Roman" w:hAnsi="Times New Roman" w:eastAsia="仿宋_GB2312" w:cs="Times New Roman"/>
          <w:color w:val="auto"/>
          <w:sz w:val="32"/>
          <w:szCs w:val="32"/>
          <w:highlight w:val="none"/>
          <w:lang w:val="zh-CN"/>
        </w:rPr>
        <w:t>政府采购支出总额</w:t>
      </w:r>
      <w:r>
        <w:rPr>
          <w:rFonts w:hint="eastAsia" w:ascii="Times New Roman" w:hAnsi="Times New Roman" w:eastAsia="仿宋_GB2312" w:cs="Times New Roman"/>
          <w:color w:val="auto"/>
          <w:sz w:val="32"/>
          <w:szCs w:val="32"/>
          <w:highlight w:val="none"/>
          <w:lang w:val="zh-CN" w:eastAsia="zh-CN"/>
        </w:rPr>
        <w:t>3,429.27万元</w:t>
      </w:r>
      <w:r>
        <w:rPr>
          <w:rFonts w:hint="eastAsia" w:ascii="Times New Roman" w:hAnsi="Times New Roman" w:eastAsia="仿宋_GB2312" w:cs="Times New Roman"/>
          <w:color w:val="auto"/>
          <w:sz w:val="32"/>
          <w:szCs w:val="32"/>
          <w:highlight w:val="none"/>
          <w:lang w:val="zh-CN"/>
        </w:rPr>
        <w:t>，</w:t>
      </w:r>
      <w:r>
        <w:rPr>
          <w:rFonts w:hint="eastAsia" w:ascii="Times New Roman" w:hAnsi="Times New Roman" w:eastAsia="仿宋_GB2312" w:cs="Times New Roman"/>
          <w:color w:val="auto"/>
          <w:sz w:val="32"/>
          <w:szCs w:val="32"/>
          <w:highlight w:val="none"/>
          <w:lang w:val="zh-CN" w:eastAsia="zh-CN"/>
        </w:rPr>
        <w:t>其中：政府采购货物支出218.69万元、政府采购工程支出0.00万元、政府采购服务支出3,210.58万元。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zh-CN" w:eastAsia="zh-CN"/>
        </w:rPr>
        <w:t>授予中小企业合同金额3,319.24万元，占政府采购支出总额的96.79</w:t>
      </w:r>
      <w:r>
        <w:rPr>
          <w:rFonts w:hint="default"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zh-CN" w:eastAsia="zh-CN"/>
        </w:rPr>
        <w:t>，其中：授予小微企业合同金额1,764.32万元，占政府采购支出总额的51.45</w:t>
      </w:r>
      <w:r>
        <w:rPr>
          <w:rFonts w:hint="default"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bookmarkStart w:id="26" w:name="_Toc4591"/>
      <w:bookmarkStart w:id="27" w:name="_Toc8391"/>
      <w:r>
        <w:rPr>
          <w:rFonts w:hint="eastAsia" w:ascii="Times New Roman" w:hAnsi="Times New Roman" w:eastAsia="黑体" w:cs="Times New Roman"/>
          <w:color w:val="auto"/>
          <w:sz w:val="32"/>
          <w:szCs w:val="30"/>
          <w:highlight w:val="none"/>
          <w:lang w:val="zh-CN" w:eastAsia="zh-CN"/>
        </w:rPr>
        <w:t>（三）国有资产占用情况说明</w:t>
      </w:r>
      <w:bookmarkEnd w:id="26"/>
      <w:bookmarkEnd w:id="2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zh-CN" w:eastAsia="zh-CN"/>
        </w:rPr>
      </w:pPr>
      <w:r>
        <w:rPr>
          <w:rFonts w:hint="eastAsia" w:ascii="Times New Roman" w:hAnsi="Times New Roman" w:eastAsia="仿宋_GB2312" w:cs="Times New Roman"/>
          <w:color w:val="auto"/>
          <w:sz w:val="32"/>
          <w:szCs w:val="32"/>
          <w:highlight w:val="none"/>
          <w:lang w:val="en-US" w:eastAsia="zh-CN"/>
        </w:rPr>
        <w:t>截至2023</w:t>
      </w:r>
      <w:r>
        <w:rPr>
          <w:rFonts w:hint="eastAsia" w:ascii="Times New Roman" w:hAnsi="Times New Roman" w:eastAsia="仿宋_GB2312" w:cs="Times New Roman"/>
          <w:color w:val="auto"/>
          <w:sz w:val="32"/>
          <w:szCs w:val="32"/>
          <w:highlight w:val="none"/>
          <w:lang w:val="zh-CN" w:eastAsia="zh-CN"/>
        </w:rPr>
        <w:t>年</w:t>
      </w:r>
      <w:r>
        <w:rPr>
          <w:rFonts w:hint="eastAsia" w:ascii="Times New Roman" w:hAnsi="Times New Roman" w:eastAsia="仿宋_GB2312" w:cs="Times New Roman"/>
          <w:color w:val="auto"/>
          <w:sz w:val="32"/>
          <w:szCs w:val="32"/>
          <w:highlight w:val="none"/>
          <w:lang w:val="en-US" w:eastAsia="zh-CN"/>
        </w:rPr>
        <w:t>12月31日</w:t>
      </w:r>
      <w:r>
        <w:rPr>
          <w:rFonts w:hint="eastAsia"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en-US" w:eastAsia="zh-CN"/>
        </w:rPr>
        <w:t>固定资产原值</w:t>
      </w:r>
      <w:r>
        <w:rPr>
          <w:rFonts w:hint="eastAsia" w:ascii="Times New Roman" w:hAnsi="Times New Roman" w:eastAsia="仿宋_GB2312" w:cs="Times New Roman"/>
          <w:color w:val="auto"/>
          <w:sz w:val="32"/>
          <w:szCs w:val="32"/>
          <w:highlight w:val="none"/>
          <w:lang w:val="zh-CN" w:eastAsia="zh-CN"/>
        </w:rPr>
        <w:t>10,077.05</w:t>
      </w:r>
      <w:r>
        <w:rPr>
          <w:rFonts w:hint="eastAsia" w:ascii="Times New Roman" w:hAnsi="Times New Roman" w:eastAsia="仿宋_GB2312" w:cs="Times New Roman"/>
          <w:color w:val="auto"/>
          <w:sz w:val="32"/>
          <w:szCs w:val="32"/>
          <w:highlight w:val="none"/>
          <w:lang w:val="en-US" w:eastAsia="zh-CN"/>
        </w:rPr>
        <w:t>万元，房</w:t>
      </w:r>
      <w:r>
        <w:rPr>
          <w:rFonts w:hint="eastAsia" w:ascii="Times New Roman" w:hAnsi="Times New Roman" w:eastAsia="仿宋_GB2312" w:cs="Times New Roman"/>
          <w:color w:val="auto"/>
          <w:sz w:val="32"/>
          <w:szCs w:val="32"/>
          <w:highlight w:val="none"/>
          <w:lang w:val="zh-CN" w:eastAsia="zh-CN"/>
        </w:rPr>
        <w:t>屋13489.0平方米，价值6,485.27万元。车辆8辆，价值292.25万元，其中：副部（省）级及以上领导用车0辆、主要</w:t>
      </w:r>
      <w:r>
        <w:rPr>
          <w:rFonts w:hint="eastAsia" w:ascii="Times New Roman" w:hAnsi="Times New Roman" w:eastAsia="仿宋_GB2312" w:cs="Times New Roman"/>
          <w:color w:val="auto"/>
          <w:sz w:val="32"/>
          <w:szCs w:val="32"/>
          <w:highlight w:val="none"/>
          <w:lang w:val="en-US" w:eastAsia="zh-CN"/>
        </w:rPr>
        <w:t>负责人</w:t>
      </w:r>
      <w:r>
        <w:rPr>
          <w:rFonts w:hint="eastAsia" w:ascii="Times New Roman" w:hAnsi="Times New Roman" w:eastAsia="仿宋_GB2312" w:cs="Times New Roman"/>
          <w:color w:val="auto"/>
          <w:sz w:val="32"/>
          <w:szCs w:val="32"/>
          <w:highlight w:val="none"/>
          <w:lang w:val="zh-CN" w:eastAsia="zh-CN"/>
        </w:rPr>
        <w:t>用车0辆、机要通信用车0辆、应急保障用车0辆、执法执勤用车0辆、特种专业技术用车0辆、离退休干部</w:t>
      </w:r>
      <w:r>
        <w:rPr>
          <w:rFonts w:hint="eastAsia" w:ascii="Times New Roman" w:hAnsi="Times New Roman" w:eastAsia="仿宋_GB2312" w:cs="Times New Roman"/>
          <w:color w:val="auto"/>
          <w:sz w:val="32"/>
          <w:szCs w:val="32"/>
          <w:highlight w:val="none"/>
          <w:lang w:val="en-US" w:eastAsia="zh-CN"/>
        </w:rPr>
        <w:t>服务</w:t>
      </w:r>
      <w:r>
        <w:rPr>
          <w:rFonts w:hint="eastAsia" w:ascii="Times New Roman" w:hAnsi="Times New Roman" w:eastAsia="仿宋_GB2312" w:cs="Times New Roman"/>
          <w:color w:val="auto"/>
          <w:sz w:val="32"/>
          <w:szCs w:val="32"/>
          <w:highlight w:val="none"/>
          <w:lang w:val="zh-CN" w:eastAsia="zh-CN"/>
        </w:rPr>
        <w:t>用车0辆、其他用车8辆，其他用车主要是：</w:t>
      </w:r>
      <w:r>
        <w:rPr>
          <w:rFonts w:hint="eastAsia" w:ascii="仿宋_GB2312" w:hAnsi="仿宋_GB2312" w:eastAsia="仿宋_GB2312" w:cs="仿宋_GB2312"/>
          <w:sz w:val="32"/>
          <w:szCs w:val="32"/>
          <w:lang w:val="en-US" w:eastAsia="zh-CN"/>
        </w:rPr>
        <w:t>一般公务用车</w:t>
      </w:r>
      <w:bookmarkStart w:id="48" w:name="_GoBack"/>
      <w:bookmarkEnd w:id="48"/>
      <w:r>
        <w:rPr>
          <w:rFonts w:hint="eastAsia" w:ascii="Times New Roman" w:hAnsi="Times New Roman" w:eastAsia="仿宋_GB2312" w:cs="Times New Roman"/>
          <w:color w:val="auto"/>
          <w:sz w:val="32"/>
          <w:szCs w:val="32"/>
          <w:highlight w:val="none"/>
          <w:lang w:val="zh-CN" w:eastAsia="zh-CN"/>
        </w:rPr>
        <w:t>；单价100万元（含）以上设备（不含车辆）1</w:t>
      </w:r>
      <w:r>
        <w:rPr>
          <w:rFonts w:hint="eastAsia" w:ascii="Times New Roman" w:hAnsi="Times New Roman" w:eastAsia="仿宋_GB2312" w:cs="Times New Roman"/>
          <w:color w:val="auto"/>
          <w:sz w:val="32"/>
          <w:szCs w:val="32"/>
          <w:highlight w:val="none"/>
          <w:lang w:val="en-US" w:eastAsia="zh-CN"/>
        </w:rPr>
        <w:t>台（</w:t>
      </w:r>
      <w:r>
        <w:rPr>
          <w:rFonts w:hint="eastAsia" w:ascii="Times New Roman" w:hAnsi="Times New Roman" w:eastAsia="仿宋_GB2312" w:cs="Times New Roman"/>
          <w:color w:val="auto"/>
          <w:sz w:val="32"/>
          <w:szCs w:val="32"/>
          <w:highlight w:val="none"/>
          <w:lang w:val="zh-CN" w:eastAsia="zh-CN"/>
        </w:rPr>
        <w:t>套）。</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8" w:name="_Toc435"/>
      <w:bookmarkStart w:id="29" w:name="_Toc11283"/>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一</w:t>
      </w:r>
      <w:r>
        <w:rPr>
          <w:rFonts w:hint="eastAsia" w:ascii="黑体" w:hAnsi="黑体" w:eastAsia="黑体" w:cs="宋体"/>
          <w:bCs/>
          <w:color w:val="auto"/>
          <w:kern w:val="0"/>
          <w:sz w:val="32"/>
          <w:szCs w:val="32"/>
          <w:highlight w:val="none"/>
          <w:lang w:eastAsia="zh-CN"/>
        </w:rPr>
        <w:t>、预算绩效的情况说明</w:t>
      </w:r>
      <w:bookmarkEnd w:id="28"/>
      <w:bookmarkEnd w:id="29"/>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lang w:eastAsia="zh-CN"/>
        </w:rPr>
        <w:t>根据预算绩效管理要求，我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2023年度</w:t>
      </w:r>
      <w:r>
        <w:rPr>
          <w:rFonts w:hint="eastAsia" w:ascii="仿宋_GB2312" w:hAnsi="仿宋_GB2312" w:eastAsia="仿宋_GB2312" w:cs="仿宋_GB2312"/>
          <w:color w:val="auto"/>
          <w:kern w:val="0"/>
          <w:sz w:val="32"/>
          <w:szCs w:val="32"/>
          <w:highlight w:val="none"/>
        </w:rPr>
        <w:t>预算绩效管理整体</w:t>
      </w:r>
      <w:r>
        <w:rPr>
          <w:rFonts w:hint="eastAsia" w:ascii="仿宋_GB2312" w:hAnsi="仿宋_GB2312" w:eastAsia="仿宋_GB2312" w:cs="仿宋_GB2312"/>
          <w:color w:val="auto"/>
          <w:kern w:val="0"/>
          <w:sz w:val="32"/>
          <w:szCs w:val="32"/>
          <w:highlight w:val="none"/>
          <w:lang w:val="en-US" w:eastAsia="zh-CN"/>
        </w:rPr>
        <w:t>支出</w:t>
      </w:r>
      <w:r>
        <w:rPr>
          <w:rFonts w:hint="eastAsia" w:ascii="仿宋_GB2312" w:hAnsi="仿宋_GB2312" w:eastAsia="仿宋_GB2312" w:cs="仿宋_GB2312"/>
          <w:color w:val="auto"/>
          <w:kern w:val="0"/>
          <w:sz w:val="32"/>
          <w:szCs w:val="32"/>
          <w:highlight w:val="none"/>
        </w:rPr>
        <w:t>绩效自评表</w:t>
      </w:r>
      <w:r>
        <w:rPr>
          <w:rFonts w:hint="eastAsia" w:ascii="仿宋_GB2312" w:eastAsia="仿宋_GB2312"/>
          <w:color w:val="auto"/>
          <w:sz w:val="32"/>
          <w:szCs w:val="32"/>
          <w:highlight w:val="none"/>
          <w:lang w:val="en-US" w:eastAsia="zh-CN"/>
        </w:rPr>
        <w:t>0</w:t>
      </w:r>
      <w:r>
        <w:rPr>
          <w:rFonts w:hint="eastAsia" w:ascii="仿宋_GB2312" w:hAnsi="仿宋_GB2312" w:eastAsia="仿宋_GB2312" w:cs="仿宋_GB2312"/>
          <w:color w:val="auto"/>
          <w:kern w:val="0"/>
          <w:sz w:val="32"/>
          <w:szCs w:val="32"/>
          <w:highlight w:val="none"/>
          <w:lang w:val="en-US" w:eastAsia="zh-CN"/>
        </w:rPr>
        <w:t>个，全年</w:t>
      </w:r>
      <w:r>
        <w:rPr>
          <w:rFonts w:hint="eastAsia" w:ascii="仿宋_GB2312" w:eastAsia="仿宋_GB2312"/>
          <w:color w:val="auto"/>
          <w:sz w:val="32"/>
          <w:szCs w:val="32"/>
          <w:highlight w:val="none"/>
          <w:lang w:val="en-US" w:eastAsia="zh-CN"/>
        </w:rPr>
        <w:t>预算总额0.00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实际执行总额</w:t>
      </w:r>
      <w:r>
        <w:rPr>
          <w:rFonts w:hint="eastAsia" w:ascii="Times New Roman" w:hAnsi="Times New Roman" w:eastAsia="仿宋_GB2312" w:cs="Times New Roman"/>
          <w:color w:val="auto"/>
          <w:sz w:val="32"/>
          <w:szCs w:val="32"/>
          <w:highlight w:val="none"/>
          <w:lang w:val="zh-CN" w:eastAsia="zh-CN"/>
        </w:rPr>
        <w:t>0.00</w:t>
      </w:r>
      <w:r>
        <w:rPr>
          <w:rFonts w:hint="eastAsia" w:ascii="仿宋_GB2312" w:eastAsia="仿宋_GB2312"/>
          <w:color w:val="auto"/>
          <w:sz w:val="32"/>
          <w:szCs w:val="32"/>
          <w:highlight w:val="none"/>
        </w:rPr>
        <w:t>万元</w:t>
      </w:r>
      <w:r>
        <w:rPr>
          <w:rFonts w:hint="eastAsia" w:ascii="仿宋_GB2312" w:hAnsi="仿宋_GB2312" w:eastAsia="仿宋_GB2312" w:cs="仿宋_GB2312"/>
          <w:color w:val="auto"/>
          <w:kern w:val="0"/>
          <w:sz w:val="32"/>
          <w:szCs w:val="32"/>
          <w:highlight w:val="none"/>
          <w:lang w:val="en-US" w:eastAsia="zh-CN"/>
        </w:rPr>
        <w:t>；</w:t>
      </w:r>
      <w:r>
        <w:rPr>
          <w:rFonts w:hint="eastAsia" w:ascii="仿宋_GB2312" w:eastAsia="仿宋_GB2312"/>
          <w:color w:val="auto"/>
          <w:sz w:val="32"/>
          <w:szCs w:val="32"/>
          <w:highlight w:val="none"/>
          <w:lang w:eastAsia="zh-CN"/>
        </w:rPr>
        <w:t>预算绩效评价项目</w:t>
      </w:r>
      <w:r>
        <w:rPr>
          <w:rFonts w:hint="eastAsia" w:ascii="仿宋_GB2312" w:eastAsia="仿宋_GB2312"/>
          <w:color w:val="auto"/>
          <w:sz w:val="32"/>
          <w:szCs w:val="32"/>
          <w:highlight w:val="none"/>
          <w:lang w:val="en-US" w:eastAsia="zh-CN"/>
        </w:rPr>
        <w:t>3</w:t>
      </w:r>
      <w:r>
        <w:rPr>
          <w:rFonts w:hint="eastAsia" w:ascii="仿宋_GB2312" w:eastAsia="仿宋_GB2312"/>
          <w:color w:val="auto"/>
          <w:sz w:val="32"/>
          <w:szCs w:val="32"/>
          <w:highlight w:val="none"/>
          <w:lang w:eastAsia="zh-CN"/>
        </w:rPr>
        <w:t>个，</w:t>
      </w:r>
      <w:r>
        <w:rPr>
          <w:rFonts w:hint="eastAsia" w:ascii="仿宋_GB2312" w:eastAsia="仿宋_GB2312"/>
          <w:color w:val="auto"/>
          <w:sz w:val="32"/>
          <w:szCs w:val="32"/>
          <w:highlight w:val="none"/>
          <w:lang w:val="en-US" w:eastAsia="zh-CN"/>
        </w:rPr>
        <w:t>全年预算数4790.00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全年执行数4747.16</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。预算绩效管理取得的成效：一是</w:t>
      </w:r>
      <w:r>
        <w:rPr>
          <w:rFonts w:ascii="仿宋_GB2312" w:eastAsia="仿宋_GB2312"/>
          <w:sz w:val="32"/>
          <w:szCs w:val="32"/>
        </w:rPr>
        <w:t>通过绩效评价提高财政资金使用的效益</w:t>
      </w:r>
      <w:r>
        <w:rPr>
          <w:rFonts w:hint="eastAsia" w:ascii="仿宋_GB2312" w:eastAsia="仿宋_GB2312"/>
          <w:color w:val="auto"/>
          <w:sz w:val="32"/>
          <w:szCs w:val="32"/>
          <w:highlight w:val="none"/>
          <w:lang w:eastAsia="zh-CN"/>
        </w:rPr>
        <w:t>；二是</w:t>
      </w:r>
      <w:r>
        <w:rPr>
          <w:rFonts w:ascii="仿宋_GB2312" w:eastAsia="仿宋_GB2312"/>
          <w:sz w:val="32"/>
          <w:szCs w:val="32"/>
        </w:rPr>
        <w:t>将绩效管理融入预算编制、执行、监督全过程。强化绩效目标管理，不断提高绩效目标的科学性、规范性、合理性</w:t>
      </w:r>
      <w:r>
        <w:rPr>
          <w:rFonts w:hint="eastAsia" w:ascii="仿宋_GB2312" w:eastAsia="仿宋_GB2312"/>
          <w:color w:val="auto"/>
          <w:sz w:val="32"/>
          <w:szCs w:val="32"/>
          <w:highlight w:val="none"/>
          <w:lang w:eastAsia="zh-CN"/>
        </w:rPr>
        <w:t>。发现的问题及原因：一是</w:t>
      </w:r>
      <w:r>
        <w:rPr>
          <w:rFonts w:ascii="仿宋_GB2312" w:eastAsia="仿宋_GB2312"/>
          <w:sz w:val="32"/>
          <w:szCs w:val="32"/>
        </w:rPr>
        <w:t>绩效目标的设定不够明确具体，缺 乏量化</w:t>
      </w:r>
      <w:r>
        <w:rPr>
          <w:rFonts w:hint="eastAsia" w:ascii="仿宋_GB2312" w:eastAsia="仿宋_GB2312"/>
          <w:color w:val="auto"/>
          <w:sz w:val="32"/>
          <w:szCs w:val="32"/>
          <w:highlight w:val="none"/>
          <w:lang w:eastAsia="zh-CN"/>
        </w:rPr>
        <w:t>；二是</w:t>
      </w:r>
      <w:r>
        <w:rPr>
          <w:rFonts w:hint="eastAsia" w:ascii="仿宋_GB2312" w:eastAsia="仿宋_GB2312"/>
          <w:color w:val="auto"/>
          <w:sz w:val="32"/>
          <w:szCs w:val="32"/>
          <w:highlight w:val="none"/>
          <w:lang w:val="en-US" w:eastAsia="zh-CN"/>
        </w:rPr>
        <w:t>绩</w:t>
      </w:r>
      <w:r>
        <w:rPr>
          <w:rFonts w:ascii="仿宋_GB2312" w:eastAsia="仿宋_GB2312"/>
          <w:sz w:val="32"/>
          <w:szCs w:val="32"/>
        </w:rPr>
        <w:t>效目标缺乏弹性，落地措施不够</w:t>
      </w:r>
      <w:r>
        <w:rPr>
          <w:rFonts w:hint="eastAsia" w:ascii="仿宋_GB2312" w:eastAsia="仿宋_GB2312"/>
          <w:color w:val="auto"/>
          <w:sz w:val="32"/>
          <w:szCs w:val="32"/>
          <w:highlight w:val="none"/>
          <w:lang w:eastAsia="zh-CN"/>
        </w:rPr>
        <w:t>。下一步改进措施：一是</w:t>
      </w:r>
      <w:r>
        <w:rPr>
          <w:rFonts w:ascii="仿宋_GB2312" w:eastAsia="仿宋_GB2312"/>
          <w:sz w:val="32"/>
          <w:szCs w:val="32"/>
        </w:rPr>
        <w:t>加强相关人员培训，提高预算编制绩效管理</w:t>
      </w:r>
      <w:r>
        <w:rPr>
          <w:rFonts w:hint="eastAsia" w:ascii="仿宋_GB2312" w:eastAsia="仿宋_GB2312"/>
          <w:color w:val="auto"/>
          <w:sz w:val="32"/>
          <w:szCs w:val="32"/>
          <w:highlight w:val="none"/>
          <w:lang w:eastAsia="zh-CN"/>
        </w:rPr>
        <w:t>；二是</w:t>
      </w:r>
      <w:r>
        <w:rPr>
          <w:rFonts w:ascii="仿宋_GB2312" w:eastAsia="仿宋_GB2312"/>
          <w:sz w:val="32"/>
          <w:szCs w:val="32"/>
        </w:rPr>
        <w:t>完善项目绩效管理责任，注重风险预警防范</w:t>
      </w:r>
      <w:r>
        <w:rPr>
          <w:rFonts w:hint="eastAsia" w:ascii="仿宋_GB2312" w:eastAsia="仿宋_GB2312"/>
          <w:color w:val="auto"/>
          <w:sz w:val="32"/>
          <w:szCs w:val="32"/>
          <w:highlight w:val="none"/>
          <w:lang w:eastAsia="zh-CN"/>
        </w:rPr>
        <w:t>。具体</w:t>
      </w:r>
      <w:r>
        <w:rPr>
          <w:rFonts w:hint="eastAsia" w:ascii="仿宋_GB2312" w:eastAsia="仿宋_GB2312"/>
          <w:color w:val="auto"/>
          <w:sz w:val="32"/>
          <w:szCs w:val="32"/>
          <w:highlight w:val="none"/>
        </w:rPr>
        <w:t>项目自评情况附绩效自评表</w:t>
      </w:r>
      <w:r>
        <w:rPr>
          <w:rFonts w:hint="eastAsia" w:ascii="仿宋_GB2312" w:eastAsia="仿宋_GB2312"/>
          <w:color w:val="auto"/>
          <w:sz w:val="32"/>
          <w:szCs w:val="32"/>
          <w:highlight w:val="none"/>
          <w:lang w:val="en-US" w:eastAsia="zh-CN"/>
        </w:rPr>
        <w:t>及自评报告</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二</w:t>
      </w:r>
      <w:r>
        <w:rPr>
          <w:rFonts w:hint="eastAsia" w:ascii="黑体" w:hAnsi="黑体" w:eastAsia="黑体" w:cs="宋体"/>
          <w:bCs/>
          <w:color w:val="auto"/>
          <w:kern w:val="0"/>
          <w:sz w:val="32"/>
          <w:szCs w:val="32"/>
          <w:highlight w:val="none"/>
          <w:lang w:eastAsia="zh-CN"/>
        </w:rPr>
        <w:t>、其他需说明的事项</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本单位无其他需说明事项。</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30" w:name="_Toc3250"/>
      <w:bookmarkStart w:id="31" w:name="_Toc24143"/>
      <w:r>
        <w:rPr>
          <w:rFonts w:hint="eastAsia" w:ascii="黑体" w:hAnsi="黑体" w:eastAsia="黑体"/>
          <w:color w:val="auto"/>
          <w:sz w:val="32"/>
          <w:szCs w:val="32"/>
          <w:highlight w:val="none"/>
        </w:rPr>
        <w:br w:type="page"/>
      </w:r>
      <w:r>
        <w:rPr>
          <w:rFonts w:hint="eastAsia" w:ascii="黑体" w:hAnsi="黑体" w:eastAsia="黑体" w:cs="黑体"/>
          <w:color w:val="auto"/>
          <w:sz w:val="32"/>
          <w:szCs w:val="32"/>
          <w:highlight w:val="none"/>
        </w:rPr>
        <w:t>第</w:t>
      </w:r>
      <w:r>
        <w:rPr>
          <w:rFonts w:hint="eastAsia" w:ascii="黑体" w:hAnsi="黑体" w:eastAsia="黑体" w:cs="黑体"/>
          <w:color w:val="auto"/>
          <w:sz w:val="32"/>
          <w:szCs w:val="32"/>
          <w:highlight w:val="none"/>
          <w:lang w:val="en-US" w:eastAsia="zh-CN"/>
        </w:rPr>
        <w:t>三</w:t>
      </w:r>
      <w:r>
        <w:rPr>
          <w:rFonts w:hint="eastAsia" w:ascii="黑体" w:hAnsi="黑体" w:eastAsia="黑体" w:cs="黑体"/>
          <w:color w:val="auto"/>
          <w:sz w:val="32"/>
          <w:szCs w:val="32"/>
          <w:highlight w:val="none"/>
        </w:rPr>
        <w:t>部分 专业名词解释</w:t>
      </w:r>
      <w:bookmarkEnd w:id="30"/>
      <w:bookmarkEnd w:id="31"/>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一、</w:t>
      </w:r>
      <w:r>
        <w:rPr>
          <w:rFonts w:hint="eastAsia" w:ascii="仿宋_GB2312" w:eastAsia="仿宋_GB2312"/>
          <w:b/>
          <w:bCs/>
          <w:color w:val="auto"/>
          <w:sz w:val="32"/>
          <w:szCs w:val="32"/>
          <w:highlight w:val="none"/>
        </w:rPr>
        <w:t>财政拨款收入：</w:t>
      </w:r>
      <w:r>
        <w:rPr>
          <w:rFonts w:hint="eastAsia" w:ascii="仿宋_GB2312" w:eastAsia="仿宋_GB2312"/>
          <w:color w:val="auto"/>
          <w:sz w:val="32"/>
          <w:szCs w:val="32"/>
          <w:highlight w:val="none"/>
        </w:rPr>
        <w:t>指同级财政当年拨付的资金。</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二、</w:t>
      </w:r>
      <w:r>
        <w:rPr>
          <w:rFonts w:hint="eastAsia" w:ascii="仿宋_GB2312" w:eastAsia="仿宋_GB2312"/>
          <w:b/>
          <w:bCs/>
          <w:color w:val="auto"/>
          <w:sz w:val="32"/>
          <w:szCs w:val="32"/>
          <w:highlight w:val="none"/>
        </w:rPr>
        <w:t>上级补助收入：</w:t>
      </w:r>
      <w:r>
        <w:rPr>
          <w:rFonts w:hint="eastAsia" w:ascii="仿宋_GB2312" w:eastAsia="仿宋_GB2312"/>
          <w:color w:val="auto"/>
          <w:sz w:val="32"/>
          <w:szCs w:val="32"/>
          <w:highlight w:val="none"/>
        </w:rPr>
        <w:t>指事业单位从主管部门和上级单位取得的非财政补助收入。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三、</w:t>
      </w:r>
      <w:r>
        <w:rPr>
          <w:rFonts w:hint="eastAsia" w:ascii="仿宋_GB2312" w:eastAsia="仿宋_GB2312"/>
          <w:b/>
          <w:bCs/>
          <w:color w:val="auto"/>
          <w:sz w:val="32"/>
          <w:szCs w:val="32"/>
          <w:highlight w:val="none"/>
        </w:rPr>
        <w:t>事业收入：</w:t>
      </w:r>
      <w:r>
        <w:rPr>
          <w:rFonts w:hint="eastAsia" w:ascii="仿宋_GB2312" w:eastAsia="仿宋_GB2312"/>
          <w:color w:val="auto"/>
          <w:sz w:val="32"/>
          <w:szCs w:val="32"/>
          <w:highlight w:val="none"/>
        </w:rPr>
        <w:t>指事业单位开展专业业务活动及其辅助活动所取得的收入。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四、</w:t>
      </w:r>
      <w:r>
        <w:rPr>
          <w:rFonts w:hint="eastAsia" w:ascii="仿宋_GB2312" w:eastAsia="仿宋_GB2312"/>
          <w:b/>
          <w:bCs/>
          <w:color w:val="auto"/>
          <w:sz w:val="32"/>
          <w:szCs w:val="32"/>
          <w:highlight w:val="none"/>
        </w:rPr>
        <w:t>经营收入：</w:t>
      </w:r>
      <w:r>
        <w:rPr>
          <w:rFonts w:hint="eastAsia" w:ascii="仿宋_GB2312" w:eastAsia="仿宋_GB2312"/>
          <w:color w:val="auto"/>
          <w:sz w:val="32"/>
          <w:szCs w:val="32"/>
          <w:highlight w:val="none"/>
        </w:rPr>
        <w:t>指事业单位在专业业务活动及其辅助活动之外开展非独立核算经营活动取得的收入。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五、</w:t>
      </w:r>
      <w:r>
        <w:rPr>
          <w:rFonts w:hint="eastAsia" w:ascii="仿宋_GB2312" w:eastAsia="仿宋_GB2312"/>
          <w:b/>
          <w:bCs/>
          <w:color w:val="auto"/>
          <w:sz w:val="32"/>
          <w:szCs w:val="32"/>
          <w:highlight w:val="none"/>
        </w:rPr>
        <w:t>附属单位上缴收入：</w:t>
      </w:r>
      <w:r>
        <w:rPr>
          <w:rFonts w:hint="eastAsia" w:ascii="仿宋_GB2312" w:eastAsia="仿宋_GB2312"/>
          <w:color w:val="auto"/>
          <w:sz w:val="32"/>
          <w:szCs w:val="32"/>
          <w:highlight w:val="none"/>
        </w:rPr>
        <w:t>指事业单位附属的独立核算单位按有关规定上缴的收入。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六、</w:t>
      </w:r>
      <w:r>
        <w:rPr>
          <w:rFonts w:hint="eastAsia" w:ascii="仿宋_GB2312" w:eastAsia="仿宋_GB2312"/>
          <w:b/>
          <w:bCs/>
          <w:color w:val="auto"/>
          <w:sz w:val="32"/>
          <w:szCs w:val="32"/>
          <w:highlight w:val="none"/>
        </w:rPr>
        <w:t>其他收入：</w:t>
      </w:r>
      <w:r>
        <w:rPr>
          <w:rFonts w:hint="eastAsia" w:ascii="仿宋_GB2312" w:eastAsia="仿宋_GB2312"/>
          <w:color w:val="auto"/>
          <w:sz w:val="32"/>
          <w:szCs w:val="32"/>
          <w:highlight w:val="none"/>
        </w:rPr>
        <w:t>指除上述“财政拨款收入”、“事业收入”、“经营收入”、“附属单位上缴收入”等之外取得的收入。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七、</w:t>
      </w:r>
      <w:r>
        <w:rPr>
          <w:rFonts w:hint="eastAsia" w:ascii="仿宋_GB2312" w:eastAsia="仿宋_GB2312"/>
          <w:b/>
          <w:bCs/>
          <w:color w:val="auto"/>
          <w:sz w:val="32"/>
          <w:szCs w:val="32"/>
          <w:highlight w:val="none"/>
          <w:lang w:eastAsia="zh-CN"/>
        </w:rPr>
        <w:t>年初</w:t>
      </w:r>
      <w:r>
        <w:rPr>
          <w:rFonts w:hint="eastAsia" w:ascii="仿宋_GB2312" w:eastAsia="仿宋_GB2312"/>
          <w:b/>
          <w:bCs/>
          <w:color w:val="auto"/>
          <w:sz w:val="32"/>
          <w:szCs w:val="32"/>
          <w:highlight w:val="none"/>
        </w:rPr>
        <w:t>结转和结余：</w:t>
      </w:r>
      <w:r>
        <w:rPr>
          <w:rFonts w:hint="eastAsia" w:ascii="仿宋_GB2312" w:eastAsia="仿宋_GB2312"/>
          <w:color w:val="auto"/>
          <w:sz w:val="32"/>
          <w:szCs w:val="32"/>
          <w:highlight w:val="none"/>
        </w:rPr>
        <w:t>指以前年度支出预算因客观条件变化未执行完毕、结转到本年度按有关规定继续使用的资金，既包括财政拨款结转和结余，也包括事业收入、经营收入、其他收入的结转和结余。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八、</w:t>
      </w:r>
      <w:r>
        <w:rPr>
          <w:rFonts w:hint="eastAsia" w:ascii="仿宋_GB2312" w:eastAsia="仿宋_GB2312"/>
          <w:b/>
          <w:bCs/>
          <w:color w:val="auto"/>
          <w:sz w:val="32"/>
          <w:szCs w:val="32"/>
          <w:highlight w:val="none"/>
        </w:rPr>
        <w:t>年末结转和结余：</w:t>
      </w:r>
      <w:r>
        <w:rPr>
          <w:rFonts w:hint="eastAsia" w:ascii="仿宋_GB2312" w:eastAsia="仿宋_GB2312"/>
          <w:color w:val="auto"/>
          <w:sz w:val="32"/>
          <w:szCs w:val="32"/>
          <w:highlight w:val="none"/>
        </w:rPr>
        <w:t>指本年度或以前年度预算安排、因客观条件发生变化无法按原计划实施，需要延迟到以后年度按有关规定继续使用的资金，既包括财政拨款结转和结余，也包括事业收入、经营收入、其他收入的结转和结余。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九、</w:t>
      </w:r>
      <w:r>
        <w:rPr>
          <w:rFonts w:hint="eastAsia" w:ascii="仿宋_GB2312" w:eastAsia="仿宋_GB2312"/>
          <w:b/>
          <w:bCs/>
          <w:color w:val="auto"/>
          <w:sz w:val="32"/>
          <w:szCs w:val="32"/>
          <w:highlight w:val="none"/>
        </w:rPr>
        <w:t>基本支出：</w:t>
      </w:r>
      <w:r>
        <w:rPr>
          <w:rFonts w:hint="eastAsia" w:ascii="仿宋_GB2312" w:eastAsia="仿宋_GB2312"/>
          <w:color w:val="auto"/>
          <w:sz w:val="32"/>
          <w:szCs w:val="32"/>
          <w:highlight w:val="none"/>
        </w:rPr>
        <w:t>指为保障机构正常运转、完成日常工作任务而发生的人员支出和公用支出。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w:t>
      </w:r>
      <w:r>
        <w:rPr>
          <w:rFonts w:hint="eastAsia" w:ascii="仿宋_GB2312" w:eastAsia="仿宋_GB2312"/>
          <w:b/>
          <w:bCs/>
          <w:color w:val="auto"/>
          <w:sz w:val="32"/>
          <w:szCs w:val="32"/>
          <w:highlight w:val="none"/>
        </w:rPr>
        <w:t>项目支出：</w:t>
      </w:r>
      <w:r>
        <w:rPr>
          <w:rFonts w:hint="eastAsia" w:ascii="仿宋_GB2312" w:eastAsia="仿宋_GB2312"/>
          <w:color w:val="auto"/>
          <w:sz w:val="32"/>
          <w:szCs w:val="32"/>
          <w:highlight w:val="none"/>
        </w:rPr>
        <w:t>指在基本支出之外为完成特定行政任务和事业发展目标所发生的支出。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十一、</w:t>
      </w:r>
      <w:r>
        <w:rPr>
          <w:rFonts w:hint="eastAsia" w:ascii="仿宋_GB2312" w:eastAsia="仿宋_GB2312"/>
          <w:b/>
          <w:bCs/>
          <w:color w:val="auto"/>
          <w:sz w:val="32"/>
          <w:szCs w:val="32"/>
          <w:highlight w:val="none"/>
        </w:rPr>
        <w:t>经营支出：</w:t>
      </w:r>
      <w:r>
        <w:rPr>
          <w:rFonts w:hint="eastAsia" w:ascii="仿宋_GB2312" w:eastAsia="仿宋_GB2312"/>
          <w:color w:val="auto"/>
          <w:sz w:val="32"/>
          <w:szCs w:val="32"/>
          <w:highlight w:val="none"/>
        </w:rPr>
        <w:t>指事业单位在专业业务活动及其辅助活动之外开展非独立核算经营活动发生的支出。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十二、</w:t>
      </w:r>
      <w:r>
        <w:rPr>
          <w:rFonts w:hint="eastAsia" w:ascii="仿宋_GB2312" w:eastAsia="仿宋_GB2312"/>
          <w:b/>
          <w:bCs/>
          <w:color w:val="auto"/>
          <w:sz w:val="32"/>
          <w:szCs w:val="32"/>
          <w:highlight w:val="none"/>
        </w:rPr>
        <w:t>对附属单位补助支出：</w:t>
      </w:r>
      <w:r>
        <w:rPr>
          <w:rFonts w:hint="eastAsia" w:ascii="仿宋_GB2312" w:eastAsia="仿宋_GB2312"/>
          <w:color w:val="auto"/>
          <w:sz w:val="32"/>
          <w:szCs w:val="32"/>
          <w:highlight w:val="none"/>
        </w:rPr>
        <w:t>指事业单位发生的用非财政预算资金对附属单位的补助支出。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lang w:eastAsia="zh-CN"/>
        </w:rPr>
      </w:pPr>
      <w:r>
        <w:rPr>
          <w:rFonts w:hint="eastAsia" w:ascii="仿宋_GB2312" w:eastAsia="仿宋_GB2312"/>
          <w:b/>
          <w:bCs/>
          <w:color w:val="auto"/>
          <w:sz w:val="32"/>
          <w:szCs w:val="32"/>
          <w:highlight w:val="none"/>
          <w:lang w:val="en-US" w:eastAsia="zh-CN"/>
        </w:rPr>
        <w:t>十三、</w:t>
      </w:r>
      <w:r>
        <w:rPr>
          <w:rFonts w:hint="eastAsia" w:ascii="仿宋_GB2312" w:eastAsia="仿宋_GB2312"/>
          <w:b/>
          <w:bCs/>
          <w:color w:val="auto"/>
          <w:sz w:val="32"/>
          <w:szCs w:val="32"/>
          <w:highlight w:val="none"/>
        </w:rPr>
        <w:t>“三公”经费：</w:t>
      </w:r>
      <w:r>
        <w:rPr>
          <w:rFonts w:hint="eastAsia" w:ascii="仿宋_GB2312" w:eastAsia="仿宋_GB2312"/>
          <w:color w:val="auto"/>
          <w:sz w:val="32"/>
          <w:szCs w:val="32"/>
          <w:highlight w:val="none"/>
        </w:rPr>
        <w:t>指用财政拨款安排的因公出国（境）费、公务用车购置及运行费和公务接待费。其中，因公出国（境）费反映单位公务出国（境）的</w:t>
      </w:r>
      <w:r>
        <w:rPr>
          <w:rFonts w:hint="eastAsia" w:ascii="仿宋_GB2312" w:eastAsia="仿宋_GB2312"/>
          <w:color w:val="auto"/>
          <w:sz w:val="32"/>
          <w:szCs w:val="32"/>
          <w:highlight w:val="none"/>
          <w:lang w:eastAsia="zh-CN"/>
        </w:rPr>
        <w:t>国际旅费、国外城市间交通费、</w:t>
      </w:r>
      <w:r>
        <w:rPr>
          <w:rFonts w:hint="eastAsia" w:ascii="仿宋_GB2312" w:eastAsia="仿宋_GB2312"/>
          <w:color w:val="auto"/>
          <w:sz w:val="32"/>
          <w:szCs w:val="32"/>
          <w:highlight w:val="none"/>
        </w:rPr>
        <w:t>住宿费、伙食费、培训费、</w:t>
      </w:r>
      <w:r>
        <w:rPr>
          <w:rFonts w:hint="eastAsia" w:ascii="仿宋_GB2312" w:eastAsia="仿宋_GB2312"/>
          <w:color w:val="auto"/>
          <w:sz w:val="32"/>
          <w:szCs w:val="32"/>
          <w:highlight w:val="none"/>
          <w:lang w:eastAsia="zh-CN"/>
        </w:rPr>
        <w:t>公</w:t>
      </w:r>
      <w:r>
        <w:rPr>
          <w:rFonts w:hint="eastAsia" w:ascii="仿宋_GB2312" w:eastAsia="仿宋_GB2312"/>
          <w:color w:val="auto"/>
          <w:sz w:val="32"/>
          <w:szCs w:val="32"/>
          <w:highlight w:val="none"/>
        </w:rPr>
        <w:t>杂费等支出；公务用车购置费</w:t>
      </w:r>
      <w:r>
        <w:rPr>
          <w:rFonts w:hint="eastAsia" w:ascii="仿宋_GB2312" w:eastAsia="仿宋_GB2312"/>
          <w:color w:val="auto"/>
          <w:sz w:val="32"/>
          <w:szCs w:val="32"/>
          <w:highlight w:val="none"/>
          <w:lang w:eastAsia="zh-CN"/>
        </w:rPr>
        <w:t>反映公务用车购置支出（含车辆购置税、牌照费）；</w:t>
      </w:r>
      <w:r>
        <w:rPr>
          <w:rFonts w:hint="eastAsia" w:ascii="仿宋_GB2312" w:eastAsia="仿宋_GB2312"/>
          <w:color w:val="auto"/>
          <w:sz w:val="32"/>
          <w:szCs w:val="32"/>
          <w:highlight w:val="none"/>
        </w:rPr>
        <w:t>公务用车运行</w:t>
      </w:r>
      <w:r>
        <w:rPr>
          <w:rFonts w:hint="eastAsia" w:ascii="仿宋_GB2312" w:eastAsia="仿宋_GB2312"/>
          <w:color w:val="auto"/>
          <w:sz w:val="32"/>
          <w:szCs w:val="32"/>
          <w:highlight w:val="none"/>
          <w:lang w:eastAsia="zh-CN"/>
        </w:rPr>
        <w:t>维护</w:t>
      </w:r>
      <w:r>
        <w:rPr>
          <w:rFonts w:hint="eastAsia" w:ascii="仿宋_GB2312" w:eastAsia="仿宋_GB2312"/>
          <w:color w:val="auto"/>
          <w:sz w:val="32"/>
          <w:szCs w:val="32"/>
          <w:highlight w:val="none"/>
        </w:rPr>
        <w:t>费反映</w:t>
      </w:r>
      <w:r>
        <w:rPr>
          <w:rFonts w:hint="eastAsia" w:ascii="仿宋_GB2312" w:eastAsia="仿宋_GB2312"/>
          <w:color w:val="auto"/>
          <w:sz w:val="32"/>
          <w:szCs w:val="32"/>
          <w:highlight w:val="none"/>
          <w:lang w:eastAsia="zh-CN"/>
        </w:rPr>
        <w:t>单位按规定保留的公务用车燃料费、维修费、</w:t>
      </w:r>
      <w:r>
        <w:rPr>
          <w:rFonts w:hint="eastAsia" w:ascii="仿宋_GB2312" w:eastAsia="仿宋_GB2312"/>
          <w:color w:val="auto"/>
          <w:sz w:val="32"/>
          <w:szCs w:val="32"/>
          <w:highlight w:val="none"/>
        </w:rPr>
        <w:t>过路过桥费、保险费、安全奖励费用等支出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公务接待费反映单位按规定开支的各类公务接待（含外宾接待）</w:t>
      </w:r>
      <w:r>
        <w:rPr>
          <w:rFonts w:hint="eastAsia" w:ascii="仿宋_GB2312" w:eastAsia="仿宋_GB2312"/>
          <w:color w:val="auto"/>
          <w:sz w:val="32"/>
          <w:szCs w:val="32"/>
          <w:highlight w:val="none"/>
          <w:lang w:eastAsia="zh-CN"/>
        </w:rPr>
        <w:t>费用</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十四、</w:t>
      </w:r>
      <w:r>
        <w:rPr>
          <w:rFonts w:hint="eastAsia" w:ascii="仿宋_GB2312" w:eastAsia="仿宋_GB2312"/>
          <w:b/>
          <w:bCs/>
          <w:color w:val="auto"/>
          <w:sz w:val="32"/>
          <w:szCs w:val="32"/>
          <w:highlight w:val="none"/>
        </w:rPr>
        <w:t>机关运行经费：</w:t>
      </w:r>
      <w:r>
        <w:rPr>
          <w:rFonts w:hint="eastAsia" w:ascii="仿宋_GB2312" w:eastAsia="仿宋_GB2312"/>
          <w:color w:val="auto"/>
          <w:sz w:val="32"/>
          <w:szCs w:val="32"/>
          <w:highlight w:val="none"/>
        </w:rPr>
        <w:t>行政单位和参照公务员法管理的事业单位财政拨款基本支出中的公用经费支出。</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outlineLvl w:val="0"/>
        <w:rPr>
          <w:rFonts w:hint="eastAsia" w:ascii="黑体" w:hAnsi="黑体" w:eastAsia="黑体"/>
          <w:color w:val="auto"/>
          <w:sz w:val="32"/>
          <w:szCs w:val="32"/>
          <w:highlight w:val="none"/>
        </w:rPr>
      </w:pPr>
      <w:r>
        <w:rPr>
          <w:rFonts w:hint="eastAsia" w:ascii="仿宋_GB2312" w:eastAsia="仿宋_GB2312"/>
          <w:color w:val="auto"/>
          <w:sz w:val="32"/>
          <w:szCs w:val="32"/>
          <w:highlight w:val="none"/>
        </w:rPr>
        <w:br w:type="page"/>
      </w:r>
      <w:r>
        <w:rPr>
          <w:rFonts w:hint="eastAsia" w:ascii="黑体" w:hAnsi="黑体" w:eastAsia="黑体" w:cs="黑体"/>
          <w:color w:val="auto"/>
          <w:sz w:val="32"/>
          <w:szCs w:val="32"/>
          <w:highlight w:val="none"/>
        </w:rPr>
        <w:t>第四部分 部门决算报表（见附表）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2" w:name="_Toc2183"/>
      <w:bookmarkStart w:id="33" w:name="_Toc6062"/>
      <w:r>
        <w:rPr>
          <w:rFonts w:hint="eastAsia" w:ascii="黑体" w:hAnsi="黑体" w:eastAsia="仿宋_GB2312" w:cs="宋体"/>
          <w:bCs/>
          <w:color w:val="auto"/>
          <w:kern w:val="0"/>
          <w:sz w:val="32"/>
          <w:szCs w:val="32"/>
          <w:highlight w:val="none"/>
        </w:rPr>
        <w:t>一、《收入支出决算总表》</w:t>
      </w:r>
      <w:bookmarkEnd w:id="32"/>
      <w:bookmarkEnd w:id="3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4" w:name="_Toc30364"/>
      <w:bookmarkStart w:id="35" w:name="_Toc24532"/>
      <w:r>
        <w:rPr>
          <w:rFonts w:hint="eastAsia" w:ascii="黑体" w:hAnsi="黑体" w:eastAsia="仿宋_GB2312" w:cs="宋体"/>
          <w:bCs/>
          <w:color w:val="auto"/>
          <w:kern w:val="0"/>
          <w:sz w:val="32"/>
          <w:szCs w:val="32"/>
          <w:highlight w:val="none"/>
        </w:rPr>
        <w:t>二、《收入决算表》</w:t>
      </w:r>
      <w:bookmarkEnd w:id="34"/>
      <w:bookmarkEnd w:id="3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6" w:name="_Toc21304"/>
      <w:bookmarkStart w:id="37" w:name="_Toc32434"/>
      <w:r>
        <w:rPr>
          <w:rFonts w:hint="eastAsia" w:ascii="黑体" w:hAnsi="黑体" w:eastAsia="仿宋_GB2312" w:cs="宋体"/>
          <w:bCs/>
          <w:color w:val="auto"/>
          <w:kern w:val="0"/>
          <w:sz w:val="32"/>
          <w:szCs w:val="32"/>
          <w:highlight w:val="none"/>
        </w:rPr>
        <w:t>三、《支出决算表》</w:t>
      </w:r>
      <w:bookmarkEnd w:id="36"/>
      <w:bookmarkEnd w:id="3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8" w:name="_Toc28786"/>
      <w:bookmarkStart w:id="39" w:name="_Toc14238"/>
      <w:r>
        <w:rPr>
          <w:rFonts w:hint="eastAsia" w:ascii="黑体" w:hAnsi="黑体" w:eastAsia="仿宋_GB2312" w:cs="宋体"/>
          <w:bCs/>
          <w:color w:val="auto"/>
          <w:kern w:val="0"/>
          <w:sz w:val="32"/>
          <w:szCs w:val="32"/>
          <w:highlight w:val="none"/>
        </w:rPr>
        <w:t>四、《财政拨款收入支出决算总表》</w:t>
      </w:r>
      <w:bookmarkEnd w:id="38"/>
      <w:bookmarkEnd w:id="3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0" w:name="_Toc14869"/>
      <w:bookmarkStart w:id="41" w:name="_Toc10347"/>
      <w:r>
        <w:rPr>
          <w:rFonts w:hint="eastAsia" w:ascii="黑体" w:hAnsi="黑体" w:eastAsia="仿宋_GB2312" w:cs="宋体"/>
          <w:bCs/>
          <w:color w:val="auto"/>
          <w:kern w:val="0"/>
          <w:sz w:val="32"/>
          <w:szCs w:val="32"/>
          <w:highlight w:val="none"/>
        </w:rPr>
        <w:t>五、《一般公共预算财政拨款支出决算表》</w:t>
      </w:r>
      <w:bookmarkEnd w:id="40"/>
      <w:bookmarkEnd w:id="4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2" w:name="_Toc5626"/>
      <w:bookmarkStart w:id="43" w:name="_Toc8884"/>
      <w:r>
        <w:rPr>
          <w:rFonts w:hint="eastAsia" w:ascii="黑体" w:hAnsi="黑体" w:eastAsia="仿宋_GB2312" w:cs="宋体"/>
          <w:bCs/>
          <w:color w:val="auto"/>
          <w:kern w:val="0"/>
          <w:sz w:val="32"/>
          <w:szCs w:val="32"/>
          <w:highlight w:val="none"/>
        </w:rPr>
        <w:t>六、《一般公共预算财政拨款基本支出决算表》</w:t>
      </w:r>
      <w:bookmarkEnd w:id="42"/>
      <w:bookmarkEnd w:id="4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rPr>
        <w:t>七、</w:t>
      </w:r>
      <w:bookmarkStart w:id="44" w:name="_Toc32663"/>
      <w:bookmarkStart w:id="45" w:name="_Toc29106"/>
      <w:r>
        <w:rPr>
          <w:rFonts w:hint="eastAsia" w:ascii="黑体" w:hAnsi="黑体" w:eastAsia="仿宋_GB2312" w:cs="宋体"/>
          <w:bCs/>
          <w:color w:val="auto"/>
          <w:kern w:val="0"/>
          <w:sz w:val="32"/>
          <w:szCs w:val="32"/>
          <w:highlight w:val="none"/>
        </w:rPr>
        <w:t>《财政拨款“三公”经费支出决算表》</w:t>
      </w:r>
      <w:bookmarkEnd w:id="44"/>
      <w:bookmarkEnd w:id="4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6" w:name="_Toc7643"/>
      <w:bookmarkStart w:id="47" w:name="_Toc5453"/>
      <w:r>
        <w:rPr>
          <w:rFonts w:hint="eastAsia" w:ascii="黑体" w:hAnsi="黑体" w:eastAsia="仿宋_GB2312" w:cs="宋体"/>
          <w:bCs/>
          <w:color w:val="auto"/>
          <w:kern w:val="0"/>
          <w:sz w:val="32"/>
          <w:szCs w:val="32"/>
          <w:highlight w:val="none"/>
        </w:rPr>
        <w:t>八、《政府性基金预算财政拨款收入支出决算表》</w:t>
      </w:r>
      <w:bookmarkEnd w:id="46"/>
      <w:bookmarkEnd w:id="4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lang w:val="en-US" w:eastAsia="zh-CN"/>
        </w:rPr>
        <w:t>九</w:t>
      </w:r>
      <w:r>
        <w:rPr>
          <w:rFonts w:hint="eastAsia" w:ascii="黑体" w:hAnsi="黑体" w:eastAsia="仿宋_GB2312" w:cs="宋体"/>
          <w:bCs/>
          <w:color w:val="auto"/>
          <w:kern w:val="0"/>
          <w:sz w:val="32"/>
          <w:szCs w:val="32"/>
          <w:highlight w:val="none"/>
        </w:rPr>
        <w:t>、《</w:t>
      </w:r>
      <w:r>
        <w:rPr>
          <w:rFonts w:hint="eastAsia" w:ascii="黑体" w:hAnsi="黑体" w:eastAsia="仿宋_GB2312" w:cs="宋体"/>
          <w:bCs/>
          <w:color w:val="auto"/>
          <w:kern w:val="0"/>
          <w:sz w:val="32"/>
          <w:szCs w:val="32"/>
          <w:highlight w:val="none"/>
          <w:lang w:eastAsia="zh-CN"/>
        </w:rPr>
        <w:t>国有资本经营</w:t>
      </w:r>
      <w:r>
        <w:rPr>
          <w:rFonts w:hint="eastAsia" w:ascii="黑体" w:hAnsi="黑体" w:eastAsia="仿宋_GB2312" w:cs="宋体"/>
          <w:bCs/>
          <w:color w:val="auto"/>
          <w:kern w:val="0"/>
          <w:sz w:val="32"/>
          <w:szCs w:val="32"/>
          <w:highlight w:val="none"/>
        </w:rPr>
        <w:t>预算财政拨款收入支出决算表》</w:t>
      </w:r>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微软雅黑"/>
    <w:panose1 w:val="02000000000000000000"/>
    <w:charset w:val="86"/>
    <w:family w:val="script"/>
    <w:pitch w:val="default"/>
    <w:sig w:usb0="00000000" w:usb1="00000000" w:usb2="00082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M3ZDYwNjg1ZjU0OWUzODg2NDlmOWVjNTUxNzAxMzIifQ=="/>
    <w:docVar w:name="KSO_WPS_MARK_KEY" w:val="41ee2a61-2d54-4f93-83be-afdb9a40d732"/>
  </w:docVars>
  <w:rsids>
    <w:rsidRoot w:val="00000000"/>
    <w:rsid w:val="00213C59"/>
    <w:rsid w:val="003210CE"/>
    <w:rsid w:val="00B70D59"/>
    <w:rsid w:val="00F52A8D"/>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3A63F7"/>
    <w:rsid w:val="0D4903E8"/>
    <w:rsid w:val="0D52521D"/>
    <w:rsid w:val="0D7A4A46"/>
    <w:rsid w:val="0E59465B"/>
    <w:rsid w:val="0E640559"/>
    <w:rsid w:val="0F1113DA"/>
    <w:rsid w:val="0F78534A"/>
    <w:rsid w:val="0F89358A"/>
    <w:rsid w:val="0F8C6D51"/>
    <w:rsid w:val="105B0B5E"/>
    <w:rsid w:val="112E58D0"/>
    <w:rsid w:val="11731CAC"/>
    <w:rsid w:val="119500A0"/>
    <w:rsid w:val="11C0733B"/>
    <w:rsid w:val="11D50D17"/>
    <w:rsid w:val="120E0809"/>
    <w:rsid w:val="127F665A"/>
    <w:rsid w:val="12F7068C"/>
    <w:rsid w:val="136A57AA"/>
    <w:rsid w:val="14207DC0"/>
    <w:rsid w:val="146B525B"/>
    <w:rsid w:val="14B932DA"/>
    <w:rsid w:val="150A66AF"/>
    <w:rsid w:val="154C1139"/>
    <w:rsid w:val="158C5B77"/>
    <w:rsid w:val="160D1149"/>
    <w:rsid w:val="163563C0"/>
    <w:rsid w:val="164315EF"/>
    <w:rsid w:val="16557DFE"/>
    <w:rsid w:val="167268FB"/>
    <w:rsid w:val="16770D0A"/>
    <w:rsid w:val="16D50C50"/>
    <w:rsid w:val="16E120E1"/>
    <w:rsid w:val="17385A05"/>
    <w:rsid w:val="173B3901"/>
    <w:rsid w:val="173F44BB"/>
    <w:rsid w:val="176747F9"/>
    <w:rsid w:val="1770071F"/>
    <w:rsid w:val="17954A6E"/>
    <w:rsid w:val="180059E9"/>
    <w:rsid w:val="184510FD"/>
    <w:rsid w:val="190648B0"/>
    <w:rsid w:val="19071D6C"/>
    <w:rsid w:val="19D26CD4"/>
    <w:rsid w:val="19E60D19"/>
    <w:rsid w:val="1A3E3450"/>
    <w:rsid w:val="1AD807E5"/>
    <w:rsid w:val="1B39345B"/>
    <w:rsid w:val="1B65531B"/>
    <w:rsid w:val="1BFB2A1F"/>
    <w:rsid w:val="1C015D4A"/>
    <w:rsid w:val="1C290ED5"/>
    <w:rsid w:val="1C317E4F"/>
    <w:rsid w:val="1C472464"/>
    <w:rsid w:val="1CFD4D4B"/>
    <w:rsid w:val="1D22799A"/>
    <w:rsid w:val="1D5C1A72"/>
    <w:rsid w:val="1DAF458D"/>
    <w:rsid w:val="1E086ACE"/>
    <w:rsid w:val="1E62130A"/>
    <w:rsid w:val="1E97358B"/>
    <w:rsid w:val="1EAA4A5F"/>
    <w:rsid w:val="1EE869A7"/>
    <w:rsid w:val="1FA15E62"/>
    <w:rsid w:val="1FED69B6"/>
    <w:rsid w:val="203555BD"/>
    <w:rsid w:val="2064678E"/>
    <w:rsid w:val="209A2298"/>
    <w:rsid w:val="20DC1AB9"/>
    <w:rsid w:val="20DD6197"/>
    <w:rsid w:val="212631E0"/>
    <w:rsid w:val="21425634"/>
    <w:rsid w:val="21A53757"/>
    <w:rsid w:val="22087AD3"/>
    <w:rsid w:val="221236C6"/>
    <w:rsid w:val="22D7662C"/>
    <w:rsid w:val="23326B7F"/>
    <w:rsid w:val="2380045B"/>
    <w:rsid w:val="23BC04D2"/>
    <w:rsid w:val="23EF1892"/>
    <w:rsid w:val="24092228"/>
    <w:rsid w:val="2483647E"/>
    <w:rsid w:val="24A32D55"/>
    <w:rsid w:val="25292727"/>
    <w:rsid w:val="252E5CA9"/>
    <w:rsid w:val="255A23F9"/>
    <w:rsid w:val="256F7692"/>
    <w:rsid w:val="25BA2154"/>
    <w:rsid w:val="25C8773F"/>
    <w:rsid w:val="264A7253"/>
    <w:rsid w:val="26F0170C"/>
    <w:rsid w:val="27201D62"/>
    <w:rsid w:val="27286E73"/>
    <w:rsid w:val="27CF2642"/>
    <w:rsid w:val="27E777F5"/>
    <w:rsid w:val="27EA1D4C"/>
    <w:rsid w:val="27EA2E41"/>
    <w:rsid w:val="27F03F5D"/>
    <w:rsid w:val="282459E2"/>
    <w:rsid w:val="283A7FE5"/>
    <w:rsid w:val="285F51FF"/>
    <w:rsid w:val="28DF2665"/>
    <w:rsid w:val="29072599"/>
    <w:rsid w:val="291029F3"/>
    <w:rsid w:val="29947C5F"/>
    <w:rsid w:val="29CB58F0"/>
    <w:rsid w:val="2A053397"/>
    <w:rsid w:val="2A145E96"/>
    <w:rsid w:val="2A2131BB"/>
    <w:rsid w:val="2A5102BF"/>
    <w:rsid w:val="2A812015"/>
    <w:rsid w:val="2AF5378F"/>
    <w:rsid w:val="2BB94DBF"/>
    <w:rsid w:val="2C6F314E"/>
    <w:rsid w:val="2CC206BE"/>
    <w:rsid w:val="2D1136DF"/>
    <w:rsid w:val="2D20606D"/>
    <w:rsid w:val="2DB87198"/>
    <w:rsid w:val="2DB93C54"/>
    <w:rsid w:val="2DE60FE9"/>
    <w:rsid w:val="2E3D144C"/>
    <w:rsid w:val="2E891204"/>
    <w:rsid w:val="2F3F0A28"/>
    <w:rsid w:val="2FBF7029"/>
    <w:rsid w:val="2FD0187F"/>
    <w:rsid w:val="2FD27414"/>
    <w:rsid w:val="2FFE4BB0"/>
    <w:rsid w:val="300E7B60"/>
    <w:rsid w:val="300F6E18"/>
    <w:rsid w:val="30294C50"/>
    <w:rsid w:val="30862F5F"/>
    <w:rsid w:val="314029C9"/>
    <w:rsid w:val="31C63837"/>
    <w:rsid w:val="31C82E39"/>
    <w:rsid w:val="32601BAD"/>
    <w:rsid w:val="329F6389"/>
    <w:rsid w:val="3389023A"/>
    <w:rsid w:val="33CB74FA"/>
    <w:rsid w:val="343642F2"/>
    <w:rsid w:val="343F3010"/>
    <w:rsid w:val="345D0A00"/>
    <w:rsid w:val="34713BFD"/>
    <w:rsid w:val="34C13589"/>
    <w:rsid w:val="353369E3"/>
    <w:rsid w:val="35C40CA8"/>
    <w:rsid w:val="35E00D72"/>
    <w:rsid w:val="36965B9D"/>
    <w:rsid w:val="36C549FD"/>
    <w:rsid w:val="37A755DD"/>
    <w:rsid w:val="37F94FA0"/>
    <w:rsid w:val="380D3381"/>
    <w:rsid w:val="38115B1F"/>
    <w:rsid w:val="385E3AC3"/>
    <w:rsid w:val="387D6B9E"/>
    <w:rsid w:val="38B75FF0"/>
    <w:rsid w:val="38CA174B"/>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3FFE7BEC"/>
    <w:rsid w:val="40094AEF"/>
    <w:rsid w:val="405470BD"/>
    <w:rsid w:val="40794A29"/>
    <w:rsid w:val="40834692"/>
    <w:rsid w:val="41431AD5"/>
    <w:rsid w:val="414B3C0F"/>
    <w:rsid w:val="417C1CE7"/>
    <w:rsid w:val="41900018"/>
    <w:rsid w:val="41944406"/>
    <w:rsid w:val="41962EF5"/>
    <w:rsid w:val="41CE128F"/>
    <w:rsid w:val="41DA6F12"/>
    <w:rsid w:val="42171FB1"/>
    <w:rsid w:val="434E6957"/>
    <w:rsid w:val="439F30F5"/>
    <w:rsid w:val="43BA0E31"/>
    <w:rsid w:val="43C15147"/>
    <w:rsid w:val="43E14DD2"/>
    <w:rsid w:val="43F800E9"/>
    <w:rsid w:val="440305EA"/>
    <w:rsid w:val="443A7E4B"/>
    <w:rsid w:val="44E86C19"/>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6A2833"/>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42D6A"/>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2A0615"/>
    <w:rsid w:val="5F350BDE"/>
    <w:rsid w:val="5F61632C"/>
    <w:rsid w:val="5F9F3570"/>
    <w:rsid w:val="5FA17648"/>
    <w:rsid w:val="5FE705CB"/>
    <w:rsid w:val="603D5080"/>
    <w:rsid w:val="609906C0"/>
    <w:rsid w:val="60D0261B"/>
    <w:rsid w:val="618E3791"/>
    <w:rsid w:val="61947DCA"/>
    <w:rsid w:val="61A46A97"/>
    <w:rsid w:val="61D1382F"/>
    <w:rsid w:val="61DD1805"/>
    <w:rsid w:val="61F114A2"/>
    <w:rsid w:val="621E68C3"/>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5F52031"/>
    <w:rsid w:val="66085536"/>
    <w:rsid w:val="66105BF7"/>
    <w:rsid w:val="66150023"/>
    <w:rsid w:val="6628010D"/>
    <w:rsid w:val="669B4528"/>
    <w:rsid w:val="66CC12D7"/>
    <w:rsid w:val="67134CEF"/>
    <w:rsid w:val="671F1ABD"/>
    <w:rsid w:val="67521A59"/>
    <w:rsid w:val="67C304AB"/>
    <w:rsid w:val="681E1E1B"/>
    <w:rsid w:val="683F0658"/>
    <w:rsid w:val="689C6793"/>
    <w:rsid w:val="68DB0208"/>
    <w:rsid w:val="68FB170C"/>
    <w:rsid w:val="691B3D98"/>
    <w:rsid w:val="693748F0"/>
    <w:rsid w:val="69846A0E"/>
    <w:rsid w:val="69AA1366"/>
    <w:rsid w:val="69AD798C"/>
    <w:rsid w:val="69D005C0"/>
    <w:rsid w:val="69D80B96"/>
    <w:rsid w:val="69DA7573"/>
    <w:rsid w:val="6B68175F"/>
    <w:rsid w:val="6BFD799F"/>
    <w:rsid w:val="6C012FB0"/>
    <w:rsid w:val="6C4A2E5A"/>
    <w:rsid w:val="6C8138D0"/>
    <w:rsid w:val="6CEF0725"/>
    <w:rsid w:val="6D4B2604"/>
    <w:rsid w:val="6D8030E4"/>
    <w:rsid w:val="6E0E35C4"/>
    <w:rsid w:val="6E0F7A08"/>
    <w:rsid w:val="6E3947F5"/>
    <w:rsid w:val="6E9C74ED"/>
    <w:rsid w:val="6EF72976"/>
    <w:rsid w:val="6F2A51DC"/>
    <w:rsid w:val="6F795A80"/>
    <w:rsid w:val="6F7C1D2E"/>
    <w:rsid w:val="6F8E0407"/>
    <w:rsid w:val="6FC32D6B"/>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E93ABF"/>
    <w:rsid w:val="7CF057E2"/>
    <w:rsid w:val="7D1548B5"/>
    <w:rsid w:val="7D59210E"/>
    <w:rsid w:val="7DF84014"/>
    <w:rsid w:val="7E207949"/>
    <w:rsid w:val="7E5C0A47"/>
    <w:rsid w:val="7E670C75"/>
    <w:rsid w:val="7EE24272"/>
    <w:rsid w:val="7EEA6053"/>
    <w:rsid w:val="7F0E257D"/>
    <w:rsid w:val="7F487C04"/>
    <w:rsid w:val="7FB45F21"/>
    <w:rsid w:val="7FE57088"/>
    <w:rsid w:val="7FF37FA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11">
    <w:name w:val="Strong"/>
    <w:basedOn w:val="10"/>
    <w:qFormat/>
    <w:uiPriority w:val="0"/>
    <w:rPr>
      <w:b/>
    </w:rPr>
  </w:style>
  <w:style w:type="paragraph" w:customStyle="1" w:styleId="12">
    <w:name w:val="WPSOffice手动目录 3"/>
    <w:qFormat/>
    <w:uiPriority w:val="0"/>
    <w:pPr>
      <w:ind w:leftChars="400"/>
    </w:pPr>
    <w:rPr>
      <w:rFonts w:ascii="Times New Roman" w:hAnsi="Times New Roman" w:eastAsia="宋体" w:cs="Times New Roman"/>
      <w:sz w:val="20"/>
      <w:szCs w:val="20"/>
    </w:rPr>
  </w:style>
  <w:style w:type="paragraph" w:customStyle="1" w:styleId="13">
    <w:name w:val="WPSOffice手动目录 2"/>
    <w:qFormat/>
    <w:uiPriority w:val="0"/>
    <w:pPr>
      <w:ind w:leftChars="200"/>
    </w:pPr>
    <w:rPr>
      <w:rFonts w:ascii="Times New Roman" w:hAnsi="Times New Roman" w:eastAsia="宋体" w:cs="Times New Roman"/>
      <w:sz w:val="20"/>
      <w:szCs w:val="20"/>
    </w:rPr>
  </w:style>
  <w:style w:type="paragraph" w:customStyle="1" w:styleId="14">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17</Pages>
  <Words>5695</Words>
  <Characters>6485</Characters>
  <Lines>0</Lines>
  <Paragraphs>0</Paragraphs>
  <TotalTime>0</TotalTime>
  <ScaleCrop>false</ScaleCrop>
  <LinksUpToDate>false</LinksUpToDate>
  <CharactersWithSpaces>6514</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Administrator</cp:lastModifiedBy>
  <cp:lastPrinted>2024-08-20T08:50:00Z</cp:lastPrinted>
  <dcterms:modified xsi:type="dcterms:W3CDTF">2024-09-07T13:32:08Z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D624B15633CD43C8BF9435464A96BF70</vt:lpwstr>
  </property>
</Properties>
</file>