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368483">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0B0FCE9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7E28363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新疆维吾尔自治区自然资源规划研究院</w:t>
      </w:r>
    </w:p>
    <w:p w14:paraId="5F60321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部门决算公开说明</w:t>
      </w:r>
    </w:p>
    <w:p w14:paraId="27B929BF">
      <w:pPr>
        <w:jc w:val="cente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98484DC">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2F8C29A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2C68064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6F4FD1B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60D9813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1060D2B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191C637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09D2550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038347C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32BB3A1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31BE146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29B5617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FD8A38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76A87F4">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77EF8BB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433C1FD">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1C58D83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1DBDA65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7B1A7E5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7AA0FAA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6A18BF6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018E9DF2">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61B4E60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76E2E00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25B1C0E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6D4E9FB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7B7C8F6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187E3E1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68DD19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49B6829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D0185E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12E3D45F">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2A2FF6AF">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317EBB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color w:val="auto"/>
          <w:sz w:val="32"/>
          <w:szCs w:val="32"/>
          <w:highlight w:val="none"/>
        </w:rPr>
      </w:pPr>
      <w:bookmarkStart w:id="0" w:name="_Toc24028"/>
      <w:bookmarkStart w:id="1" w:name="_Toc32314"/>
      <w:r>
        <w:rPr>
          <w:rFonts w:hint="eastAsia" w:ascii="黑体" w:hAnsi="黑体" w:eastAsia="黑体" w:cs="黑体"/>
          <w:color w:val="auto"/>
          <w:sz w:val="32"/>
          <w:szCs w:val="32"/>
          <w:highlight w:val="none"/>
        </w:rPr>
        <w:t xml:space="preserve">第一部分 </w:t>
      </w:r>
      <w:r>
        <w:rPr>
          <w:rFonts w:hint="eastAsia" w:ascii="黑体" w:hAnsi="黑体" w:eastAsia="黑体" w:cs="黑体"/>
          <w:color w:val="auto"/>
          <w:sz w:val="32"/>
          <w:szCs w:val="32"/>
          <w:highlight w:val="none"/>
          <w:lang w:eastAsia="zh-CN"/>
        </w:rPr>
        <w:t>单位</w:t>
      </w:r>
      <w:r>
        <w:rPr>
          <w:rFonts w:hint="eastAsia" w:ascii="黑体" w:hAnsi="黑体" w:eastAsia="黑体" w:cs="黑体"/>
          <w:color w:val="auto"/>
          <w:sz w:val="32"/>
          <w:szCs w:val="32"/>
          <w:highlight w:val="none"/>
        </w:rPr>
        <w:t>概况</w:t>
      </w:r>
      <w:bookmarkEnd w:id="0"/>
      <w:bookmarkEnd w:id="1"/>
    </w:p>
    <w:p w14:paraId="1A154B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73E3539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lang w:eastAsia="zh-CN"/>
        </w:rPr>
      </w:pPr>
      <w:bookmarkStart w:id="4" w:name="_Toc31238"/>
      <w:bookmarkStart w:id="5" w:name="_Toc2151"/>
      <w:r>
        <w:rPr>
          <w:rFonts w:ascii="仿宋_GB2312" w:eastAsia="仿宋_GB2312"/>
          <w:sz w:val="32"/>
          <w:szCs w:val="32"/>
        </w:rPr>
        <w:t>（1）承担自治区土地利用，矿产资源总体规划及专项规划业务技术工作，参与指导地、州、市、县（市）土地利用、矿产资源总体规划的有关技术工作。</w:t>
      </w:r>
    </w:p>
    <w:p w14:paraId="6A42786F">
      <w:pPr>
        <w:rPr>
          <w:rFonts w:hint="eastAsia" w:ascii="仿宋_GB2312" w:eastAsia="仿宋_GB2312"/>
          <w:sz w:val="32"/>
          <w:szCs w:val="32"/>
          <w:lang w:eastAsia="zh-CN"/>
        </w:rPr>
      </w:pPr>
      <w:r>
        <w:rPr>
          <w:rFonts w:ascii="仿宋_GB2312" w:eastAsia="仿宋_GB2312"/>
          <w:sz w:val="32"/>
          <w:szCs w:val="32"/>
        </w:rPr>
        <w:t>　　（2）承担城乡土地资源现状调查评价和动态监测中的技术工作及成果应用和技术指导。</w:t>
      </w:r>
    </w:p>
    <w:p w14:paraId="28BCF572">
      <w:pPr>
        <w:rPr>
          <w:rFonts w:hint="eastAsia" w:ascii="仿宋_GB2312" w:eastAsia="仿宋_GB2312"/>
          <w:sz w:val="32"/>
          <w:szCs w:val="32"/>
          <w:lang w:eastAsia="zh-CN"/>
        </w:rPr>
      </w:pPr>
      <w:r>
        <w:rPr>
          <w:rFonts w:ascii="仿宋_GB2312" w:eastAsia="仿宋_GB2312"/>
          <w:sz w:val="32"/>
          <w:szCs w:val="32"/>
        </w:rPr>
        <w:t>　　（3）承担城乡地籍测量和调查的技术工作。</w:t>
      </w:r>
    </w:p>
    <w:p w14:paraId="4959337D">
      <w:pPr>
        <w:rPr>
          <w:rFonts w:hint="eastAsia" w:ascii="仿宋_GB2312" w:eastAsia="仿宋_GB2312"/>
          <w:sz w:val="32"/>
          <w:szCs w:val="32"/>
          <w:lang w:eastAsia="zh-CN"/>
        </w:rPr>
      </w:pPr>
      <w:r>
        <w:rPr>
          <w:rFonts w:ascii="仿宋_GB2312" w:eastAsia="仿宋_GB2312"/>
          <w:sz w:val="32"/>
          <w:szCs w:val="32"/>
        </w:rPr>
        <w:t>　　（4）从事国家等级内的各项测量工作和制图工作。</w:t>
      </w:r>
    </w:p>
    <w:p w14:paraId="56B48D61">
      <w:pPr>
        <w:rPr>
          <w:rFonts w:hint="eastAsia" w:ascii="仿宋_GB2312" w:eastAsia="仿宋_GB2312"/>
          <w:sz w:val="32"/>
          <w:szCs w:val="32"/>
          <w:lang w:eastAsia="zh-CN"/>
        </w:rPr>
      </w:pPr>
      <w:r>
        <w:rPr>
          <w:rFonts w:ascii="仿宋_GB2312" w:eastAsia="仿宋_GB2312"/>
          <w:sz w:val="32"/>
          <w:szCs w:val="32"/>
        </w:rPr>
        <w:t>　　（5）承担国家、自治区批准建设用地项目的土地权属勘界工作。</w:t>
      </w:r>
    </w:p>
    <w:p w14:paraId="49B8982E">
      <w:pPr>
        <w:rPr>
          <w:rFonts w:hint="eastAsia" w:ascii="仿宋_GB2312" w:eastAsia="仿宋_GB2312"/>
          <w:sz w:val="32"/>
          <w:szCs w:val="32"/>
          <w:lang w:eastAsia="zh-CN"/>
        </w:rPr>
      </w:pPr>
      <w:r>
        <w:rPr>
          <w:rFonts w:ascii="仿宋_GB2312" w:eastAsia="仿宋_GB2312"/>
          <w:sz w:val="32"/>
          <w:szCs w:val="32"/>
        </w:rPr>
        <w:t>　　（6）承担地、州、市土地勘测规划相关业务的技术指导。</w:t>
      </w:r>
    </w:p>
    <w:p w14:paraId="45918BE2">
      <w:pPr>
        <w:rPr>
          <w:rFonts w:hint="eastAsia" w:ascii="仿宋_GB2312" w:eastAsia="仿宋_GB2312"/>
          <w:sz w:val="32"/>
          <w:szCs w:val="32"/>
          <w:lang w:eastAsia="zh-CN"/>
        </w:rPr>
      </w:pPr>
      <w:r>
        <w:rPr>
          <w:rFonts w:ascii="仿宋_GB2312" w:eastAsia="仿宋_GB2312"/>
          <w:sz w:val="32"/>
          <w:szCs w:val="32"/>
        </w:rPr>
        <w:t>　　（7）参与自治区矿产资源补偿费地质勘查项目、矿产资源保护项目和地质勘查专项资金项目的立项审查和成果验收。</w:t>
      </w:r>
    </w:p>
    <w:p w14:paraId="0DB36ECD">
      <w:pPr>
        <w:rPr>
          <w:rFonts w:hint="eastAsia" w:ascii="仿宋_GB2312" w:eastAsia="仿宋_GB2312"/>
          <w:sz w:val="32"/>
          <w:szCs w:val="32"/>
          <w:lang w:eastAsia="zh-CN"/>
        </w:rPr>
      </w:pPr>
      <w:r>
        <w:rPr>
          <w:rFonts w:ascii="仿宋_GB2312" w:eastAsia="仿宋_GB2312"/>
          <w:sz w:val="32"/>
          <w:szCs w:val="32"/>
        </w:rPr>
        <w:t>　　（8）承担自治区矿产资源补偿费地质勘查项目，矿产资源保护项目和地质勘查专项资金项目的设计审核，质量监理。</w:t>
      </w:r>
    </w:p>
    <w:p w14:paraId="73F86593">
      <w:pPr>
        <w:rPr>
          <w:rFonts w:hint="eastAsia" w:ascii="仿宋_GB2312" w:eastAsia="仿宋_GB2312"/>
          <w:sz w:val="32"/>
          <w:szCs w:val="32"/>
          <w:lang w:eastAsia="zh-CN"/>
        </w:rPr>
      </w:pPr>
      <w:r>
        <w:rPr>
          <w:rFonts w:ascii="仿宋_GB2312" w:eastAsia="仿宋_GB2312"/>
          <w:sz w:val="32"/>
          <w:szCs w:val="32"/>
        </w:rPr>
        <w:t>　　（9）承担地、州、市国土资源规划院（队）相关业务的技术指导。</w:t>
      </w:r>
    </w:p>
    <w:p w14:paraId="4672D381">
      <w:pPr>
        <w:rPr>
          <w:rFonts w:hint="eastAsia" w:ascii="仿宋_GB2312" w:eastAsia="仿宋_GB2312"/>
          <w:sz w:val="32"/>
          <w:szCs w:val="32"/>
          <w:lang w:eastAsia="zh-CN"/>
        </w:rPr>
      </w:pPr>
      <w:r>
        <w:rPr>
          <w:rFonts w:ascii="仿宋_GB2312" w:eastAsia="仿宋_GB2312"/>
          <w:sz w:val="32"/>
          <w:szCs w:val="32"/>
        </w:rPr>
        <w:t>　　（10）开展相关的科研工作。</w:t>
      </w:r>
    </w:p>
    <w:p w14:paraId="5FD51DAC">
      <w:pPr>
        <w:rPr>
          <w:rFonts w:ascii="黑体" w:hAnsi="黑体" w:eastAsia="黑体" w:cs="宋体"/>
          <w:bCs/>
          <w:kern w:val="0"/>
          <w:sz w:val="32"/>
          <w:szCs w:val="32"/>
        </w:rPr>
      </w:pPr>
      <w:r>
        <w:rPr>
          <w:rFonts w:ascii="仿宋_GB2312" w:eastAsia="仿宋_GB2312"/>
          <w:sz w:val="32"/>
          <w:szCs w:val="32"/>
        </w:rPr>
        <w:t>承办厅交办的其他事项</w:t>
      </w:r>
      <w:r>
        <w:rPr>
          <w:rFonts w:hint="eastAsia" w:ascii="仿宋_GB2312" w:eastAsia="仿宋_GB2312"/>
          <w:sz w:val="32"/>
          <w:szCs w:val="32"/>
        </w:rPr>
        <w:t>。</w:t>
      </w:r>
    </w:p>
    <w:p w14:paraId="7D8E0B1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3627781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新疆维吾尔自治区自然资源规划研究院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102</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38</w:t>
      </w:r>
      <w:r>
        <w:rPr>
          <w:rFonts w:hint="eastAsia" w:ascii="仿宋_GB2312" w:eastAsia="仿宋_GB2312"/>
          <w:color w:val="auto"/>
          <w:sz w:val="32"/>
          <w:szCs w:val="32"/>
          <w:highlight w:val="none"/>
        </w:rPr>
        <w:t>人。</w:t>
      </w:r>
    </w:p>
    <w:p w14:paraId="57E6FD72">
      <w:pPr>
        <w:ind w:firstLine="640" w:firstLineChars="200"/>
        <w:rPr>
          <w:rFonts w:ascii="仿宋_GB2312" w:eastAsia="仿宋_GB2312"/>
          <w:sz w:val="32"/>
          <w:szCs w:val="32"/>
        </w:rPr>
      </w:pP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kern w:val="0"/>
          <w:sz w:val="32"/>
          <w:szCs w:val="32"/>
        </w:rPr>
        <w:t>下设</w:t>
      </w:r>
      <w:r>
        <w:rPr>
          <w:rFonts w:hint="eastAsia" w:ascii="仿宋_GB2312" w:eastAsia="仿宋_GB2312"/>
          <w:sz w:val="32"/>
          <w:szCs w:val="32"/>
        </w:rPr>
        <w:t>13</w:t>
      </w:r>
      <w:r>
        <w:rPr>
          <w:rFonts w:hint="eastAsia" w:ascii="仿宋_GB2312" w:hAnsi="黑体" w:eastAsia="仿宋_GB2312" w:cs="宋体"/>
          <w:bCs/>
          <w:kern w:val="0"/>
          <w:sz w:val="32"/>
          <w:szCs w:val="32"/>
        </w:rPr>
        <w:t>个处室，分别是：办公室（党办）、财务办公室、人力资源办公室、总工程师办公室、规划所、土地利用所、勘界所、土地调查所、地籍所、矿产所、地政研究中心、土地信息工程与数据中心、学术交流办公室</w:t>
      </w:r>
      <w:r>
        <w:rPr>
          <w:rFonts w:hint="eastAsia" w:ascii="仿宋_GB2312" w:hAnsi="宋体" w:eastAsia="仿宋_GB2312" w:cs="宋体"/>
          <w:kern w:val="0"/>
          <w:sz w:val="32"/>
          <w:szCs w:val="32"/>
        </w:rPr>
        <w:t>。</w:t>
      </w:r>
    </w:p>
    <w:p w14:paraId="3052EC69">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14:paraId="7DC87E3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color w:val="auto"/>
          <w:sz w:val="32"/>
          <w:szCs w:val="32"/>
          <w:highlight w:val="none"/>
        </w:rPr>
      </w:pPr>
      <w:bookmarkStart w:id="6" w:name="_Toc3092"/>
      <w:bookmarkStart w:id="7" w:name="_Toc29374"/>
      <w:r>
        <w:rPr>
          <w:rFonts w:hint="eastAsia" w:ascii="黑体" w:hAnsi="黑体" w:eastAsia="黑体" w:cs="黑体"/>
          <w:color w:val="auto"/>
          <w:sz w:val="32"/>
          <w:szCs w:val="32"/>
          <w:highlight w:val="none"/>
        </w:rPr>
        <w:t>第</w:t>
      </w:r>
      <w:r>
        <w:rPr>
          <w:rFonts w:hint="eastAsia" w:ascii="黑体" w:hAnsi="黑体" w:eastAsia="黑体" w:cs="黑体"/>
          <w:color w:val="auto"/>
          <w:sz w:val="32"/>
          <w:szCs w:val="32"/>
          <w:highlight w:val="none"/>
          <w:lang w:val="en-US" w:eastAsia="zh-CN"/>
        </w:rPr>
        <w:t>二</w:t>
      </w:r>
      <w:r>
        <w:rPr>
          <w:rFonts w:hint="eastAsia" w:ascii="黑体" w:hAnsi="黑体" w:eastAsia="黑体" w:cs="黑体"/>
          <w:color w:val="auto"/>
          <w:sz w:val="32"/>
          <w:szCs w:val="32"/>
          <w:highlight w:val="none"/>
        </w:rPr>
        <w:t>部分 部门决算情况说明</w:t>
      </w:r>
      <w:bookmarkEnd w:id="6"/>
      <w:bookmarkEnd w:id="7"/>
    </w:p>
    <w:p w14:paraId="2D38098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439353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6,953.79万元，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6,217.29万元，使用非财政拨款结余606.71万元，年初结转和结余129.79万元。</w:t>
      </w:r>
    </w:p>
    <w:p w14:paraId="63A3470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6,953.79万元，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6,349.15万元，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519.41万元，年末结转和结余85.23万元。</w:t>
      </w:r>
    </w:p>
    <w:p w14:paraId="62B1F30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增加260.20万元</w:t>
      </w:r>
      <w:r>
        <w:rPr>
          <w:rFonts w:hint="eastAsia" w:ascii="仿宋_GB2312" w:eastAsia="仿宋_GB2312"/>
          <w:color w:val="auto"/>
          <w:spacing w:val="0"/>
          <w:sz w:val="32"/>
          <w:szCs w:val="32"/>
          <w:highlight w:val="none"/>
          <w:lang w:eastAsia="zh-CN"/>
        </w:rPr>
        <w:t>，增长3.89%，主要原因是：</w:t>
      </w:r>
      <w:r>
        <w:rPr>
          <w:rFonts w:hint="eastAsia" w:ascii="仿宋_GB2312" w:eastAsia="仿宋_GB2312"/>
          <w:color w:val="auto"/>
          <w:spacing w:val="0"/>
          <w:sz w:val="32"/>
          <w:szCs w:val="32"/>
          <w:highlight w:val="none"/>
          <w:lang w:val="en-US" w:eastAsia="zh-CN"/>
        </w:rPr>
        <w:t>本年收到科研项目资金，且本年职业年金及在职人员社保、公积金基数调增</w:t>
      </w:r>
      <w:r>
        <w:rPr>
          <w:rFonts w:hint="eastAsia" w:ascii="仿宋_GB2312" w:eastAsia="仿宋_GB2312"/>
          <w:color w:val="auto"/>
          <w:spacing w:val="0"/>
          <w:sz w:val="32"/>
          <w:szCs w:val="32"/>
          <w:highlight w:val="none"/>
          <w:lang w:eastAsia="zh-CN"/>
        </w:rPr>
        <w:t>。</w:t>
      </w:r>
    </w:p>
    <w:p w14:paraId="5739B7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314CBF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6,217.29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4,949.28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79.61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40.00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0.64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1,219.38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19.61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8.63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0.14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5C5AA7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696A0F1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本年支出6,349.15万元，其中：基本支出1,601.99万元，占25.23%；项目支出4,047.18万元，占63.74%；上缴上级支出0.00万元，占0.00%；经营支出699.97万元，占11.02%；对附属单位补助支出0.00万元，占0.00%。</w:t>
      </w:r>
    </w:p>
    <w:p w14:paraId="44B5BB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215FBA1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4,949.28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4,949.28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4,949.28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4,949.28</w:t>
      </w:r>
      <w:r>
        <w:rPr>
          <w:rFonts w:hint="eastAsia" w:ascii="仿宋_GB2312" w:eastAsia="仿宋_GB2312"/>
          <w:color w:val="auto"/>
          <w:spacing w:val="0"/>
          <w:sz w:val="32"/>
          <w:szCs w:val="32"/>
          <w:highlight w:val="none"/>
          <w:lang w:eastAsia="zh-CN"/>
        </w:rPr>
        <w:t>万元。</w:t>
      </w:r>
    </w:p>
    <w:p w14:paraId="6C828C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增加45.51万元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增长0.93%,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本年在职转退休4人追加职业年金及在职人员社保、公积金基数调增（其中：</w:t>
      </w:r>
      <w:r>
        <w:rPr>
          <w:rFonts w:hint="eastAsia" w:ascii="仿宋_GB2312" w:eastAsia="仿宋_GB2312"/>
          <w:color w:val="auto"/>
          <w:spacing w:val="0"/>
          <w:sz w:val="32"/>
          <w:szCs w:val="32"/>
          <w:highlight w:val="none"/>
          <w:lang w:eastAsia="zh-CN"/>
        </w:rPr>
        <w:t>社会保障和就业支出</w:t>
      </w:r>
      <w:r>
        <w:rPr>
          <w:rFonts w:hint="eastAsia" w:ascii="仿宋_GB2312" w:eastAsia="仿宋_GB2312"/>
          <w:color w:val="auto"/>
          <w:spacing w:val="0"/>
          <w:sz w:val="32"/>
          <w:szCs w:val="32"/>
          <w:highlight w:val="none"/>
          <w:lang w:val="en-US" w:eastAsia="zh-CN"/>
        </w:rPr>
        <w:t>增加</w:t>
      </w:r>
      <w:r>
        <w:rPr>
          <w:rFonts w:hint="eastAsia" w:ascii="仿宋_GB2312" w:eastAsia="仿宋_GB2312"/>
          <w:color w:val="auto"/>
          <w:spacing w:val="0"/>
          <w:sz w:val="32"/>
          <w:szCs w:val="32"/>
          <w:highlight w:val="none"/>
          <w:lang w:eastAsia="zh-CN"/>
        </w:rPr>
        <w:t>22.45</w:t>
      </w:r>
      <w:r>
        <w:rPr>
          <w:rFonts w:hint="eastAsia" w:ascii="仿宋_GB2312" w:eastAsia="仿宋_GB2312"/>
          <w:color w:val="auto"/>
          <w:spacing w:val="0"/>
          <w:sz w:val="32"/>
          <w:szCs w:val="32"/>
          <w:highlight w:val="none"/>
          <w:lang w:val="en-US" w:eastAsia="zh-CN"/>
        </w:rPr>
        <w:t>万元，</w:t>
      </w:r>
      <w:r>
        <w:rPr>
          <w:rFonts w:hint="eastAsia" w:ascii="仿宋_GB2312" w:eastAsia="仿宋_GB2312"/>
          <w:color w:val="auto"/>
          <w:spacing w:val="0"/>
          <w:sz w:val="32"/>
          <w:szCs w:val="32"/>
          <w:highlight w:val="none"/>
          <w:lang w:eastAsia="zh-CN"/>
        </w:rPr>
        <w:t>卫生健康支出</w:t>
      </w:r>
      <w:r>
        <w:rPr>
          <w:rFonts w:hint="eastAsia" w:ascii="仿宋_GB2312" w:eastAsia="仿宋_GB2312"/>
          <w:color w:val="auto"/>
          <w:spacing w:val="0"/>
          <w:sz w:val="32"/>
          <w:szCs w:val="32"/>
          <w:highlight w:val="none"/>
          <w:lang w:val="en-US" w:eastAsia="zh-CN"/>
        </w:rPr>
        <w:t>增加</w:t>
      </w:r>
      <w:r>
        <w:rPr>
          <w:rFonts w:hint="eastAsia" w:ascii="仿宋_GB2312" w:eastAsia="仿宋_GB2312"/>
          <w:color w:val="auto"/>
          <w:spacing w:val="0"/>
          <w:sz w:val="32"/>
          <w:szCs w:val="32"/>
          <w:highlight w:val="none"/>
          <w:lang w:eastAsia="zh-CN"/>
        </w:rPr>
        <w:t>13.22</w:t>
      </w:r>
      <w:r>
        <w:rPr>
          <w:rFonts w:hint="eastAsia" w:ascii="仿宋_GB2312" w:eastAsia="仿宋_GB2312"/>
          <w:color w:val="auto"/>
          <w:spacing w:val="0"/>
          <w:sz w:val="32"/>
          <w:szCs w:val="32"/>
          <w:highlight w:val="none"/>
          <w:lang w:val="en-US" w:eastAsia="zh-CN"/>
        </w:rPr>
        <w:t>万元，</w:t>
      </w:r>
      <w:r>
        <w:rPr>
          <w:rFonts w:hint="eastAsia" w:ascii="仿宋_GB2312" w:eastAsia="仿宋_GB2312"/>
          <w:color w:val="auto"/>
          <w:spacing w:val="0"/>
          <w:sz w:val="32"/>
          <w:szCs w:val="32"/>
          <w:highlight w:val="none"/>
          <w:lang w:eastAsia="zh-CN"/>
        </w:rPr>
        <w:t>住房保障支出</w:t>
      </w:r>
      <w:r>
        <w:rPr>
          <w:rFonts w:hint="eastAsia" w:ascii="仿宋_GB2312" w:eastAsia="仿宋_GB2312"/>
          <w:color w:val="auto"/>
          <w:spacing w:val="0"/>
          <w:sz w:val="32"/>
          <w:szCs w:val="32"/>
          <w:highlight w:val="none"/>
          <w:lang w:val="en-US" w:eastAsia="zh-CN"/>
        </w:rPr>
        <w:t>增加</w:t>
      </w:r>
      <w:r>
        <w:rPr>
          <w:rFonts w:hint="eastAsia" w:ascii="仿宋_GB2312" w:eastAsia="仿宋_GB2312"/>
          <w:color w:val="auto"/>
          <w:spacing w:val="0"/>
          <w:sz w:val="32"/>
          <w:szCs w:val="32"/>
          <w:highlight w:val="none"/>
          <w:lang w:eastAsia="zh-CN"/>
        </w:rPr>
        <w:t>10.5</w:t>
      </w:r>
      <w:r>
        <w:rPr>
          <w:rFonts w:hint="eastAsia" w:ascii="仿宋_GB2312" w:eastAsia="仿宋_GB2312"/>
          <w:color w:val="auto"/>
          <w:spacing w:val="0"/>
          <w:sz w:val="32"/>
          <w:szCs w:val="32"/>
          <w:highlight w:val="none"/>
          <w:lang w:val="en-US" w:eastAsia="zh-CN"/>
        </w:rPr>
        <w:t>万元，财政项目</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减少</w:t>
      </w:r>
      <w:r>
        <w:rPr>
          <w:rFonts w:hint="eastAsia" w:ascii="仿宋_GB2312" w:eastAsia="仿宋_GB2312"/>
          <w:color w:val="auto"/>
          <w:spacing w:val="0"/>
          <w:sz w:val="32"/>
          <w:szCs w:val="32"/>
          <w:highlight w:val="none"/>
          <w:lang w:eastAsia="zh-CN"/>
        </w:rPr>
        <w:t>0.6</w:t>
      </w:r>
      <w:r>
        <w:rPr>
          <w:rFonts w:hint="eastAsia" w:ascii="仿宋_GB2312" w:eastAsia="仿宋_GB2312"/>
          <w:color w:val="auto"/>
          <w:spacing w:val="0"/>
          <w:sz w:val="32"/>
          <w:szCs w:val="32"/>
          <w:highlight w:val="none"/>
          <w:lang w:val="en-US" w:eastAsia="zh-CN"/>
        </w:rPr>
        <w:t>6万元）。</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4,802.47</w:t>
      </w:r>
      <w:r>
        <w:rPr>
          <w:rFonts w:hint="eastAsia" w:ascii="仿宋_GB2312" w:eastAsia="仿宋_GB2312"/>
          <w:color w:val="auto"/>
          <w:spacing w:val="0"/>
          <w:sz w:val="32"/>
          <w:szCs w:val="32"/>
          <w:highlight w:val="none"/>
          <w:lang w:eastAsia="zh-CN"/>
        </w:rPr>
        <w:t>万元，决算</w:t>
      </w:r>
      <w:r>
        <w:rPr>
          <w:rFonts w:hint="eastAsia" w:ascii="仿宋_GB2312" w:eastAsia="仿宋_GB2312"/>
          <w:color w:val="auto"/>
          <w:spacing w:val="0"/>
          <w:sz w:val="32"/>
          <w:szCs w:val="32"/>
          <w:highlight w:val="none"/>
          <w:lang w:val="zh-CN" w:eastAsia="zh-CN"/>
        </w:rPr>
        <w:t>4,949.28</w:t>
      </w:r>
      <w:r>
        <w:rPr>
          <w:rFonts w:hint="eastAsia" w:ascii="仿宋_GB2312" w:eastAsia="仿宋_GB2312"/>
          <w:color w:val="auto"/>
          <w:spacing w:val="0"/>
          <w:sz w:val="32"/>
          <w:szCs w:val="32"/>
          <w:highlight w:val="none"/>
          <w:lang w:eastAsia="zh-CN"/>
        </w:rPr>
        <w:t>万元，预决算差异率3.06%，主要原因是：</w:t>
      </w:r>
      <w:r>
        <w:rPr>
          <w:rFonts w:hint="eastAsia" w:ascii="仿宋_GB2312" w:eastAsia="仿宋_GB2312"/>
          <w:color w:val="auto"/>
          <w:spacing w:val="0"/>
          <w:sz w:val="32"/>
          <w:szCs w:val="32"/>
          <w:highlight w:val="none"/>
          <w:lang w:val="en-US" w:eastAsia="zh-CN"/>
        </w:rPr>
        <w:t>本年在职转退休4人，年中追加职业年金</w:t>
      </w:r>
      <w:r>
        <w:rPr>
          <w:rFonts w:hint="eastAsia" w:ascii="仿宋_GB2312" w:eastAsia="仿宋_GB2312"/>
          <w:color w:val="auto"/>
          <w:spacing w:val="0"/>
          <w:sz w:val="32"/>
          <w:szCs w:val="32"/>
          <w:highlight w:val="none"/>
          <w:lang w:eastAsia="zh-CN"/>
        </w:rPr>
        <w:t>。</w:t>
      </w:r>
    </w:p>
    <w:p w14:paraId="6A65D4F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3D638C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7CFF286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2023年度一般公共预算财政拨款支出4,949.28万元，占本年支出合计的</w:t>
      </w:r>
      <w:r>
        <w:rPr>
          <w:rFonts w:hint="eastAsia" w:ascii="仿宋_GB2312" w:eastAsia="仿宋_GB2312"/>
          <w:color w:val="auto"/>
          <w:spacing w:val="0"/>
          <w:sz w:val="32"/>
          <w:szCs w:val="32"/>
          <w:highlight w:val="none"/>
          <w:lang w:val="zh-CN" w:eastAsia="zh-CN"/>
        </w:rPr>
        <w:t>77.95%</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增加45.51万元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增长0.93%,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本年在职转退休4人追加职业年金及在职人员社保、公积金基数调增（其中：</w:t>
      </w:r>
      <w:r>
        <w:rPr>
          <w:rFonts w:hint="eastAsia" w:ascii="仿宋_GB2312" w:eastAsia="仿宋_GB2312"/>
          <w:color w:val="auto"/>
          <w:spacing w:val="0"/>
          <w:sz w:val="32"/>
          <w:szCs w:val="32"/>
          <w:highlight w:val="none"/>
          <w:lang w:eastAsia="zh-CN"/>
        </w:rPr>
        <w:t>社会保障和就业支出</w:t>
      </w:r>
      <w:r>
        <w:rPr>
          <w:rFonts w:hint="eastAsia" w:ascii="仿宋_GB2312" w:eastAsia="仿宋_GB2312"/>
          <w:color w:val="auto"/>
          <w:spacing w:val="0"/>
          <w:sz w:val="32"/>
          <w:szCs w:val="32"/>
          <w:highlight w:val="none"/>
          <w:lang w:val="en-US" w:eastAsia="zh-CN"/>
        </w:rPr>
        <w:t>增加</w:t>
      </w:r>
      <w:r>
        <w:rPr>
          <w:rFonts w:hint="eastAsia" w:ascii="仿宋_GB2312" w:eastAsia="仿宋_GB2312"/>
          <w:color w:val="auto"/>
          <w:spacing w:val="0"/>
          <w:sz w:val="32"/>
          <w:szCs w:val="32"/>
          <w:highlight w:val="none"/>
          <w:lang w:eastAsia="zh-CN"/>
        </w:rPr>
        <w:t>22.45</w:t>
      </w:r>
      <w:r>
        <w:rPr>
          <w:rFonts w:hint="eastAsia" w:ascii="仿宋_GB2312" w:eastAsia="仿宋_GB2312"/>
          <w:color w:val="auto"/>
          <w:spacing w:val="0"/>
          <w:sz w:val="32"/>
          <w:szCs w:val="32"/>
          <w:highlight w:val="none"/>
          <w:lang w:val="en-US" w:eastAsia="zh-CN"/>
        </w:rPr>
        <w:t>万元，</w:t>
      </w:r>
      <w:r>
        <w:rPr>
          <w:rFonts w:hint="eastAsia" w:ascii="仿宋_GB2312" w:eastAsia="仿宋_GB2312"/>
          <w:color w:val="auto"/>
          <w:spacing w:val="0"/>
          <w:sz w:val="32"/>
          <w:szCs w:val="32"/>
          <w:highlight w:val="none"/>
          <w:lang w:eastAsia="zh-CN"/>
        </w:rPr>
        <w:t>卫生健康支出</w:t>
      </w:r>
      <w:r>
        <w:rPr>
          <w:rFonts w:hint="eastAsia" w:ascii="仿宋_GB2312" w:eastAsia="仿宋_GB2312"/>
          <w:color w:val="auto"/>
          <w:spacing w:val="0"/>
          <w:sz w:val="32"/>
          <w:szCs w:val="32"/>
          <w:highlight w:val="none"/>
          <w:lang w:val="en-US" w:eastAsia="zh-CN"/>
        </w:rPr>
        <w:t>增加</w:t>
      </w:r>
      <w:r>
        <w:rPr>
          <w:rFonts w:hint="eastAsia" w:ascii="仿宋_GB2312" w:eastAsia="仿宋_GB2312"/>
          <w:color w:val="auto"/>
          <w:spacing w:val="0"/>
          <w:sz w:val="32"/>
          <w:szCs w:val="32"/>
          <w:highlight w:val="none"/>
          <w:lang w:eastAsia="zh-CN"/>
        </w:rPr>
        <w:t>13.22</w:t>
      </w:r>
      <w:r>
        <w:rPr>
          <w:rFonts w:hint="eastAsia" w:ascii="仿宋_GB2312" w:eastAsia="仿宋_GB2312"/>
          <w:color w:val="auto"/>
          <w:spacing w:val="0"/>
          <w:sz w:val="32"/>
          <w:szCs w:val="32"/>
          <w:highlight w:val="none"/>
          <w:lang w:val="en-US" w:eastAsia="zh-CN"/>
        </w:rPr>
        <w:t>万元，</w:t>
      </w:r>
      <w:r>
        <w:rPr>
          <w:rFonts w:hint="eastAsia" w:ascii="仿宋_GB2312" w:eastAsia="仿宋_GB2312"/>
          <w:color w:val="auto"/>
          <w:spacing w:val="0"/>
          <w:sz w:val="32"/>
          <w:szCs w:val="32"/>
          <w:highlight w:val="none"/>
          <w:lang w:eastAsia="zh-CN"/>
        </w:rPr>
        <w:t>住房保障支出</w:t>
      </w:r>
      <w:r>
        <w:rPr>
          <w:rFonts w:hint="eastAsia" w:ascii="仿宋_GB2312" w:eastAsia="仿宋_GB2312"/>
          <w:color w:val="auto"/>
          <w:spacing w:val="0"/>
          <w:sz w:val="32"/>
          <w:szCs w:val="32"/>
          <w:highlight w:val="none"/>
          <w:lang w:val="en-US" w:eastAsia="zh-CN"/>
        </w:rPr>
        <w:t>增加</w:t>
      </w:r>
      <w:r>
        <w:rPr>
          <w:rFonts w:hint="eastAsia" w:ascii="仿宋_GB2312" w:eastAsia="仿宋_GB2312"/>
          <w:color w:val="auto"/>
          <w:spacing w:val="0"/>
          <w:sz w:val="32"/>
          <w:szCs w:val="32"/>
          <w:highlight w:val="none"/>
          <w:lang w:eastAsia="zh-CN"/>
        </w:rPr>
        <w:t>10.5</w:t>
      </w:r>
      <w:r>
        <w:rPr>
          <w:rFonts w:hint="eastAsia" w:ascii="仿宋_GB2312" w:eastAsia="仿宋_GB2312"/>
          <w:color w:val="auto"/>
          <w:spacing w:val="0"/>
          <w:sz w:val="32"/>
          <w:szCs w:val="32"/>
          <w:highlight w:val="none"/>
          <w:lang w:val="en-US" w:eastAsia="zh-CN"/>
        </w:rPr>
        <w:t>万元，财政项目</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减少</w:t>
      </w:r>
      <w:r>
        <w:rPr>
          <w:rFonts w:hint="eastAsia" w:ascii="仿宋_GB2312" w:eastAsia="仿宋_GB2312"/>
          <w:color w:val="auto"/>
          <w:spacing w:val="0"/>
          <w:sz w:val="32"/>
          <w:szCs w:val="32"/>
          <w:highlight w:val="none"/>
          <w:lang w:eastAsia="zh-CN"/>
        </w:rPr>
        <w:t>0.6</w:t>
      </w:r>
      <w:r>
        <w:rPr>
          <w:rFonts w:hint="eastAsia" w:ascii="仿宋_GB2312" w:eastAsia="仿宋_GB2312"/>
          <w:color w:val="auto"/>
          <w:spacing w:val="0"/>
          <w:sz w:val="32"/>
          <w:szCs w:val="32"/>
          <w:highlight w:val="none"/>
          <w:lang w:val="en-US" w:eastAsia="zh-CN"/>
        </w:rPr>
        <w:t>6万元）。</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4,802.47</w:t>
      </w:r>
      <w:r>
        <w:rPr>
          <w:rFonts w:hint="eastAsia" w:ascii="仿宋_GB2312" w:eastAsia="仿宋_GB2312"/>
          <w:color w:val="auto"/>
          <w:spacing w:val="0"/>
          <w:sz w:val="32"/>
          <w:szCs w:val="32"/>
          <w:highlight w:val="none"/>
          <w:lang w:eastAsia="zh-CN"/>
        </w:rPr>
        <w:t>万元，决算</w:t>
      </w:r>
      <w:r>
        <w:rPr>
          <w:rFonts w:hint="eastAsia" w:ascii="仿宋_GB2312" w:eastAsia="仿宋_GB2312"/>
          <w:color w:val="auto"/>
          <w:spacing w:val="0"/>
          <w:sz w:val="32"/>
          <w:szCs w:val="32"/>
          <w:highlight w:val="none"/>
          <w:lang w:val="zh-CN" w:eastAsia="zh-CN"/>
        </w:rPr>
        <w:t>4,949.28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3.06%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本年在职转退休4人，年中追加职业年金</w:t>
      </w:r>
      <w:r>
        <w:rPr>
          <w:rFonts w:hint="eastAsia" w:ascii="仿宋_GB2312" w:eastAsia="仿宋_GB2312"/>
          <w:color w:val="auto"/>
          <w:spacing w:val="0"/>
          <w:sz w:val="32"/>
          <w:szCs w:val="32"/>
          <w:highlight w:val="none"/>
          <w:lang w:eastAsia="zh-CN"/>
        </w:rPr>
        <w:t>。</w:t>
      </w:r>
    </w:p>
    <w:p w14:paraId="22BB520A">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407C59F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235.53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4.76</w:t>
      </w:r>
      <w:r>
        <w:rPr>
          <w:rFonts w:hint="default" w:ascii="仿宋_GB2312" w:hAnsi="Times New Roman" w:eastAsia="仿宋_GB2312" w:cs="Times New Roman"/>
          <w:color w:val="auto"/>
          <w:spacing w:val="0"/>
          <w:kern w:val="2"/>
          <w:sz w:val="32"/>
          <w:szCs w:val="32"/>
          <w:highlight w:val="none"/>
          <w:lang w:val="zh-CN" w:eastAsia="zh-CN" w:bidi="ar-SA"/>
        </w:rPr>
        <w:t>%；</w:t>
      </w:r>
    </w:p>
    <w:p w14:paraId="433B3B2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123.07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2.49</w:t>
      </w:r>
      <w:r>
        <w:rPr>
          <w:rFonts w:hint="default" w:ascii="仿宋_GB2312" w:hAnsi="Times New Roman" w:eastAsia="仿宋_GB2312" w:cs="Times New Roman"/>
          <w:color w:val="auto"/>
          <w:spacing w:val="0"/>
          <w:kern w:val="2"/>
          <w:sz w:val="32"/>
          <w:szCs w:val="32"/>
          <w:highlight w:val="none"/>
          <w:lang w:val="zh-CN" w:eastAsia="zh-CN" w:bidi="ar-SA"/>
        </w:rPr>
        <w:t>%；</w:t>
      </w:r>
    </w:p>
    <w:p w14:paraId="0DCFB9F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4,494.15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90.80</w:t>
      </w:r>
      <w:r>
        <w:rPr>
          <w:rFonts w:hint="default" w:ascii="仿宋_GB2312" w:hAnsi="Times New Roman" w:eastAsia="仿宋_GB2312" w:cs="Times New Roman"/>
          <w:color w:val="auto"/>
          <w:spacing w:val="0"/>
          <w:kern w:val="2"/>
          <w:sz w:val="32"/>
          <w:szCs w:val="32"/>
          <w:highlight w:val="none"/>
          <w:lang w:val="zh-CN" w:eastAsia="zh-CN" w:bidi="ar-SA"/>
        </w:rPr>
        <w:t>%；</w:t>
      </w:r>
    </w:p>
    <w:p w14:paraId="0E4B83C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96.53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1.95</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14:paraId="606B7FC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7E1B66A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1.卫生健康支出（类）行政事业单位医疗（款）事业单位医疗（项）:支出决算数为66.77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8.06%，主要原因是：</w:t>
      </w:r>
      <w:r>
        <w:rPr>
          <w:rFonts w:hint="eastAsia" w:ascii="仿宋_GB2312" w:eastAsia="仿宋_GB2312"/>
          <w:sz w:val="32"/>
          <w:szCs w:val="32"/>
        </w:rPr>
        <w:t>在职人员工资</w:t>
      </w:r>
      <w:r>
        <w:rPr>
          <w:rFonts w:hint="eastAsia" w:ascii="仿宋_GB2312" w:eastAsia="仿宋_GB2312"/>
          <w:sz w:val="32"/>
          <w:szCs w:val="32"/>
          <w:lang w:eastAsia="zh-CN"/>
        </w:rPr>
        <w:t>调增，医疗</w:t>
      </w:r>
      <w:r>
        <w:rPr>
          <w:rFonts w:hint="eastAsia" w:ascii="仿宋_GB2312" w:eastAsia="仿宋_GB2312"/>
          <w:sz w:val="32"/>
          <w:szCs w:val="32"/>
        </w:rPr>
        <w:t>基数调增</w:t>
      </w:r>
      <w:r>
        <w:rPr>
          <w:rFonts w:hint="eastAsia" w:eastAsia="仿宋_GB2312" w:cs="Times New Roman"/>
          <w:color w:val="auto"/>
          <w:kern w:val="2"/>
          <w:sz w:val="32"/>
          <w:szCs w:val="32"/>
          <w:highlight w:val="none"/>
          <w:lang w:val="zh-CN" w:eastAsia="zh-CN" w:bidi="ar-SA"/>
        </w:rPr>
        <w:t>。</w:t>
      </w:r>
    </w:p>
    <w:p w14:paraId="6522708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2.卫生健康支出（类）行政事业单位医疗（款）公务员医疗补助（项）:支出决算数为56.31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17.17%，主要原因是：</w:t>
      </w:r>
      <w:r>
        <w:rPr>
          <w:rFonts w:hint="eastAsia" w:ascii="仿宋_GB2312" w:eastAsia="仿宋_GB2312"/>
          <w:sz w:val="32"/>
          <w:szCs w:val="32"/>
        </w:rPr>
        <w:t>在职人员工资</w:t>
      </w:r>
      <w:r>
        <w:rPr>
          <w:rFonts w:hint="eastAsia" w:ascii="仿宋_GB2312" w:eastAsia="仿宋_GB2312"/>
          <w:sz w:val="32"/>
          <w:szCs w:val="32"/>
          <w:lang w:eastAsia="zh-CN"/>
        </w:rPr>
        <w:t>调增，医疗</w:t>
      </w:r>
      <w:r>
        <w:rPr>
          <w:rFonts w:hint="eastAsia" w:ascii="仿宋_GB2312" w:eastAsia="仿宋_GB2312"/>
          <w:sz w:val="32"/>
          <w:szCs w:val="32"/>
        </w:rPr>
        <w:t>基数调增</w:t>
      </w:r>
      <w:r>
        <w:rPr>
          <w:rFonts w:hint="eastAsia" w:eastAsia="仿宋_GB2312" w:cs="Times New Roman"/>
          <w:color w:val="auto"/>
          <w:kern w:val="2"/>
          <w:sz w:val="32"/>
          <w:szCs w:val="32"/>
          <w:highlight w:val="none"/>
          <w:lang w:val="zh-CN" w:eastAsia="zh-CN" w:bidi="ar-SA"/>
        </w:rPr>
        <w:t>。</w:t>
      </w:r>
    </w:p>
    <w:p w14:paraId="3197A34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3.自然资源海洋气象等支出（类）自然资源事务（款）其他自然资源事务支出（项）:支出决算数为3,347.29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43.37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1.31%，主要原因是：</w:t>
      </w:r>
      <w:r>
        <w:rPr>
          <w:rFonts w:hint="eastAsia" w:ascii="仿宋_GB2312" w:eastAsia="仿宋_GB2312"/>
          <w:sz w:val="32"/>
          <w:szCs w:val="32"/>
        </w:rPr>
        <w:t>财政</w:t>
      </w:r>
      <w:r>
        <w:rPr>
          <w:rFonts w:hint="eastAsia" w:ascii="仿宋_GB2312" w:eastAsia="仿宋_GB2312"/>
          <w:sz w:val="32"/>
          <w:szCs w:val="32"/>
          <w:lang w:val="en-US" w:eastAsia="zh-CN"/>
        </w:rPr>
        <w:t>专项资金增加</w:t>
      </w:r>
      <w:r>
        <w:rPr>
          <w:rFonts w:hint="eastAsia" w:eastAsia="仿宋_GB2312" w:cs="Times New Roman"/>
          <w:color w:val="auto"/>
          <w:kern w:val="2"/>
          <w:sz w:val="32"/>
          <w:szCs w:val="32"/>
          <w:highlight w:val="none"/>
          <w:lang w:val="zh-CN" w:eastAsia="zh-CN" w:bidi="ar-SA"/>
        </w:rPr>
        <w:t>。</w:t>
      </w:r>
    </w:p>
    <w:p w14:paraId="3D0C31C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4.住房保障支出（类）住房改革支出（款）住房公积金（项）:支出决算数为96.53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12.21%，主要原因是：</w:t>
      </w:r>
      <w:r>
        <w:rPr>
          <w:rFonts w:hint="eastAsia" w:ascii="仿宋_GB2312" w:eastAsia="仿宋_GB2312"/>
          <w:sz w:val="32"/>
          <w:szCs w:val="32"/>
        </w:rPr>
        <w:t>在职人员工资</w:t>
      </w:r>
      <w:r>
        <w:rPr>
          <w:rFonts w:hint="eastAsia" w:ascii="仿宋_GB2312" w:eastAsia="仿宋_GB2312"/>
          <w:sz w:val="32"/>
          <w:szCs w:val="32"/>
          <w:lang w:eastAsia="zh-CN"/>
        </w:rPr>
        <w:t>调增，</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ascii="仿宋_GB2312" w:eastAsia="仿宋_GB2312"/>
          <w:sz w:val="32"/>
          <w:szCs w:val="32"/>
        </w:rPr>
        <w:t>基数调增</w:t>
      </w:r>
      <w:r>
        <w:rPr>
          <w:rFonts w:hint="eastAsia" w:eastAsia="仿宋_GB2312" w:cs="Times New Roman"/>
          <w:color w:val="auto"/>
          <w:kern w:val="2"/>
          <w:sz w:val="32"/>
          <w:szCs w:val="32"/>
          <w:highlight w:val="none"/>
          <w:lang w:val="zh-CN" w:eastAsia="zh-CN" w:bidi="ar-SA"/>
        </w:rPr>
        <w:t>。</w:t>
      </w:r>
    </w:p>
    <w:p w14:paraId="4BF757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5.自然资源海洋气象等支出（类）自然资源事务（款）事业运行（项）:支出决算数为1,146.87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0.85%，主要原因是：</w:t>
      </w:r>
      <w:r>
        <w:rPr>
          <w:rFonts w:hint="eastAsia" w:ascii="仿宋_GB2312" w:eastAsia="仿宋_GB2312"/>
          <w:sz w:val="32"/>
          <w:szCs w:val="32"/>
        </w:rPr>
        <w:t>在职人员工资</w:t>
      </w:r>
      <w:r>
        <w:rPr>
          <w:rFonts w:hint="eastAsia" w:ascii="仿宋_GB2312" w:eastAsia="仿宋_GB2312"/>
          <w:sz w:val="32"/>
          <w:szCs w:val="32"/>
          <w:lang w:eastAsia="zh-CN"/>
        </w:rPr>
        <w:t>调增，相应支出增加</w:t>
      </w:r>
      <w:r>
        <w:rPr>
          <w:rFonts w:hint="eastAsia" w:eastAsia="仿宋_GB2312" w:cs="Times New Roman"/>
          <w:color w:val="auto"/>
          <w:kern w:val="2"/>
          <w:sz w:val="32"/>
          <w:szCs w:val="32"/>
          <w:highlight w:val="none"/>
          <w:lang w:val="zh-CN" w:eastAsia="zh-CN" w:bidi="ar-SA"/>
        </w:rPr>
        <w:t>。</w:t>
      </w:r>
    </w:p>
    <w:p w14:paraId="57BDF2D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6.社会保障和就业支出（类）行政事业单位养老支出（款）事业单位离退休（项）:支出决算数为61.20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32.59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34.75%，主要原因是：</w:t>
      </w:r>
      <w:r>
        <w:rPr>
          <w:rFonts w:hint="eastAsia" w:eastAsia="仿宋_GB2312" w:cs="Times New Roman"/>
          <w:color w:val="auto"/>
          <w:kern w:val="2"/>
          <w:sz w:val="32"/>
          <w:szCs w:val="32"/>
          <w:highlight w:val="none"/>
          <w:lang w:val="en-US" w:eastAsia="zh-CN" w:bidi="ar-SA"/>
        </w:rPr>
        <w:t>按照新财社[2023]168号文交回离退休人员基本医疗保险</w:t>
      </w:r>
      <w:r>
        <w:rPr>
          <w:rFonts w:hint="eastAsia" w:eastAsia="仿宋_GB2312" w:cs="Times New Roman"/>
          <w:color w:val="auto"/>
          <w:kern w:val="2"/>
          <w:sz w:val="32"/>
          <w:szCs w:val="32"/>
          <w:highlight w:val="none"/>
          <w:lang w:val="zh-CN" w:eastAsia="zh-CN" w:bidi="ar-SA"/>
        </w:rPr>
        <w:t>。</w:t>
      </w:r>
    </w:p>
    <w:p w14:paraId="16B2A18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7.社会保障和就业支出（类）行政事业单位养老支出（款）机关事业单位职业年金缴费支出（项）:支出决算数为45.62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41.03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893.39%，主要原因是：</w:t>
      </w:r>
      <w:r>
        <w:rPr>
          <w:rFonts w:hint="eastAsia" w:eastAsia="仿宋_GB2312" w:cs="Times New Roman"/>
          <w:color w:val="auto"/>
          <w:kern w:val="2"/>
          <w:sz w:val="32"/>
          <w:szCs w:val="32"/>
          <w:highlight w:val="none"/>
          <w:lang w:val="en-US" w:eastAsia="zh-CN" w:bidi="ar-SA"/>
        </w:rPr>
        <w:t>本年在职转退休4人，</w:t>
      </w:r>
      <w:r>
        <w:rPr>
          <w:rFonts w:hint="eastAsia" w:ascii="Times New Roman" w:hAnsi="Times New Roman" w:eastAsia="仿宋_GB2312" w:cs="Times New Roman"/>
          <w:color w:val="auto"/>
          <w:kern w:val="2"/>
          <w:sz w:val="32"/>
          <w:szCs w:val="32"/>
          <w:highlight w:val="none"/>
          <w:lang w:val="en-US" w:eastAsia="zh-CN" w:bidi="ar-SA"/>
        </w:rPr>
        <w:t>职业年金缴费</w:t>
      </w:r>
      <w:r>
        <w:rPr>
          <w:rFonts w:hint="eastAsia" w:eastAsia="仿宋_GB2312" w:cs="Times New Roman"/>
          <w:color w:val="auto"/>
          <w:kern w:val="2"/>
          <w:sz w:val="32"/>
          <w:szCs w:val="32"/>
          <w:highlight w:val="none"/>
          <w:lang w:val="en-US" w:eastAsia="zh-CN" w:bidi="ar-SA"/>
        </w:rPr>
        <w:t>坐实增加</w:t>
      </w:r>
      <w:r>
        <w:rPr>
          <w:rFonts w:hint="eastAsia" w:eastAsia="仿宋_GB2312" w:cs="Times New Roman"/>
          <w:color w:val="auto"/>
          <w:kern w:val="2"/>
          <w:sz w:val="32"/>
          <w:szCs w:val="32"/>
          <w:highlight w:val="none"/>
          <w:lang w:val="zh-CN" w:eastAsia="zh-CN" w:bidi="ar-SA"/>
        </w:rPr>
        <w:t>。</w:t>
      </w:r>
    </w:p>
    <w:p w14:paraId="79D294E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8.社会保障和就业支出（类）行政事业单位养老支出（款）机关事业单位基本养老保险缴费支出（项）:支出决算数为128.70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12.21%，主要原因是：</w:t>
      </w:r>
      <w:r>
        <w:rPr>
          <w:rFonts w:hint="eastAsia" w:ascii="仿宋_GB2312" w:eastAsia="仿宋_GB2312"/>
          <w:sz w:val="32"/>
          <w:szCs w:val="32"/>
        </w:rPr>
        <w:t>在职人员工资</w:t>
      </w:r>
      <w:r>
        <w:rPr>
          <w:rFonts w:hint="eastAsia" w:ascii="仿宋_GB2312" w:eastAsia="仿宋_GB2312"/>
          <w:sz w:val="32"/>
          <w:szCs w:val="32"/>
          <w:lang w:eastAsia="zh-CN"/>
        </w:rPr>
        <w:t>调增，</w:t>
      </w:r>
      <w:r>
        <w:rPr>
          <w:rFonts w:hint="eastAsia" w:ascii="Times New Roman" w:hAnsi="Times New Roman" w:eastAsia="仿宋_GB2312" w:cs="Times New Roman"/>
          <w:color w:val="auto"/>
          <w:kern w:val="2"/>
          <w:sz w:val="32"/>
          <w:szCs w:val="32"/>
          <w:highlight w:val="none"/>
          <w:lang w:val="en-US" w:eastAsia="zh-CN" w:bidi="ar-SA"/>
        </w:rPr>
        <w:t>养老保险缴费</w:t>
      </w:r>
      <w:r>
        <w:rPr>
          <w:rFonts w:hint="eastAsia" w:ascii="仿宋_GB2312" w:eastAsia="仿宋_GB2312"/>
          <w:sz w:val="32"/>
          <w:szCs w:val="32"/>
        </w:rPr>
        <w:t>基数调增</w:t>
      </w:r>
      <w:r>
        <w:rPr>
          <w:rFonts w:hint="eastAsia" w:eastAsia="仿宋_GB2312" w:cs="Times New Roman"/>
          <w:color w:val="auto"/>
          <w:kern w:val="2"/>
          <w:sz w:val="32"/>
          <w:szCs w:val="32"/>
          <w:highlight w:val="none"/>
          <w:lang w:val="zh-CN" w:eastAsia="zh-CN" w:bidi="ar-SA"/>
        </w:rPr>
        <w:t>。</w:t>
      </w:r>
    </w:p>
    <w:p w14:paraId="63777C5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9.自然资源海洋气象等支出（类）自然资源事务（款）自然资源规划及管理（项）:支出决算数为0.00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23.11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此款项为上年度项目尾款，本年未安排续做项目</w:t>
      </w:r>
      <w:r>
        <w:rPr>
          <w:rFonts w:hint="eastAsia" w:eastAsia="仿宋_GB2312" w:cs="Times New Roman"/>
          <w:color w:val="auto"/>
          <w:kern w:val="2"/>
          <w:sz w:val="32"/>
          <w:szCs w:val="32"/>
          <w:highlight w:val="none"/>
          <w:lang w:val="zh-CN" w:eastAsia="zh-CN" w:bidi="ar-SA"/>
        </w:rPr>
        <w:t>。</w:t>
      </w:r>
    </w:p>
    <w:p w14:paraId="7D8E819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10.自然资源海洋气象等支出（类）自然资源事务（款）地质矿产资源与环境调查（项）:支出决算数为0.00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30.64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此款项为上年度项目尾款，本年未安排续做项目</w:t>
      </w:r>
      <w:r>
        <w:rPr>
          <w:rFonts w:hint="eastAsia" w:eastAsia="仿宋_GB2312" w:cs="Times New Roman"/>
          <w:color w:val="auto"/>
          <w:kern w:val="2"/>
          <w:sz w:val="32"/>
          <w:szCs w:val="32"/>
          <w:highlight w:val="none"/>
          <w:lang w:val="zh-CN" w:eastAsia="zh-CN" w:bidi="ar-SA"/>
        </w:rPr>
        <w:t>。</w:t>
      </w:r>
    </w:p>
    <w:p w14:paraId="319926F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52EA233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1,601.99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1,488.54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抚恤金、其他对个人和家庭的补助。</w:t>
      </w:r>
    </w:p>
    <w:p w14:paraId="6852AC5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113.46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水费、电费、邮电费、取暖费、物业管理费、差旅费、工会经费、福利费、公务用车运行维护费、其他商品和服务支出。</w:t>
      </w:r>
    </w:p>
    <w:p w14:paraId="1BD985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17FC4AD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“三公”经费支出12.42万元，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lang w:val="en-US" w:eastAsia="zh-CN"/>
        </w:rPr>
        <w:t>与上年一致无差异</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；公务用车购置及运行维护费支出12.42万元，占100.00%，比上年增加0.00万元，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lang w:val="en-US" w:eastAsia="zh-CN"/>
        </w:rPr>
        <w:t>与上年一致无差异</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0B728D1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31FB4C1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5122876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公务用车购置及运行维护费12.42万元，其中：公务用车购置费0.00万元，公务用车运行维护费12.42万元。公务用车运行维护费开支内容包括</w:t>
      </w:r>
      <w:r>
        <w:rPr>
          <w:rFonts w:hint="eastAsia" w:ascii="仿宋_GB2312" w:eastAsia="仿宋_GB2312"/>
          <w:sz w:val="32"/>
          <w:szCs w:val="32"/>
          <w:lang w:val="en-US" w:eastAsia="zh-CN"/>
        </w:rPr>
        <w:t>车辆燃油费、保险费和维修费等</w:t>
      </w:r>
      <w:r>
        <w:rPr>
          <w:rFonts w:hint="eastAsia" w:ascii="仿宋_GB2312" w:eastAsia="仿宋_GB2312"/>
          <w:color w:val="auto"/>
          <w:sz w:val="32"/>
          <w:szCs w:val="32"/>
          <w:highlight w:val="none"/>
          <w:lang w:val="zh-CN" w:eastAsia="zh-CN"/>
        </w:rPr>
        <w:t>。公务用车购置数0辆，公务用车保有量8辆。国有资产占用情况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8辆，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账实相符</w:t>
      </w:r>
      <w:r>
        <w:rPr>
          <w:rFonts w:hint="eastAsia" w:ascii="仿宋_GB2312" w:eastAsia="仿宋_GB2312"/>
          <w:color w:val="auto"/>
          <w:sz w:val="32"/>
          <w:szCs w:val="32"/>
          <w:highlight w:val="none"/>
          <w:lang w:val="zh-CN" w:eastAsia="zh-CN"/>
        </w:rPr>
        <w:t>。</w:t>
      </w:r>
    </w:p>
    <w:p w14:paraId="3C06D15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580B0DE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预算数12.42万元，决算数12.42万元，预决算差异率0.00%，主要原因是：</w:t>
      </w:r>
      <w:r>
        <w:rPr>
          <w:rFonts w:hint="eastAsia" w:ascii="仿宋_GB2312" w:eastAsia="仿宋_GB2312"/>
          <w:sz w:val="32"/>
          <w:szCs w:val="32"/>
        </w:rPr>
        <w:t>我</w:t>
      </w:r>
      <w:r>
        <w:rPr>
          <w:rFonts w:ascii="仿宋_GB2312" w:eastAsia="仿宋_GB2312"/>
          <w:sz w:val="32"/>
          <w:szCs w:val="32"/>
        </w:rPr>
        <w:t>单位</w:t>
      </w:r>
      <w:r>
        <w:rPr>
          <w:rFonts w:hint="eastAsia" w:ascii="仿宋_GB2312" w:eastAsia="仿宋_GB2312"/>
          <w:sz w:val="32"/>
          <w:szCs w:val="32"/>
        </w:rPr>
        <w:t>严格按公务</w:t>
      </w:r>
      <w:r>
        <w:rPr>
          <w:rFonts w:ascii="仿宋_GB2312" w:eastAsia="仿宋_GB2312"/>
          <w:sz w:val="32"/>
          <w:szCs w:val="32"/>
        </w:rPr>
        <w:t>用车运行</w:t>
      </w:r>
      <w:r>
        <w:rPr>
          <w:rFonts w:hint="eastAsia" w:ascii="仿宋_GB2312" w:eastAsia="仿宋_GB2312"/>
          <w:sz w:val="32"/>
          <w:szCs w:val="32"/>
        </w:rPr>
        <w:t>维护</w:t>
      </w:r>
      <w:r>
        <w:rPr>
          <w:rFonts w:ascii="仿宋_GB2312" w:eastAsia="仿宋_GB2312"/>
          <w:sz w:val="32"/>
          <w:szCs w:val="32"/>
        </w:rPr>
        <w:t>费</w:t>
      </w:r>
      <w:r>
        <w:rPr>
          <w:rFonts w:hint="eastAsia" w:ascii="仿宋_GB2312" w:eastAsia="仿宋_GB2312"/>
          <w:sz w:val="32"/>
          <w:szCs w:val="32"/>
        </w:rPr>
        <w:t>预算进行开支</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预算数12.42万元，决算数12.42万元，预决算差异率0.00%，主要原因是：</w:t>
      </w:r>
      <w:r>
        <w:rPr>
          <w:rFonts w:ascii="仿宋_GB2312" w:eastAsia="仿宋_GB2312"/>
          <w:sz w:val="32"/>
          <w:szCs w:val="32"/>
        </w:rPr>
        <w:t>单位</w:t>
      </w:r>
      <w:r>
        <w:rPr>
          <w:rFonts w:hint="eastAsia" w:ascii="仿宋_GB2312" w:eastAsia="仿宋_GB2312"/>
          <w:sz w:val="32"/>
          <w:szCs w:val="32"/>
        </w:rPr>
        <w:t>严格按公务</w:t>
      </w:r>
      <w:r>
        <w:rPr>
          <w:rFonts w:ascii="仿宋_GB2312" w:eastAsia="仿宋_GB2312"/>
          <w:sz w:val="32"/>
          <w:szCs w:val="32"/>
        </w:rPr>
        <w:t>用车运行</w:t>
      </w:r>
      <w:r>
        <w:rPr>
          <w:rFonts w:hint="eastAsia" w:ascii="仿宋_GB2312" w:eastAsia="仿宋_GB2312"/>
          <w:sz w:val="32"/>
          <w:szCs w:val="32"/>
        </w:rPr>
        <w:t>维护</w:t>
      </w:r>
      <w:r>
        <w:rPr>
          <w:rFonts w:ascii="仿宋_GB2312" w:eastAsia="仿宋_GB2312"/>
          <w:sz w:val="32"/>
          <w:szCs w:val="32"/>
        </w:rPr>
        <w:t>费</w:t>
      </w:r>
      <w:r>
        <w:rPr>
          <w:rFonts w:hint="eastAsia" w:ascii="仿宋_GB2312" w:eastAsia="仿宋_GB2312"/>
          <w:sz w:val="32"/>
          <w:szCs w:val="32"/>
        </w:rPr>
        <w:t>预算进行开支</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3A90C54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6791EC6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4FB45E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5A9205F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2238095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A8CB60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43EA07D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新疆维吾尔自治区自然资源规划研究院（事业单位）公用经费支出113.46万元，</w:t>
      </w:r>
      <w:r>
        <w:rPr>
          <w:rFonts w:hint="eastAsia" w:ascii="Times New Roman" w:hAnsi="Times New Roman" w:eastAsia="仿宋_GB2312" w:cs="Times New Roman"/>
          <w:color w:val="auto"/>
          <w:sz w:val="32"/>
          <w:szCs w:val="32"/>
          <w:highlight w:val="none"/>
          <w:lang w:val="zh-CN" w:eastAsia="zh-CN"/>
        </w:rPr>
        <w:t>比上年增加9.68万元，增长9.33%，主要原因是：</w:t>
      </w:r>
      <w:r>
        <w:rPr>
          <w:rFonts w:hint="eastAsia" w:eastAsia="仿宋_GB2312" w:cs="Times New Roman"/>
          <w:color w:val="auto"/>
          <w:sz w:val="32"/>
          <w:szCs w:val="32"/>
          <w:highlight w:val="none"/>
          <w:lang w:val="en-US" w:eastAsia="zh-CN"/>
        </w:rPr>
        <w:t>增加结亲人员交通费</w:t>
      </w:r>
      <w:r>
        <w:rPr>
          <w:rFonts w:hint="eastAsia" w:ascii="Times New Roman" w:hAnsi="Times New Roman" w:eastAsia="仿宋_GB2312" w:cs="Times New Roman"/>
          <w:color w:val="auto"/>
          <w:sz w:val="32"/>
          <w:szCs w:val="32"/>
          <w:highlight w:val="none"/>
          <w:lang w:val="en-US" w:eastAsia="zh-CN"/>
        </w:rPr>
        <w:t>。</w:t>
      </w:r>
    </w:p>
    <w:p w14:paraId="067341E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30E1DD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3,429.27万元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其中：政府采购货物支出218.69万元、政府采购工程支出0.00万元、政府采购服务支出3,210.58万元。</w:t>
      </w:r>
    </w:p>
    <w:p w14:paraId="5B3B7D1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授予中小企业合同金额3,319.24万元，占政府采购支出总额的96.79</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，其中：授予小微企业合同金额1,764.32万元，占政府采购支出总额的51.45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09439D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1EEABF4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10,077.05</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屋13489.0平方米，价值6,485.27万元。车辆8辆，价值292.25万元，其中：副部（省）级及以上领导用车0辆、主要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用车0辆、其他用车8辆，其他用车主要是：</w:t>
      </w:r>
      <w:r>
        <w:rPr>
          <w:rFonts w:hint="eastAsia" w:ascii="仿宋_GB2312" w:eastAsia="仿宋_GB2312"/>
          <w:sz w:val="32"/>
          <w:szCs w:val="32"/>
        </w:rPr>
        <w:t>日常出行办理业务派出</w:t>
      </w:r>
      <w:r>
        <w:rPr>
          <w:rFonts w:hint="eastAsia" w:ascii="Times New Roman" w:hAnsi="Times New Roman" w:eastAsia="仿宋_GB2312" w:cs="Times New Roman"/>
          <w:color w:val="auto"/>
          <w:sz w:val="32"/>
          <w:szCs w:val="32"/>
          <w:highlight w:val="none"/>
          <w:lang w:val="zh-CN" w:eastAsia="zh-CN"/>
        </w:rPr>
        <w:t>；单价100万元（含）以上设备（不含车辆）1</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020622C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4821F88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全年预算数4790.00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全年执行数4747.16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ascii="仿宋_GB2312" w:eastAsia="仿宋_GB2312"/>
          <w:sz w:val="32"/>
          <w:szCs w:val="32"/>
        </w:rPr>
        <w:t>通过绩效评价提高财政资金使用的效益</w:t>
      </w:r>
      <w:r>
        <w:rPr>
          <w:rFonts w:hint="eastAsia" w:ascii="仿宋_GB2312" w:eastAsia="仿宋_GB2312"/>
          <w:color w:val="auto"/>
          <w:sz w:val="32"/>
          <w:szCs w:val="32"/>
          <w:highlight w:val="none"/>
          <w:lang w:eastAsia="zh-CN"/>
        </w:rPr>
        <w:t>；二是</w:t>
      </w:r>
      <w:r>
        <w:rPr>
          <w:rFonts w:ascii="仿宋_GB2312" w:eastAsia="仿宋_GB2312"/>
          <w:sz w:val="32"/>
          <w:szCs w:val="32"/>
        </w:rPr>
        <w:t>将绩效管理融入预算编制、执行、监督全过程。强化绩效目标管理，不断提高绩效目标的科学性、规范性、合理性</w:t>
      </w:r>
      <w:r>
        <w:rPr>
          <w:rFonts w:hint="eastAsia" w:ascii="仿宋_GB2312" w:eastAsia="仿宋_GB2312"/>
          <w:color w:val="auto"/>
          <w:sz w:val="32"/>
          <w:szCs w:val="32"/>
          <w:highlight w:val="none"/>
          <w:lang w:eastAsia="zh-CN"/>
        </w:rPr>
        <w:t>。发现的问题及原因：一是</w:t>
      </w:r>
      <w:r>
        <w:rPr>
          <w:rFonts w:ascii="仿宋_GB2312" w:eastAsia="仿宋_GB2312"/>
          <w:sz w:val="32"/>
          <w:szCs w:val="32"/>
        </w:rPr>
        <w:t>绩效目标的设定不够明确具体，缺 乏量化</w:t>
      </w:r>
      <w:r>
        <w:rPr>
          <w:rFonts w:hint="eastAsia" w:ascii="仿宋_GB2312" w:eastAsia="仿宋_GB2312"/>
          <w:color w:val="auto"/>
          <w:sz w:val="32"/>
          <w:szCs w:val="32"/>
          <w:highlight w:val="none"/>
          <w:lang w:eastAsia="zh-CN"/>
        </w:rPr>
        <w:t>；二是</w:t>
      </w:r>
      <w:r>
        <w:rPr>
          <w:rFonts w:hint="eastAsia" w:ascii="仿宋_GB2312" w:eastAsia="仿宋_GB2312"/>
          <w:color w:val="auto"/>
          <w:sz w:val="32"/>
          <w:szCs w:val="32"/>
          <w:highlight w:val="none"/>
          <w:lang w:val="en-US" w:eastAsia="zh-CN"/>
        </w:rPr>
        <w:t>绩</w:t>
      </w:r>
      <w:r>
        <w:rPr>
          <w:rFonts w:ascii="仿宋_GB2312" w:eastAsia="仿宋_GB2312"/>
          <w:sz w:val="32"/>
          <w:szCs w:val="32"/>
        </w:rPr>
        <w:t>效目标缺乏弹性，落地措施不够</w:t>
      </w:r>
      <w:r>
        <w:rPr>
          <w:rFonts w:hint="eastAsia" w:ascii="仿宋_GB2312" w:eastAsia="仿宋_GB2312"/>
          <w:color w:val="auto"/>
          <w:sz w:val="32"/>
          <w:szCs w:val="32"/>
          <w:highlight w:val="none"/>
          <w:lang w:eastAsia="zh-CN"/>
        </w:rPr>
        <w:t>。下一步改进措施：一是</w:t>
      </w:r>
      <w:r>
        <w:rPr>
          <w:rFonts w:ascii="仿宋_GB2312" w:eastAsia="仿宋_GB2312"/>
          <w:sz w:val="32"/>
          <w:szCs w:val="32"/>
        </w:rPr>
        <w:t>加强相关人员培训，提高预算编制绩效管理</w:t>
      </w:r>
      <w:r>
        <w:rPr>
          <w:rFonts w:hint="eastAsia" w:ascii="仿宋_GB2312" w:eastAsia="仿宋_GB2312"/>
          <w:color w:val="auto"/>
          <w:sz w:val="32"/>
          <w:szCs w:val="32"/>
          <w:highlight w:val="none"/>
          <w:lang w:eastAsia="zh-CN"/>
        </w:rPr>
        <w:t>；二是</w:t>
      </w:r>
      <w:r>
        <w:rPr>
          <w:rFonts w:ascii="仿宋_GB2312" w:eastAsia="仿宋_GB2312"/>
          <w:sz w:val="32"/>
          <w:szCs w:val="32"/>
        </w:rPr>
        <w:t>完善项目绩效管理责任，注重风险预警防范</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0667E98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7490D75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bookmarkStart w:id="48" w:name="_GoBack"/>
      <w:bookmarkEnd w:id="48"/>
    </w:p>
    <w:p w14:paraId="0DBAFED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s="黑体"/>
          <w:color w:val="auto"/>
          <w:sz w:val="32"/>
          <w:szCs w:val="32"/>
          <w:highlight w:val="none"/>
        </w:rPr>
        <w:t>第</w:t>
      </w:r>
      <w:r>
        <w:rPr>
          <w:rFonts w:hint="eastAsia" w:ascii="黑体" w:hAnsi="黑体" w:eastAsia="黑体" w:cs="黑体"/>
          <w:color w:val="auto"/>
          <w:sz w:val="32"/>
          <w:szCs w:val="32"/>
          <w:highlight w:val="none"/>
          <w:lang w:val="en-US" w:eastAsia="zh-CN"/>
        </w:rPr>
        <w:t>三</w:t>
      </w:r>
      <w:r>
        <w:rPr>
          <w:rFonts w:hint="eastAsia" w:ascii="黑体" w:hAnsi="黑体" w:eastAsia="黑体" w:cs="黑体"/>
          <w:color w:val="auto"/>
          <w:sz w:val="32"/>
          <w:szCs w:val="32"/>
          <w:highlight w:val="none"/>
        </w:rPr>
        <w:t>部分 专业名词解释</w:t>
      </w:r>
      <w:bookmarkEnd w:id="30"/>
      <w:bookmarkEnd w:id="31"/>
    </w:p>
    <w:p w14:paraId="703EAE0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00675F1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49C9B16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7C24FBA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2FBC6F7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1122152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368A7BA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68A4EF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E29F08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0C88EE3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5B19ABF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4F5879F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77A5ECD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156CC6CF">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248A4A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s="黑体"/>
          <w:color w:val="auto"/>
          <w:sz w:val="32"/>
          <w:szCs w:val="32"/>
          <w:highlight w:val="none"/>
        </w:rPr>
        <w:t>第四部分 部门决算报表（见附表）</w:t>
      </w:r>
    </w:p>
    <w:p w14:paraId="1132D4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543FF1B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28F9879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4A965C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3B5A8E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60000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5AF585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650963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058D25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574F319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68AF39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8099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76943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076943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3A63F7"/>
    <w:rsid w:val="0D4903E8"/>
    <w:rsid w:val="0D52521D"/>
    <w:rsid w:val="0D7A4A46"/>
    <w:rsid w:val="0E59465B"/>
    <w:rsid w:val="0E640559"/>
    <w:rsid w:val="0F1113DA"/>
    <w:rsid w:val="0F78534A"/>
    <w:rsid w:val="0F89358A"/>
    <w:rsid w:val="0F8C6D51"/>
    <w:rsid w:val="105B0B5E"/>
    <w:rsid w:val="112E58D0"/>
    <w:rsid w:val="11731CAC"/>
    <w:rsid w:val="119500A0"/>
    <w:rsid w:val="11C0733B"/>
    <w:rsid w:val="11D50D17"/>
    <w:rsid w:val="120E0809"/>
    <w:rsid w:val="127F665A"/>
    <w:rsid w:val="12F7068C"/>
    <w:rsid w:val="136A57AA"/>
    <w:rsid w:val="14207DC0"/>
    <w:rsid w:val="146B525B"/>
    <w:rsid w:val="14B932DA"/>
    <w:rsid w:val="150A66AF"/>
    <w:rsid w:val="154C1139"/>
    <w:rsid w:val="158C5B77"/>
    <w:rsid w:val="160D1149"/>
    <w:rsid w:val="163563C0"/>
    <w:rsid w:val="164315EF"/>
    <w:rsid w:val="16557DFE"/>
    <w:rsid w:val="167268FB"/>
    <w:rsid w:val="16770D0A"/>
    <w:rsid w:val="16D50C50"/>
    <w:rsid w:val="16E120E1"/>
    <w:rsid w:val="17385A05"/>
    <w:rsid w:val="173B3901"/>
    <w:rsid w:val="173F44BB"/>
    <w:rsid w:val="176747F9"/>
    <w:rsid w:val="1770071F"/>
    <w:rsid w:val="17954A6E"/>
    <w:rsid w:val="180059E9"/>
    <w:rsid w:val="184510FD"/>
    <w:rsid w:val="190648B0"/>
    <w:rsid w:val="19071D6C"/>
    <w:rsid w:val="19D26CD4"/>
    <w:rsid w:val="19E60D19"/>
    <w:rsid w:val="1A3E3450"/>
    <w:rsid w:val="1AD807E5"/>
    <w:rsid w:val="1B39345B"/>
    <w:rsid w:val="1B65531B"/>
    <w:rsid w:val="1BFB2A1F"/>
    <w:rsid w:val="1C015D4A"/>
    <w:rsid w:val="1C290ED5"/>
    <w:rsid w:val="1C317E4F"/>
    <w:rsid w:val="1C472464"/>
    <w:rsid w:val="1CFD4D4B"/>
    <w:rsid w:val="1D22799A"/>
    <w:rsid w:val="1D5C1A72"/>
    <w:rsid w:val="1DAF458D"/>
    <w:rsid w:val="1E086ACE"/>
    <w:rsid w:val="1E62130A"/>
    <w:rsid w:val="1E97358B"/>
    <w:rsid w:val="1EAA4A5F"/>
    <w:rsid w:val="1EE869A7"/>
    <w:rsid w:val="1FA15E62"/>
    <w:rsid w:val="1FED69B6"/>
    <w:rsid w:val="203555BD"/>
    <w:rsid w:val="2064678E"/>
    <w:rsid w:val="209A2298"/>
    <w:rsid w:val="20DC1AB9"/>
    <w:rsid w:val="20DD6197"/>
    <w:rsid w:val="212631E0"/>
    <w:rsid w:val="21425634"/>
    <w:rsid w:val="21A53757"/>
    <w:rsid w:val="22087AD3"/>
    <w:rsid w:val="221236C6"/>
    <w:rsid w:val="22D7662C"/>
    <w:rsid w:val="23326B7F"/>
    <w:rsid w:val="2380045B"/>
    <w:rsid w:val="23BC04D2"/>
    <w:rsid w:val="23EF1892"/>
    <w:rsid w:val="24092228"/>
    <w:rsid w:val="2483647E"/>
    <w:rsid w:val="24A32D55"/>
    <w:rsid w:val="25292727"/>
    <w:rsid w:val="252E5CA9"/>
    <w:rsid w:val="255A23F9"/>
    <w:rsid w:val="256F7692"/>
    <w:rsid w:val="25BA2154"/>
    <w:rsid w:val="25C8773F"/>
    <w:rsid w:val="264A7253"/>
    <w:rsid w:val="26F0170C"/>
    <w:rsid w:val="27201D62"/>
    <w:rsid w:val="27286E73"/>
    <w:rsid w:val="27CF2642"/>
    <w:rsid w:val="27E777F5"/>
    <w:rsid w:val="27EA1D4C"/>
    <w:rsid w:val="27EA2E41"/>
    <w:rsid w:val="27F03F5D"/>
    <w:rsid w:val="282459E2"/>
    <w:rsid w:val="283A7FE5"/>
    <w:rsid w:val="285F51FF"/>
    <w:rsid w:val="28DF2665"/>
    <w:rsid w:val="29072599"/>
    <w:rsid w:val="291029F3"/>
    <w:rsid w:val="29947C5F"/>
    <w:rsid w:val="29CB58F0"/>
    <w:rsid w:val="2A053397"/>
    <w:rsid w:val="2A145E96"/>
    <w:rsid w:val="2A2131BB"/>
    <w:rsid w:val="2A5102BF"/>
    <w:rsid w:val="2A812015"/>
    <w:rsid w:val="2AF5378F"/>
    <w:rsid w:val="2BB94DBF"/>
    <w:rsid w:val="2C6F314E"/>
    <w:rsid w:val="2CC206BE"/>
    <w:rsid w:val="2D1136DF"/>
    <w:rsid w:val="2D20606D"/>
    <w:rsid w:val="2DB87198"/>
    <w:rsid w:val="2DB93C54"/>
    <w:rsid w:val="2DE60FE9"/>
    <w:rsid w:val="2E3D144C"/>
    <w:rsid w:val="2E891204"/>
    <w:rsid w:val="2F3F0A28"/>
    <w:rsid w:val="2FBF7029"/>
    <w:rsid w:val="2FD0187F"/>
    <w:rsid w:val="2FD27414"/>
    <w:rsid w:val="2FFE4BB0"/>
    <w:rsid w:val="300E7B60"/>
    <w:rsid w:val="300F6E18"/>
    <w:rsid w:val="30294C50"/>
    <w:rsid w:val="30862F5F"/>
    <w:rsid w:val="314029C9"/>
    <w:rsid w:val="31C63837"/>
    <w:rsid w:val="31C82E39"/>
    <w:rsid w:val="32601BAD"/>
    <w:rsid w:val="329F6389"/>
    <w:rsid w:val="3389023A"/>
    <w:rsid w:val="33CB74FA"/>
    <w:rsid w:val="343642F2"/>
    <w:rsid w:val="343F3010"/>
    <w:rsid w:val="345D0A00"/>
    <w:rsid w:val="34713BFD"/>
    <w:rsid w:val="34C13589"/>
    <w:rsid w:val="353369E3"/>
    <w:rsid w:val="35C40CA8"/>
    <w:rsid w:val="35E00D72"/>
    <w:rsid w:val="36965B9D"/>
    <w:rsid w:val="36C549FD"/>
    <w:rsid w:val="37A755DD"/>
    <w:rsid w:val="37F94FA0"/>
    <w:rsid w:val="380D3381"/>
    <w:rsid w:val="38115B1F"/>
    <w:rsid w:val="385E3AC3"/>
    <w:rsid w:val="387D6B9E"/>
    <w:rsid w:val="38B75FF0"/>
    <w:rsid w:val="38CA174B"/>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3FFE7BEC"/>
    <w:rsid w:val="40094AEF"/>
    <w:rsid w:val="405470BD"/>
    <w:rsid w:val="40794A29"/>
    <w:rsid w:val="40834692"/>
    <w:rsid w:val="41431AD5"/>
    <w:rsid w:val="414B3C0F"/>
    <w:rsid w:val="417C1CE7"/>
    <w:rsid w:val="41900018"/>
    <w:rsid w:val="41944406"/>
    <w:rsid w:val="41962EF5"/>
    <w:rsid w:val="41CE128F"/>
    <w:rsid w:val="41DA6F12"/>
    <w:rsid w:val="42171FB1"/>
    <w:rsid w:val="434E6957"/>
    <w:rsid w:val="439F30F5"/>
    <w:rsid w:val="43BA0E31"/>
    <w:rsid w:val="43C15147"/>
    <w:rsid w:val="43E14DD2"/>
    <w:rsid w:val="43F800E9"/>
    <w:rsid w:val="440305EA"/>
    <w:rsid w:val="443A7E4B"/>
    <w:rsid w:val="44E86C19"/>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6A2833"/>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42D6A"/>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2A0615"/>
    <w:rsid w:val="5F350BDE"/>
    <w:rsid w:val="5F61632C"/>
    <w:rsid w:val="5F9F3570"/>
    <w:rsid w:val="5FA17648"/>
    <w:rsid w:val="5FE705CB"/>
    <w:rsid w:val="603D5080"/>
    <w:rsid w:val="609906C0"/>
    <w:rsid w:val="60D0261B"/>
    <w:rsid w:val="618E3791"/>
    <w:rsid w:val="61947DCA"/>
    <w:rsid w:val="61A46A97"/>
    <w:rsid w:val="61D1382F"/>
    <w:rsid w:val="61DD1805"/>
    <w:rsid w:val="61F114A2"/>
    <w:rsid w:val="621E68C3"/>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5F52031"/>
    <w:rsid w:val="66085536"/>
    <w:rsid w:val="66105BF7"/>
    <w:rsid w:val="66150023"/>
    <w:rsid w:val="6628010D"/>
    <w:rsid w:val="669B4528"/>
    <w:rsid w:val="66CC12D7"/>
    <w:rsid w:val="67134CEF"/>
    <w:rsid w:val="671F1ABD"/>
    <w:rsid w:val="67521A59"/>
    <w:rsid w:val="67C304AB"/>
    <w:rsid w:val="681E1E1B"/>
    <w:rsid w:val="683F0658"/>
    <w:rsid w:val="689C6793"/>
    <w:rsid w:val="68DB0208"/>
    <w:rsid w:val="68FB170C"/>
    <w:rsid w:val="691B3D98"/>
    <w:rsid w:val="693748F0"/>
    <w:rsid w:val="69846A0E"/>
    <w:rsid w:val="69AA1366"/>
    <w:rsid w:val="69AD798C"/>
    <w:rsid w:val="69D005C0"/>
    <w:rsid w:val="69D80B96"/>
    <w:rsid w:val="69DA7573"/>
    <w:rsid w:val="6B68175F"/>
    <w:rsid w:val="6BFD799F"/>
    <w:rsid w:val="6C4A2E5A"/>
    <w:rsid w:val="6C8138D0"/>
    <w:rsid w:val="6CEF0725"/>
    <w:rsid w:val="6D4B2604"/>
    <w:rsid w:val="6D8030E4"/>
    <w:rsid w:val="6E0E35C4"/>
    <w:rsid w:val="6E0F7A08"/>
    <w:rsid w:val="6E3947F5"/>
    <w:rsid w:val="6E9C74ED"/>
    <w:rsid w:val="6EF72976"/>
    <w:rsid w:val="6F2A51DC"/>
    <w:rsid w:val="6F795A80"/>
    <w:rsid w:val="6F7C1D2E"/>
    <w:rsid w:val="6F8E0407"/>
    <w:rsid w:val="6FC32D6B"/>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E93ABF"/>
    <w:rsid w:val="7CF057E2"/>
    <w:rsid w:val="7D1548B5"/>
    <w:rsid w:val="7D59210E"/>
    <w:rsid w:val="7DF84014"/>
    <w:rsid w:val="7E207949"/>
    <w:rsid w:val="7E5C0A47"/>
    <w:rsid w:val="7E670C75"/>
    <w:rsid w:val="7EE24272"/>
    <w:rsid w:val="7EEA6053"/>
    <w:rsid w:val="7F0E257D"/>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5695</Words>
  <Characters>6485</Characters>
  <Lines>0</Lines>
  <Paragraphs>0</Paragraphs>
  <TotalTime>13</TotalTime>
  <ScaleCrop>false</ScaleCrop>
  <LinksUpToDate>false</LinksUpToDate>
  <CharactersWithSpaces>6514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cp:lastPrinted>2024-08-20T08:50:00Z</cp:lastPrinted>
  <dcterms:modified xsi:type="dcterms:W3CDTF">2024-08-28T02:59:55Z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