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新疆维吾尔自治区自然资源法律事务中心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1.开展自然资源地方性立法研究、前期调研论证及立法后评估工作。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2.协助办理自然资源行政复议、行政诉讼案件；对厅行政复议及行政应诉案件进行分析，提出案件办理意见建议。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3.协助对自然资源厅交办的自然资源违法案件行政处罚决定进行合法性审查工作。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4.协助开展自然资源普法工作，向社会提供自然资源法律法规及政策的咨询服务工作。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新疆维吾尔自治区自然资源法律事务中心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color w:val="auto"/>
          <w:kern w:val="0"/>
          <w:sz w:val="32"/>
          <w:szCs w:val="32"/>
          <w:highlight w:val="none"/>
          <w:lang w:eastAsia="zh-CN"/>
        </w:rPr>
        <w:t>无</w:t>
      </w:r>
      <w:r>
        <w:rPr>
          <w:rFonts w:hint="eastAsia" w:ascii="仿宋_GB2312" w:hAnsi="黑体" w:eastAsia="仿宋_GB2312" w:cs="宋体"/>
          <w:bCs/>
          <w:color w:val="auto"/>
          <w:kern w:val="0"/>
          <w:sz w:val="32"/>
          <w:szCs w:val="32"/>
          <w:highlight w:val="none"/>
        </w:rPr>
        <w:t>下设处室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391.76万元，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391.76万元，使用非财政拨款结余0.00万元，年初结转和结余0.00万元。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391.76万元，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391.76万元，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增加391.76万元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val="zh-CN" w:eastAsia="zh-CN"/>
        </w:rPr>
        <w:t>0</w:t>
      </w:r>
      <w:r>
        <w:rPr>
          <w:rFonts w:hint="eastAsia" w:ascii="仿宋_GB2312" w:eastAsia="仿宋_GB2312"/>
          <w:color w:val="auto"/>
          <w:spacing w:val="0"/>
          <w:sz w:val="32"/>
          <w:szCs w:val="32"/>
          <w:highlight w:val="none"/>
          <w:lang w:val="en-US" w:eastAsia="zh-CN"/>
        </w:rPr>
        <w:t>.00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391.76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391.75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本年支出391.76万元，其中：基本支出391.75万元，占100.00%；项目支出0.01万元，占0.00%；上缴上级支出0.00万元，占0.00%；经营支出0.00万元，占0.00%；对附属单位补助支出0.00万元，占0.00%。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增加391.75万元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主要原因是：中心于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财务独立，往年未单独申请经费。与年初预算相比，年初预算数</w:t>
      </w:r>
      <w:r>
        <w:rPr>
          <w:rFonts w:hint="eastAsia" w:ascii="仿宋_GB2312" w:eastAsia="仿宋_GB2312"/>
          <w:color w:val="auto"/>
          <w:spacing w:val="0"/>
          <w:sz w:val="32"/>
          <w:szCs w:val="32"/>
          <w:highlight w:val="none"/>
          <w:lang w:val="zh-CN" w:eastAsia="zh-CN"/>
        </w:rPr>
        <w:t>342.09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万元，预决算差异率14.52%，主要原因是：因年中追加人员经费、项目经费，故决算数与年初预算数有差异。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2023年度一般公共预算财政拨款支出391.75万元，占本年支出合计的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增加391.75万元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主要原因是：中心于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财务独立，往年未单独申请经费。与年初预算相比，年初预算数</w:t>
      </w:r>
      <w:r>
        <w:rPr>
          <w:rFonts w:hint="eastAsia" w:ascii="仿宋_GB2312" w:eastAsia="仿宋_GB2312"/>
          <w:color w:val="auto"/>
          <w:spacing w:val="0"/>
          <w:sz w:val="32"/>
          <w:szCs w:val="32"/>
          <w:highlight w:val="none"/>
          <w:lang w:val="zh-CN" w:eastAsia="zh-CN"/>
        </w:rPr>
        <w:t>342.09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391.75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14.52%</w:t>
      </w:r>
      <w:r>
        <w:rPr>
          <w:rFonts w:hint="eastAsia" w:ascii="仿宋_GB2312" w:eastAsia="仿宋_GB2312"/>
          <w:color w:val="auto"/>
          <w:spacing w:val="0"/>
          <w:sz w:val="32"/>
          <w:szCs w:val="32"/>
          <w:highlight w:val="none"/>
          <w:lang w:eastAsia="zh-CN"/>
        </w:rPr>
        <w:t>，主要原因是：因年中追加人员经费、项目经费，故决算数与年初预算数有差异。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45.25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11.55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23.02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305.42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77.96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18.05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1.卫生健康支出（类）行政事业单位医疗（款）行政单位医疗（项）:支出决算数为12.49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2.卫生健康支出（类）行政事业单位医疗（款）公务员医疗补助（项）:支出决算数为10.53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3.自然资源海洋气象等支出（类）自然资源事务（款）行政运行（项）:支出决算数为305.42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305.42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4.住房保障支出（类）住房改革支出（款）住房公积金（项）:支出决算数为18.05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5.社会保障和就业支出（类）行政事业单位养老支出（款）行政单位离退休（项）:支出决算数为6.69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6.社会保障和就业支出（类）行政事业单位养老支出（款）机关事业单位职业年金缴费支出（项）:支出决算数为14.49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7.社会保障和就业支出（类）行政事业单位养老支出（款）机关事业单位基本养老保险缴费支出（项）:支出决算数为24.07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391.75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291.18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基本工资、津贴补贴、奖金、机关事业单位基本养老保险缴费、职业年金缴费、职工基本医疗保险缴费、公务员医疗补助缴费、其他社会保障缴费、住房公积金、退休费、医疗费补助、其他对个人和家庭的补助。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100.56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办公费、印刷费、咨询费、手续费、邮电费、差旅费、维修（护）费、租赁费、培训费、劳务费、委托业务费、工会经费、福利费、公务用车运行维护费、其他交通费用、其他商品和服务支出、办公设备购置。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“三公”经费支出2.70万元，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增加2.70万元，增长</w:t>
      </w:r>
      <w:r>
        <w:rPr>
          <w:rFonts w:hint="eastAsia" w:ascii="仿宋_GB2312" w:eastAsia="仿宋_GB2312"/>
          <w:color w:val="auto"/>
          <w:sz w:val="32"/>
          <w:szCs w:val="32"/>
          <w:highlight w:val="none"/>
          <w:lang w:val="en-US" w:eastAsia="zh-CN"/>
        </w:rPr>
        <w:t>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ascii="仿宋_GB2312" w:eastAsia="仿宋_GB2312"/>
          <w:color w:val="auto"/>
          <w:sz w:val="32"/>
          <w:szCs w:val="32"/>
          <w:highlight w:val="none"/>
          <w:lang w:val="zh-CN" w:eastAsia="zh-CN"/>
        </w:rPr>
        <w:t>。其中：因公出国（境）费支出0.00万元，占0.00%，比上年增加0.00万元，增长0.00%，主要原因是：无因公出国（境）；公务用车购置及运行维护费支出2.70万元，占100.00%，比上年增加2.70万元，增长</w:t>
      </w:r>
      <w:r>
        <w:rPr>
          <w:rFonts w:hint="eastAsia" w:ascii="仿宋_GB2312" w:eastAsia="仿宋_GB2312"/>
          <w:color w:val="auto"/>
          <w:sz w:val="32"/>
          <w:szCs w:val="32"/>
          <w:highlight w:val="none"/>
          <w:lang w:val="en-US" w:eastAsia="zh-CN"/>
        </w:rPr>
        <w:t>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ascii="仿宋_GB2312" w:eastAsia="仿宋_GB2312"/>
          <w:color w:val="auto"/>
          <w:sz w:val="32"/>
          <w:szCs w:val="32"/>
          <w:highlight w:val="none"/>
          <w:lang w:val="zh-CN" w:eastAsia="zh-CN"/>
        </w:rPr>
        <w:t>；公务接待费支出0.00万元，占0.00%，比上年增加0.00万元，增长0.00%，主要原因是：无公务接待。</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因公出国（境）费支出0.00万元，开支内容包括无此项支出。单位全年安排的因公出国（境）团组0个，因公出国（境）0人次。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2.70万元，其中：公务用车购置费0.00万元，公务用车运行维护费2.70万元。公务用车运行维护费开支内容包括公车维修费、车辆交强险、车辆年度保险。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保有量差异原因是：无差异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公务接待费0.00万元，开支内容包括无此项支出。单位全年安排的国内公务接待0批次，0人次。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预算数2.70万元，决算数2.70万元，预决算差异率-0.03%，主要原因是：厉行节约，未全数使用经费。其中：因公出国（境）费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0.00万元，决算数0.00万元，预决算差异率0.00%，主要原因是：无因公出国费；公务用车购置费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预算数2.70万元，决算数2.70万元，预决算差异率-0.03%，主要原因是：厉行节约，未全数使用经费；公务接待费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新疆维吾尔自治区自然资源法律事务中心（行政单位和参照公务员法管理事业单位）机关运行经费支出100.56万元，比上年增加100.56万元，增长</w:t>
      </w:r>
      <w:r>
        <w:rPr>
          <w:rFonts w:hint="eastAsia" w:eastAsia="仿宋_GB2312" w:cs="Times New Roman"/>
          <w:color w:val="auto"/>
          <w:sz w:val="32"/>
          <w:szCs w:val="32"/>
          <w:highlight w:val="none"/>
          <w:lang w:val="en-US" w:eastAsia="zh-CN"/>
        </w:rPr>
        <w:t>1</w:t>
      </w:r>
      <w:bookmarkStart w:id="48" w:name="_GoBack"/>
      <w:bookmarkEnd w:id="48"/>
      <w:r>
        <w:rPr>
          <w:rFonts w:hint="eastAsia"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en-US" w:eastAsia="zh-CN"/>
        </w:rPr>
        <w:t>0.00%,主要原因是：</w:t>
      </w:r>
      <w:r>
        <w:rPr>
          <w:rFonts w:hint="eastAsia" w:ascii="仿宋_GB2312" w:eastAsia="仿宋_GB2312"/>
          <w:color w:val="auto"/>
          <w:spacing w:val="0"/>
          <w:sz w:val="32"/>
          <w:szCs w:val="32"/>
          <w:highlight w:val="none"/>
          <w:lang w:eastAsia="zh-CN"/>
        </w:rPr>
        <w:t>中心于</w:t>
      </w:r>
      <w:r>
        <w:rPr>
          <w:rFonts w:hint="eastAsia" w:ascii="仿宋_GB2312" w:eastAsia="仿宋_GB2312"/>
          <w:color w:val="auto"/>
          <w:spacing w:val="0"/>
          <w:sz w:val="32"/>
          <w:szCs w:val="32"/>
          <w:highlight w:val="none"/>
          <w:lang w:val="en-US" w:eastAsia="zh-CN"/>
        </w:rPr>
        <w:t>2023年开始</w:t>
      </w:r>
      <w:r>
        <w:rPr>
          <w:rFonts w:hint="eastAsia" w:ascii="仿宋_GB2312" w:eastAsia="仿宋_GB2312"/>
          <w:color w:val="auto"/>
          <w:spacing w:val="0"/>
          <w:sz w:val="32"/>
          <w:szCs w:val="32"/>
          <w:highlight w:val="none"/>
          <w:lang w:eastAsia="zh-CN"/>
        </w:rPr>
        <w:t>财务独立，往年未单独申请经费</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17.03万元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其中：政府采购货物支出4.33万元、政府采购工程支出0.00万元、政府采购服务支出12.70万元。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授予中小企业合同金额17.03万元，占政府采购支出总额的100.00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，其中：授予小微企业合同金额4.33万元，占政府采购支出总额的25.43</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57.32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屋0.0平方米，价值0.00万元。车辆1辆，价值39.59万元，其中：副部（省）级及以上领导用车0辆、主要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用于主管单位班车使用</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全年执行数99.99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不断完善各项预算管理制度，根据新形势和新要求，结合不断出台的各项制度，制定相应的预算管理制度。强化预算管理，事前必编预算，控制经费使用，使用必问绩效，将绩效管理贯穿于预算编制、执行及决算等环节；二是加强宣传，加强对各项制度的执行力度，杜绝有令不行、有禁不止的情况发生。发现的问题及原因：一是绩效指标设置不够细化。建议加强绩效管理业务培训、学习，深入领会中央、省、州、市全面实施预算绩效管理的精神，树立“花钱必问效、无效必问责”甚至是低效也要问责的意识，实行重大项目终身责任制；二是未实施绩效监控。建议在项目实施过程中，根据项目实际完成情况每季度填报项目绩效运行监控表，对项目实施过程进行全程监控，以防出现执行错误，对已经出现的偏差，及时进行纠正。下一步改进措施：一是绩效管理方面，绩效目标设置是预算批复和预算安排的前置条件，是实施 绩效监控、开展绩效评价等工作的重要基础和依据，统领预算绩效管理。建议预算单位严格按照自治区印发的相关通知要求，切实提升绩效目标和指标的编制水平，强化目标对项目实施的约束力；二是资金管理方面，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4D6AFA"/>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11352D"/>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E70189"/>
    <w:rsid w:val="452F5B3A"/>
    <w:rsid w:val="454E7FD2"/>
    <w:rsid w:val="46061BDC"/>
    <w:rsid w:val="461404F8"/>
    <w:rsid w:val="46413018"/>
    <w:rsid w:val="464B7E04"/>
    <w:rsid w:val="468041AA"/>
    <w:rsid w:val="468123C6"/>
    <w:rsid w:val="46901EEE"/>
    <w:rsid w:val="469C74D2"/>
    <w:rsid w:val="47445515"/>
    <w:rsid w:val="474B4782"/>
    <w:rsid w:val="47D90D14"/>
    <w:rsid w:val="48301589"/>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9C5AE6"/>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闻政-正文段落文字"/>
    <w:basedOn w:val="1"/>
    <w:qFormat/>
    <w:uiPriority w:val="3"/>
    <w:pPr>
      <w:spacing w:line="500" w:lineRule="exact"/>
      <w:ind w:firstLine="200"/>
    </w:pPr>
    <w:rPr>
      <w:rFonts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5521</Words>
  <Characters>6192</Characters>
  <Lines>0</Lines>
  <Paragraphs>0</Paragraphs>
  <TotalTime>0</TotalTime>
  <ScaleCrop>false</ScaleCrop>
  <LinksUpToDate>false</LinksUpToDate>
  <CharactersWithSpaces>6204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2024-09-07T13:18:24Z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