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AA089">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8DDC8FD">
      <w:pPr>
        <w:spacing w:line="540" w:lineRule="exact"/>
        <w:jc w:val="center"/>
        <w:rPr>
          <w:rFonts w:ascii="华文中宋" w:hAnsi="华文中宋" w:eastAsia="华文中宋" w:cs="宋体"/>
          <w:b/>
          <w:kern w:val="0"/>
          <w:sz w:val="52"/>
          <w:szCs w:val="52"/>
        </w:rPr>
      </w:pPr>
    </w:p>
    <w:p w14:paraId="047C3198">
      <w:pPr>
        <w:spacing w:line="540" w:lineRule="exact"/>
        <w:jc w:val="center"/>
        <w:rPr>
          <w:rFonts w:ascii="华文中宋" w:hAnsi="华文中宋" w:eastAsia="华文中宋" w:cs="宋体"/>
          <w:b/>
          <w:kern w:val="0"/>
          <w:sz w:val="52"/>
          <w:szCs w:val="52"/>
        </w:rPr>
      </w:pPr>
    </w:p>
    <w:p w14:paraId="17A27C07">
      <w:pPr>
        <w:spacing w:line="540" w:lineRule="exact"/>
        <w:jc w:val="center"/>
        <w:rPr>
          <w:rFonts w:ascii="华文中宋" w:hAnsi="华文中宋" w:eastAsia="华文中宋" w:cs="宋体"/>
          <w:b/>
          <w:kern w:val="0"/>
          <w:sz w:val="52"/>
          <w:szCs w:val="52"/>
        </w:rPr>
      </w:pPr>
    </w:p>
    <w:p w14:paraId="525B2B7D">
      <w:pPr>
        <w:spacing w:line="540" w:lineRule="exact"/>
        <w:jc w:val="center"/>
        <w:rPr>
          <w:rFonts w:ascii="华文中宋" w:hAnsi="华文中宋" w:eastAsia="华文中宋" w:cs="宋体"/>
          <w:b/>
          <w:kern w:val="0"/>
          <w:sz w:val="52"/>
          <w:szCs w:val="52"/>
        </w:rPr>
      </w:pPr>
    </w:p>
    <w:p w14:paraId="49669183">
      <w:pPr>
        <w:spacing w:line="540" w:lineRule="exact"/>
        <w:jc w:val="center"/>
        <w:rPr>
          <w:rFonts w:ascii="华文中宋" w:hAnsi="华文中宋" w:eastAsia="华文中宋" w:cs="宋体"/>
          <w:b/>
          <w:kern w:val="0"/>
          <w:sz w:val="52"/>
          <w:szCs w:val="52"/>
        </w:rPr>
      </w:pPr>
    </w:p>
    <w:p w14:paraId="43243C28">
      <w:pPr>
        <w:spacing w:line="540" w:lineRule="exact"/>
        <w:jc w:val="center"/>
        <w:rPr>
          <w:rFonts w:ascii="华文中宋" w:hAnsi="华文中宋" w:eastAsia="华文中宋" w:cs="宋体"/>
          <w:b/>
          <w:kern w:val="0"/>
          <w:sz w:val="52"/>
          <w:szCs w:val="52"/>
        </w:rPr>
      </w:pPr>
    </w:p>
    <w:p w14:paraId="366F87B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500EAD46">
      <w:pPr>
        <w:spacing w:line="540" w:lineRule="exact"/>
        <w:jc w:val="center"/>
        <w:rPr>
          <w:rFonts w:ascii="华文中宋" w:hAnsi="华文中宋" w:eastAsia="华文中宋" w:cs="宋体"/>
          <w:b/>
          <w:kern w:val="0"/>
          <w:sz w:val="52"/>
          <w:szCs w:val="52"/>
        </w:rPr>
      </w:pPr>
    </w:p>
    <w:p w14:paraId="68D5F2C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316F070C">
      <w:pPr>
        <w:spacing w:line="540" w:lineRule="exact"/>
        <w:jc w:val="center"/>
        <w:rPr>
          <w:rFonts w:hAnsi="宋体" w:eastAsia="仿宋_GB2312" w:cs="宋体"/>
          <w:kern w:val="0"/>
          <w:sz w:val="30"/>
          <w:szCs w:val="30"/>
        </w:rPr>
      </w:pPr>
    </w:p>
    <w:p w14:paraId="77E448E0">
      <w:pPr>
        <w:spacing w:line="540" w:lineRule="exact"/>
        <w:jc w:val="center"/>
        <w:rPr>
          <w:rFonts w:hAnsi="宋体" w:eastAsia="仿宋_GB2312" w:cs="宋体"/>
          <w:kern w:val="0"/>
          <w:sz w:val="30"/>
          <w:szCs w:val="30"/>
        </w:rPr>
      </w:pPr>
    </w:p>
    <w:p w14:paraId="18783AE6">
      <w:pPr>
        <w:spacing w:line="540" w:lineRule="exact"/>
        <w:jc w:val="center"/>
        <w:rPr>
          <w:rFonts w:hAnsi="宋体" w:eastAsia="仿宋_GB2312" w:cs="宋体"/>
          <w:kern w:val="0"/>
          <w:sz w:val="30"/>
          <w:szCs w:val="30"/>
        </w:rPr>
      </w:pPr>
      <w:bookmarkStart w:id="0" w:name="_GoBack"/>
      <w:bookmarkEnd w:id="0"/>
    </w:p>
    <w:p w14:paraId="49DF0F7B">
      <w:pPr>
        <w:spacing w:line="540" w:lineRule="exact"/>
        <w:jc w:val="center"/>
        <w:rPr>
          <w:rFonts w:hAnsi="宋体" w:eastAsia="仿宋_GB2312" w:cs="宋体"/>
          <w:kern w:val="0"/>
          <w:sz w:val="30"/>
          <w:szCs w:val="30"/>
        </w:rPr>
      </w:pPr>
    </w:p>
    <w:p w14:paraId="7421378B">
      <w:pPr>
        <w:spacing w:line="540" w:lineRule="exact"/>
        <w:jc w:val="center"/>
        <w:rPr>
          <w:rFonts w:hAnsi="宋体" w:eastAsia="仿宋_GB2312" w:cs="宋体"/>
          <w:kern w:val="0"/>
          <w:sz w:val="30"/>
          <w:szCs w:val="30"/>
        </w:rPr>
      </w:pPr>
    </w:p>
    <w:p w14:paraId="0C93155E">
      <w:pPr>
        <w:spacing w:line="540" w:lineRule="exact"/>
        <w:rPr>
          <w:rFonts w:hAnsi="宋体" w:eastAsia="仿宋_GB2312" w:cs="宋体"/>
          <w:kern w:val="0"/>
          <w:sz w:val="30"/>
          <w:szCs w:val="30"/>
        </w:rPr>
      </w:pPr>
    </w:p>
    <w:p w14:paraId="2A8622A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EAAC37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不动产权证书印制及成本性支出</w:t>
      </w:r>
    </w:p>
    <w:p w14:paraId="59C9D68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新疆维吾尔自治区国土资源厅机关服务中心</w:t>
      </w:r>
    </w:p>
    <w:p w14:paraId="73B3209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新疆维吾尔自治区国土资源厅机关服务中心</w:t>
      </w:r>
    </w:p>
    <w:p w14:paraId="3BD55AF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连志纯</w:t>
      </w:r>
    </w:p>
    <w:p w14:paraId="3D895ADA">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2024年03月20日</w:t>
      </w:r>
    </w:p>
    <w:p w14:paraId="4D2044BE">
      <w:pPr>
        <w:spacing w:line="700" w:lineRule="exact"/>
        <w:ind w:firstLine="708" w:firstLineChars="236"/>
        <w:jc w:val="left"/>
        <w:rPr>
          <w:rFonts w:hAnsi="宋体" w:eastAsia="仿宋_GB2312" w:cs="宋体"/>
          <w:kern w:val="0"/>
          <w:sz w:val="30"/>
          <w:szCs w:val="30"/>
        </w:rPr>
      </w:pPr>
    </w:p>
    <w:p w14:paraId="7396411F">
      <w:pPr>
        <w:spacing w:line="540" w:lineRule="exact"/>
        <w:rPr>
          <w:rStyle w:val="18"/>
          <w:rFonts w:ascii="黑体" w:hAnsi="黑体" w:eastAsia="黑体"/>
          <w:b w:val="0"/>
          <w:spacing w:val="-4"/>
          <w:sz w:val="32"/>
          <w:szCs w:val="32"/>
        </w:rPr>
      </w:pPr>
    </w:p>
    <w:p w14:paraId="5D09D17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F6EAEB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6E06132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书印制及成本性支出》项目遵循财政部《项目支出绩效评价管理办法》（财预〔2020〕10号）和自治区财政厅《自治区财政支出绩效评价管理暂行办法》（新财预〔2018〕189号）等相关政策文件与规定，旨在评价不动产权证书印制及成本性支出项目实施前期、过程及效果，评价财政预算资金使用的效率及效益。机关服务中心承担着为厅机关的各项后勤保障服务性工作及全疆不动产权证书等证件的印制和发售服务工作，不动产权证书印制及成本性支出项目是财政连续性项目，我中心为做好自治区自然资源系统不动产权证登记发证工作提供有力服务保障，每年约有证书收入400万元左右上缴国库，在服务保障中将产生人员经费、不动产权证书等证件存放库房租赁、搬运费、临时雇工劳务等各项费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（1）主要内容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依据自治区不动产登记中心报送的全区印制计划，开展不动产权证书等证件的印制工作。严格根据自然资源部规定的印制标准，按照印制合同，任务书确定的不动产权证书等证件的种类、数量和印制流水号，开展印制工作，保证印制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根据项目建设依据，有序开展项目工作，我单位有自收自支人员13名，长聘人员5名，服务于厅机关各项后勤保障、各类不动产证书等证件印制发售，搬运保洁，库房管理等工作。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经费明细测算，按月发放自收自支人员和长聘人员工资福利支出经费约273.63万元，按计划印制不动产权证书等证件23.38万元，按签订仓储合同支付库房租赁14.88万元、搬运及车辆运输2.5万元、按计划购买办公用品、耗材及保洁用品等11.52万元，支付劳务费34.09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由新疆维吾尔自治区自然资源厅机关服务中心单位实施，内设5个科室，分别是：办公室、资产基建科、物业管理科、财务科和机关车队。主要职能是，保障好厅机关办公楼、住宅、房屋的物业管理，为机关和住户提供综合服务。承办厅机关的房地产、基本建设管理及相关事项。承办厅机关办公区、住宅区的水、电、暖、有线电视、环境卫生、绿化、电梯、消防、门卫、保安的管理和维修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编制人数31人，其中：行政人员编制0人、工勤17人、参公0人、事业编制31人。实有在职人数25人，其中：行政在职0人、工勤17人、参公0人、事业在职25人。离退休人员32人，其中：行政退休人员0人、事业退休32人。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书印制及成本性支出》项目【2020】16号文本年度安排下达资金360万元，为本级财政拨款资金，最终确定项目资金总数为360万元。其中：中央财政拨款0万元，自治区财政拨款0万元，本级财政拨款360万元，上年结余0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截至2023年12月31日，实际支出360万元，预算执行率100%</w:t>
      </w:r>
    </w:p>
    <w:p w14:paraId="6F41737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5AE4A71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项目绩效目标包括项目绩效总目标和阶段性目标。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1.项目绩效总目标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完成2023年度自然资源业务相关证书的存放保管发售等工作，通过项目实施，实现非税收入应收尽收，增加财政收入，保证厅办公楼设施完好正常使用、环境整洁卫生安全。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(1)项目产出目标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“发售不动产权证书数量”指标，预期指标值为≥40万本；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“证件印刷成本人员人数”指标，预期指标值为≥18人；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“人员劳务费发放次数”指标，预期指标值为≥12次；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“不动产权证书印制合格率”指标，预期指标值为≥95%；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“不动产权证书印制完成时间”指标，预期指标值为2023年11月底前；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“劳务费支付及时率”指标，预期指标值为≥95%。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“不动产权证印刷成本性支出”指标，预期指标值为≤86.5万元；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“不动产权证印刷成本人员工资福利性支出”指标，预期指标值为=1.27万元/人/月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（2）项目效益目标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“为自治区财政增加非税收入”指标，预期指标值为≥400万元；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“推动不动产登记工作，持续为不动产登记工作提供支撑”，指标，预期指标值为有效推动。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④可持续影响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⑤满意度指标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“全疆各地州自然资源系统单位满意度”指标，预期指标值为≥95%。</w:t>
      </w:r>
    </w:p>
    <w:p w14:paraId="4A94230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322B47E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85608F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控制好本年预算配置，财政供养人员控制在预算编制以内，支出总额控制在预算总额以内，本年部门预算未进行预算相关事项的调整；预算资金按规定管理使用，财政拨款支出总体控制较好，制定切实有效的内部财务、资产内部管理制度，执行总体较为有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项目支出绩效评价管理办法》（财预〔2020〕10号）和自治区财政厅《自治区财政支出绩效评价管理暂行办法》（新财预〔2018〕189号）等相关政策文件与规定以不动产权证书印制及成本性支出项目支出为对象所对应的预算资金，以项目实施所带来的产出和效果为主要内容，以促进预算单位完成特定工作任务目标所组织开展的绩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0DF5AC2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2825CB4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坚持定量优先、定量与定性相结合的方式，始终遵循科学规范、公正公开、分级分类、绩效相关的基本原则。通过对不动产权证书印制及成本性支出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科学公正。绩效评价应当运用科学合理的方法，按照规范的程序，对项目绩效进行客观、公正的反映。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公开透明。绩效评价结果应依法依规公开，并自觉接受社会监督。2.绩效评价指标体系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二级指标为：项目立项、绩效目标、资金投入、资金管理、组织实施、产出数量、产出质量、产出时效、产出成本、项目效益。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本次绩效评价方法的选用坚持简便有效的原则采用成本效益分析法、比较法、综合指数评价法、公众评判法等多种方法，具体评价方法如下：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（1）成本效益分析法，是指将一定时期内总成本与总效益进行对比分析，以评价绩效目标实现程度。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绩效评价标准通常包括计划标准、行业标准、历史标准等，用于对绩效指标完成情况进行比较。本次评价主要采用了计划标准、行业标准和历史标准。不动产权证书印制及成本性支出项目建设可行、需求明确、依据充分、内容合理，设置的绩效目标能够反映项目实施效果，通过精心组织、严密实施，能够确保该项目实施后获得预期效果。(附件1)</w:t>
      </w:r>
    </w:p>
    <w:p w14:paraId="7B8F01C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D23905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本次评价成立了评价工作组，成员如下：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第一阶段：前期准备。认真学习相关要求与规定，成立绩效评价工作组，作为绩效评价工作具体实施机构。成员构成如下：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夏国柱任评价组组长，职务为主任，绩效评价工作职责为负责全盘工作。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李润喜任评价组副组长，绩效评价工作职责为对项目实施情况进行实地调查。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闫艳、杜英、李凡任评价组成员，绩效评价工作职责为负责资料审核等工作。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第二阶段：组织实施。经评价组通过实地调研等方式，采用综合分析法对项目的决策、管理、绩效进行的综合评价分析。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14:paraId="636E6A4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7121B67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组对照项目绩效评价指标体系，从决策、过程、产出和效益四个维度，通过数据采集、实地调研和问卷访谈等方式，对不动产权证书印制及成本性支出项目绩效进行客观公正的评价，本项目总得分为98.9分，绩效评级属于“优”。其中，决策类指标得分20分，过程类指标得分20分，产出类指标得分39.5分，效益类指标得分19.4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本项目达到了年初设立的绩效目标，在实施过程中取得了良好的成效，具体表现在：已完成2023年度自然资源业务相关证书的存放保管发售等工作，有效推动土地确权登记发证工作保障工作，实现各项非税收入的应收尽收，增加财政收入，为自治区财政收入增长做贡献</w:t>
      </w:r>
    </w:p>
    <w:p w14:paraId="72A63C0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0231026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6785051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项目决策类指标包括项目立项、绩效目标和资金投入三方面的内容，由6个三级指标构成，权重分为20分，实际得分20分，得分率为100%。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（1）立项依据充分性：根据《关于统一印制有关国土资源证书、报表的办公会议纪要》（新国土资阅〔2001〕7号）；原自治区国土资源厅《关于委托收取土地证照工本费的通知》；《关于转发〈财政部 国家发展改革委关于不动产登记收费有关政策问题的通知〉的通知》（新财非税〔2017〕8号）；《自治区不动产权证书和不动产登记证明管理暂行办法》；自然资源部《关于以多维合一为基础推进规划用地多审合一、多证合一改革的通知》(自然资规〔2019〕2号)等文件精神，并结合新疆维吾尔自治区自然资源厅机关服务中心职责组织实施。围绕我中心年度工作重点和工作计划制定经费预算，根据评分标准，该指标不扣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根据决策依据编制工作计划和经费预算，经过与新疆维吾尔自治区自然资源厅机关服务中心绩效评价工作领导小组进行沟通、筛选确定经费预算计划，上党总支会研究确定最终预算方案，根据评分标准，该指标不扣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（3）绩效目标合理性：制定了实施方案，明确了总体思路及目标、并对任务进行了详细分解，对目标进行了细化，根据评分标准，该指标不扣分，得3分。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项目设置了明确的预期产出效益和效果，将绩效目标细化分解为具体的绩效指标，绩效目标与项目目标任务数相对应，绩效目标设定的绩效指标清晰、细化、可衡量。该指标不扣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预算编制经过自治区财政厅《关于批复自治区本级2023年部门预算的通知》按照（新财预[2023]1号下拨，预算编制经过科学论证，提供充分的测算依据佐证资料，预算内容与项目内容相匹配。项目投资额与工作任务相匹配。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（6）资金分配合理性：资金分配按照《关于统一印制有关国土资源证书、报表的办公会议纪要》（新国土资阅〔2001〕7号）；原自治区国土资源厅《关于委托收取土地证照工本费的通知》；《关于转发〈财政部 国家发展改革委关于不动产登记收费有关政策问题的通知〉的通知》（新财非税〔2017〕8号）；《自治区不动产权证书和不动产登记证明管理暂行办法》；自然资源部《关于以多维合一为基础推进规划用地多审合一、多证合一改革的通知》(自然资规〔2019〕2号)等文件精神，机关服务中心承担着全疆各类不动产权证书等印制和发售工作，全年上交国库500万元左右。我单位有自收自支人员13名，长聘人员5名，服务于厅机关各项后勤保障、各类不动产证书等证件印制发售，搬运保洁，库房管理等工作，因此76%用于人员经费、24%用于印刷，租库房及劳务费等公用经费，资金分配额度与项目单位实际工作内容相适应，资金分配额度合理，资金分配依据充分。根据评分标准，该指标不扣分，得5分。</w:t>
      </w:r>
    </w:p>
    <w:p w14:paraId="562DBF0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20395C5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项目过程类指标包括资金管理和组织实施两方面的内容，由5个三级指标构成，权重分为20分，实际得分20分，得分率为100%。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（1）资金到位率：该项目总投资360万元，实际到位资金360万元，其中当年财政拨款360万元，财政资金足额拨付到位，根据评分标准，该指标不扣分，得5分。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（2）预算执行率：本项目申请预算金额为360 万元，预算批复实际下达金额为 360万元，截至 2023年 12 月 31日，资金执行360万元，资金执行率100.00%。项目资金支出总体能够按照预算执行，根据评分标准，该指标不扣分，得5分。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根据自治区财政厅《关于批复自治区本级2023年部门预算的通知》按照（新财预[2023]1号，符合预算批复规定用途，不存在截留、挤占、挪用、虚列支出等情况，未发现违规使用情况，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该项目严格按照机关服务中心各项财务制度，包括《机关服务中心财务管理办法》《机关服务中心预算管理实施细则》《机关服务中心政府采购管理暂行办法》等相关的制度和管理规定实施，对财政专项资金进行严格管理，基本做到了专款专用，根据评分标准，该指标不扣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由部门提出经费预算支出可行性方案，经过与绩效评价工作领导小组小组沟通后，报党总支会议研究执行，财务对资金的使用合法合规性进行监督，年底对资金使用效果进行自评，根据评分标准，该指标不扣分，得3分。</w:t>
      </w:r>
    </w:p>
    <w:p w14:paraId="76D24AA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66E801C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（三）项目产出情况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项目产出类指标包括产出数量、产出质量、产出时效、产出成本四方面的内容，由4个三级指标构成，权重分为40分，实际得分39.5分，得分率为98.75%。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（1）对于“产出数量”：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发售不动产权证书数量，指标值≥40万本，实际完成值=35.28万本，指标完成率=88.21%，偏差率为11.79%，偏差原因：2023年因各地州不动产权证需求量减少导致发售量减少。采取的措施：根据2023年不动产权证发售情况2024年进行调整。根据评分标准，该指标扣0.5分，得3.5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证件印刷成本人员人数，指标值≥18人，实际完成值=18人，指标完成率=100%，该指标不扣分，得3分；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人员劳务费发放次数，指标值=12次，实际完成值=12次，指标完成率=100%，该指标不扣分，得3分；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合计得9.5分。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（2）对于“产出质量”：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不动产权证书印制合格率，指标值≥95%，实际完成率=95%，指标完成率=100%，该指标不扣分，得10分；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（3）对于“产出时效”：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不动产权证书印制完成时间，指标值=2023年11月底前，实际完成时间2023年6月，指标完成率=100%，该指标不扣分，得5分；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劳务费支付及时率，指标值≥95%，实际完成率=95%，指标完成率100%，该指标不扣分，得5分；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（4）对于“产出成本”：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不动产权证印刷成本性支出，指标值≤86.5万元，实际完成值=86.5万元，指标完成率=100%，该指标不扣分，得5分；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不动产权证印刷成本人员工资福利性支出，指标值=1.27万元/人/月，实际完成值==1.27万元/人/月，指标完成率=100%，该指标不扣分，得5分；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p>
    <w:p w14:paraId="40E9561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7F73CA4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（四）项目效益情况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项目效益类指标包括项目效益2个方面的内容，由3个三级指标构成，权重分为20分，实际得分19.4分，得分率为97%。</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①对于“经济效益指标”：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自治区财政增加非税收入，指标值≥400万元，实际完成值=352.84万元，指标完成率=88.21%，偏差率为11.79%，偏差原因：2023年因各地州不动产权证需求量减少导致发售量减少。采取的措施：根据2023年不动产权证发售情况2024年进行调整。该指标扣0.6分，得4.4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②对于“社会效益指标”：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推动不动产登记工作，持续为不动产登记工作提供支撑，指标值：有效推动，实际完成值“有效推动，指标完成值=100%，该指标不扣分，得5分。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③对于“生态效益指标”：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实施效益指标合计得9.4分。</w:t>
      </w:r>
    </w:p>
    <w:p w14:paraId="35344B7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2.满意度指标：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全疆各地州自然资源系统单位满意度，指标值≥95%，，实际完成值=95%，指标完成值=100%，该指标不扣分，得10分。</w:t>
      </w:r>
    </w:p>
    <w:p w14:paraId="297D38B1">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14:paraId="1FE10B01">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1.制度保障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项目实施过程中按照自治区财政部门相关要求，对专项资金实行严格管理，专款专用，严禁挤占和挪用。严格遵守国家有关保密规定，做好数据保密及备份。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2.人员保障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根据项目实施需要配备人员，确保项目保质保量按期完成。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3.经费保障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对拨付的专项工作经费，实行专款专用、专项管理，确保项目的正常支出，使项目工作具有资金保障。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4.质量控制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组织实施中，进一步加强预算资金管理，规范各项工作程序，严格把关、落实财政预算、严格财经制度，为做好自治区自然资源系统不动产权证等证件登记发证工作，提供有力服务保障，保质保量、优质高效完成工作任务。确保非税收入征收所必须的各项业务开支，进一步实现各项非税收入的应收尽收，同时规范机关服务中心非税收入收缴行为从而增加财政收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中心人员有18名聘用人员，服务于厅机关各项后勤保障工作、各类不动产证书等证件印制发售、搬运保洁、库房管理、出入库登记等工作，原有工资福利支出经费靠不动产登记证明经营收入解决，2021年3月，自治区审计厅在审计中提出不动产登记证明收入依据不足，收费项目已取消，自2022年我中心已不再收取不动产登记证明收入，部分经费已陷入无来源的困境，为保障项目工作正常运转，建议逐年增加财政项目成本预算。</w:t>
      </w:r>
    </w:p>
    <w:p w14:paraId="70635322">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14:paraId="2E94FE34">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1.绩效管理方面</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绩效目标设置是预算批复和预算安排的前置条件，是实施绩效监控、开展绩效评价等工作的重要基础和依据，统领预算 绩效管理。建议预算单位严格按照自治区印发的相关通知要求，切实提升绩效目标和指标的编制水平，强化目标对项目实施的约束力。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2.资金管理方面</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3.项目管理方面</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14:paraId="1B4601B4">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14:paraId="0DC208EF">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我单位对上述项目支出绩效评价报告内反映内容的真实性、完整性负责，接受上级部门及社会监督。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附件1：不动产权证书印制及成本性支出项目绩效评价指标体系及评分标准</w:t>
      </w:r>
    </w:p>
    <w:p w14:paraId="356E3CE7">
      <w:pPr>
        <w:spacing w:line="540" w:lineRule="exact"/>
        <w:ind w:firstLine="567"/>
        <w:rPr>
          <w:rStyle w:val="18"/>
          <w:rFonts w:ascii="仿宋" w:hAnsi="仿宋" w:eastAsia="仿宋"/>
          <w:b w:val="0"/>
          <w:spacing w:val="-4"/>
          <w:sz w:val="32"/>
          <w:szCs w:val="32"/>
        </w:rPr>
      </w:pPr>
    </w:p>
    <w:p w14:paraId="5723A7EF">
      <w:pPr>
        <w:spacing w:line="540" w:lineRule="exact"/>
        <w:ind w:firstLine="567"/>
        <w:rPr>
          <w:rStyle w:val="18"/>
          <w:rFonts w:ascii="仿宋" w:hAnsi="仿宋" w:eastAsia="仿宋"/>
          <w:b w:val="0"/>
          <w:spacing w:val="-4"/>
          <w:sz w:val="32"/>
          <w:szCs w:val="32"/>
        </w:rPr>
      </w:pPr>
    </w:p>
    <w:p w14:paraId="22ECE66B">
      <w:pPr>
        <w:spacing w:line="540" w:lineRule="exact"/>
        <w:ind w:firstLine="567"/>
        <w:rPr>
          <w:rStyle w:val="18"/>
          <w:rFonts w:ascii="仿宋" w:hAnsi="仿宋" w:eastAsia="仿宋"/>
          <w:b w:val="0"/>
          <w:spacing w:val="-4"/>
          <w:sz w:val="32"/>
          <w:szCs w:val="32"/>
        </w:rPr>
      </w:pPr>
    </w:p>
    <w:p w14:paraId="0728FECA">
      <w:pPr>
        <w:spacing w:line="540" w:lineRule="exact"/>
        <w:ind w:firstLine="567"/>
        <w:rPr>
          <w:rStyle w:val="18"/>
          <w:rFonts w:ascii="仿宋" w:hAnsi="仿宋" w:eastAsia="仿宋"/>
          <w:b w:val="0"/>
          <w:spacing w:val="-4"/>
          <w:sz w:val="32"/>
          <w:szCs w:val="32"/>
        </w:rPr>
      </w:pPr>
    </w:p>
    <w:p w14:paraId="3C5822FA">
      <w:pPr>
        <w:spacing w:line="540" w:lineRule="exact"/>
        <w:ind w:firstLine="567"/>
        <w:rPr>
          <w:rStyle w:val="18"/>
          <w:rFonts w:ascii="仿宋" w:hAnsi="仿宋" w:eastAsia="仿宋"/>
          <w:b w:val="0"/>
          <w:spacing w:val="-4"/>
          <w:sz w:val="32"/>
          <w:szCs w:val="32"/>
        </w:rPr>
      </w:pPr>
    </w:p>
    <w:p w14:paraId="165ABA24">
      <w:pPr>
        <w:spacing w:line="540" w:lineRule="exact"/>
        <w:ind w:firstLine="567"/>
        <w:rPr>
          <w:rStyle w:val="18"/>
          <w:rFonts w:ascii="仿宋" w:hAnsi="仿宋" w:eastAsia="仿宋"/>
          <w:b w:val="0"/>
          <w:spacing w:val="-4"/>
          <w:sz w:val="32"/>
          <w:szCs w:val="32"/>
        </w:rPr>
      </w:pPr>
    </w:p>
    <w:p w14:paraId="32FCBC07">
      <w:pPr>
        <w:spacing w:line="540" w:lineRule="exact"/>
        <w:ind w:firstLine="567"/>
        <w:rPr>
          <w:rStyle w:val="18"/>
          <w:rFonts w:ascii="仿宋" w:hAnsi="仿宋" w:eastAsia="仿宋"/>
          <w:b w:val="0"/>
          <w:spacing w:val="-4"/>
          <w:sz w:val="32"/>
          <w:szCs w:val="32"/>
        </w:rPr>
      </w:pPr>
    </w:p>
    <w:p w14:paraId="293BFD86">
      <w:pPr>
        <w:spacing w:line="540" w:lineRule="exact"/>
        <w:ind w:firstLine="567"/>
        <w:rPr>
          <w:rStyle w:val="18"/>
          <w:rFonts w:ascii="仿宋" w:hAnsi="仿宋" w:eastAsia="仿宋"/>
          <w:b w:val="0"/>
          <w:spacing w:val="-4"/>
          <w:sz w:val="32"/>
          <w:szCs w:val="32"/>
        </w:rPr>
      </w:pPr>
    </w:p>
    <w:p w14:paraId="39E6C419">
      <w:pPr>
        <w:spacing w:line="540" w:lineRule="exact"/>
        <w:ind w:firstLine="567"/>
        <w:rPr>
          <w:rStyle w:val="18"/>
          <w:rFonts w:ascii="仿宋" w:hAnsi="仿宋" w:eastAsia="仿宋"/>
          <w:b w:val="0"/>
          <w:spacing w:val="-4"/>
          <w:sz w:val="32"/>
          <w:szCs w:val="32"/>
        </w:rPr>
      </w:pPr>
    </w:p>
    <w:p w14:paraId="359F9B70">
      <w:pPr>
        <w:spacing w:line="540" w:lineRule="exact"/>
        <w:ind w:firstLine="567"/>
        <w:rPr>
          <w:rStyle w:val="18"/>
          <w:rFonts w:ascii="仿宋" w:hAnsi="仿宋" w:eastAsia="仿宋"/>
          <w:b w:val="0"/>
          <w:spacing w:val="-4"/>
          <w:sz w:val="32"/>
          <w:szCs w:val="32"/>
        </w:rPr>
      </w:pPr>
    </w:p>
    <w:p w14:paraId="2CED062A">
      <w:pPr>
        <w:spacing w:line="540" w:lineRule="exact"/>
        <w:ind w:firstLine="567"/>
        <w:rPr>
          <w:rStyle w:val="18"/>
          <w:rFonts w:ascii="仿宋" w:hAnsi="仿宋" w:eastAsia="仿宋"/>
          <w:b w:val="0"/>
          <w:spacing w:val="-4"/>
          <w:sz w:val="32"/>
          <w:szCs w:val="32"/>
        </w:rPr>
      </w:pPr>
    </w:p>
    <w:p w14:paraId="0439222A">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783C266">
        <w:pPr>
          <w:pStyle w:val="12"/>
          <w:jc w:val="center"/>
        </w:pPr>
        <w:r>
          <w:fldChar w:fldCharType="begin"/>
        </w:r>
        <w:r>
          <w:instrText xml:space="preserve">PAGE   \* MERGEFORMAT</w:instrText>
        </w:r>
        <w:r>
          <w:fldChar w:fldCharType="separate"/>
        </w:r>
        <w:r>
          <w:rPr>
            <w:lang w:val="zh-CN"/>
          </w:rPr>
          <w:t>17</w:t>
        </w:r>
        <w:r>
          <w:fldChar w:fldCharType="end"/>
        </w:r>
      </w:p>
    </w:sdtContent>
  </w:sdt>
  <w:p w14:paraId="7A78E39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E5MTA2YTQ2ODg0N2EzZDkzNmMxNDMyZmRkY2ZiYjE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8D1A37"/>
    <w:rsid w:val="0091457F"/>
    <w:rsid w:val="00922CB9"/>
    <w:rsid w:val="00925D36"/>
    <w:rsid w:val="00944DD1"/>
    <w:rsid w:val="009E5CD9"/>
    <w:rsid w:val="009F2FA9"/>
    <w:rsid w:val="009F4373"/>
    <w:rsid w:val="00A26421"/>
    <w:rsid w:val="00A34588"/>
    <w:rsid w:val="00A413B8"/>
    <w:rsid w:val="00A4293B"/>
    <w:rsid w:val="00A67D50"/>
    <w:rsid w:val="00A8691A"/>
    <w:rsid w:val="00A972DF"/>
    <w:rsid w:val="00AC1946"/>
    <w:rsid w:val="00AC3A96"/>
    <w:rsid w:val="00AD5E52"/>
    <w:rsid w:val="00AF683C"/>
    <w:rsid w:val="00AF7B60"/>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0EE407AE"/>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8691</Words>
  <Characters>9132</Characters>
  <Lines>66</Lines>
  <Paragraphs>18</Paragraphs>
  <TotalTime>6</TotalTime>
  <ScaleCrop>false</ScaleCrop>
  <LinksUpToDate>false</LinksUpToDate>
  <CharactersWithSpaces>9155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2024-08-20T03:30:00Z</dcterms:created>
  <dc:creator>赵 恺（预算处）</dc:creator>
  <cp:lastModifiedBy>李玫</cp:lastModifiedBy>
  <cp:lastPrinted>2018-12-31T10:56:00Z</cp:lastPrinted>
  <dcterms:modified xsi:type="dcterms:W3CDTF">2024-08-20T10:22:56Z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160D1BA1944349B08C48068401F6E698</vt:lpwstr>
  </property>
</Properties>
</file>