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9EEB49">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14:paraId="596832AD">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14:paraId="089FB994">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新疆维吾尔自治区自然资源厅</w:t>
      </w:r>
    </w:p>
    <w:p w14:paraId="41182C9E">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14:paraId="4FF85D08">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14:paraId="1297ED89">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14:paraId="3674F1C8">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14:paraId="61563B11">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14:paraId="4CDFD4E0">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14:paraId="11E0A5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14:paraId="5774A68D">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14:paraId="20A5C83E">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14:paraId="34ACB5BB">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14:paraId="645B1C11">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14:paraId="0EC3C5B1">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14:paraId="3C6E9ED6">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14:paraId="6322BC91">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14:paraId="1CF4E73E">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02D2EA5E">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14:paraId="5E654549">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14:paraId="6797EC7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412DD4D5">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14:paraId="6481DF59">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14:paraId="75FDF66E">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14:paraId="22D6247F">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14:paraId="0F60C88D">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14:paraId="28F18C97">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14:paraId="616DB038">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14:paraId="69FE9380">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14:paraId="3000194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14:paraId="1D82EEED">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14:paraId="526D3D51">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14:paraId="06A24C81">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14:paraId="54E6DD0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14:paraId="084156D4">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14:paraId="2418DF9F">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14:paraId="414F0FBE">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14:paraId="2B753018">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14:paraId="4203F870">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14:paraId="0D2CB1C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14:paraId="612770C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14:paraId="554FE52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ascii="仿宋_GB2312" w:eastAsia="仿宋_GB2312"/>
          <w:sz w:val="32"/>
          <w:szCs w:val="32"/>
        </w:rPr>
        <w:t>( 一 ) 履行全民所有土地、矿产、森林、草原、湿地、 水等自然资源资产所有者职责和所有国土空间用途管制职责。贯彻执行自然资源和国土空间规划及测绘等法律法规，起草自治区自然资源和国土空间规划及测绘等地方性法规 和政府规章草案并监督检查执行情况。</w:t>
      </w:r>
      <w:r>
        <w:rPr>
          <w:rFonts w:ascii="仿宋_GB2312" w:eastAsia="仿宋_GB2312"/>
          <w:sz w:val="32"/>
          <w:szCs w:val="32"/>
        </w:rPr>
        <w:br w:type="textWrapping"/>
      </w:r>
      <w:r>
        <w:rPr>
          <w:rFonts w:ascii="仿宋_GB2312" w:eastAsia="仿宋_GB2312"/>
          <w:sz w:val="32"/>
          <w:szCs w:val="32"/>
        </w:rPr>
        <w:t>　　( 二 ) 负责自然资源调查监测评价。贯彻执行国家自然资源调查监测评价的指标体系和统计标准，建立统一规范的自然资源调查监测评价制度。实施自然资源基础调查、专项调查和监测。负责自然资源调查监测评价成果的监督管理和信息发布。指导地县自然资源调查监测评价工作。</w:t>
      </w:r>
      <w:r>
        <w:rPr>
          <w:rFonts w:ascii="仿宋_GB2312" w:eastAsia="仿宋_GB2312"/>
          <w:sz w:val="32"/>
          <w:szCs w:val="32"/>
        </w:rPr>
        <w:br w:type="textWrapping"/>
      </w:r>
      <w:r>
        <w:rPr>
          <w:rFonts w:ascii="仿宋_GB2312" w:eastAsia="仿宋_GB2312"/>
          <w:sz w:val="32"/>
          <w:szCs w:val="32"/>
        </w:rPr>
        <w:t>　　( 三 ) 负责自然资源统一确权登记工作。贯彻执行国家各类自然资源和不动产统一确权登记、权籍调查、不动产测绘、争议调处、成果应用的制度、标准、规范。建立健全自然资源和不动产登记信息管理基础平台。负责自治区自然资源和不动产登记资料收集、整理、共享、汇交管理等。会同有关部门提出处理土地、草场等纠纷的配套政策。组织有关部门调查、裁定自治区内土地、草场、矿山、林地、水域等权属纠纷。指导监督全区自然资源和不动产确权登记工作。</w:t>
      </w:r>
      <w:r>
        <w:rPr>
          <w:rFonts w:ascii="仿宋_GB2312" w:eastAsia="仿宋_GB2312"/>
          <w:sz w:val="32"/>
          <w:szCs w:val="32"/>
        </w:rPr>
        <w:br w:type="textWrapping"/>
      </w:r>
      <w:r>
        <w:rPr>
          <w:rFonts w:ascii="仿宋_GB2312" w:eastAsia="仿宋_GB2312"/>
          <w:sz w:val="32"/>
          <w:szCs w:val="32"/>
        </w:rPr>
        <w:t>　　( 四 ) 负责自然资源资产有偿使用工作。贯彻执行国家全民所有自然资源资产统计制度，负责自治区全民所有自然资源资产核算。编制自治区全民所有自然资源资产负债表，拟订考核标准。贯彻执行国家全民所有自然资源资产划拨、出让、租赁、作价出资和土地储备政策并拟定自治区有关政策，合理配置自治区全民所有自然资源资产。负责自治区自然资源资产价值评估管理，依法收缴相关资产收益。</w:t>
      </w:r>
      <w:r>
        <w:rPr>
          <w:rFonts w:ascii="仿宋_GB2312" w:eastAsia="仿宋_GB2312"/>
          <w:sz w:val="32"/>
          <w:szCs w:val="32"/>
        </w:rPr>
        <w:br w:type="textWrapping"/>
      </w:r>
      <w:r>
        <w:rPr>
          <w:rFonts w:ascii="仿宋_GB2312" w:eastAsia="仿宋_GB2312"/>
          <w:sz w:val="32"/>
          <w:szCs w:val="32"/>
        </w:rPr>
        <w:t>　　( 五 ) 负责自然资源的合理开发利用。组织拟订自治区自然资源发展规划和战略，拟订自然资源开发利用标准并组织实施，建立政府公示自然资源价格体系，组织开展自然资源分等定级价格评估，开展自然资源利用评价考核，指导节约集约利用。负责自治区自然资源市场监管。组织研究自治区自然资源管理涉及宏观调控、区域协调和城乡统筹的政策措施。</w:t>
      </w:r>
      <w:r>
        <w:rPr>
          <w:rFonts w:ascii="仿宋_GB2312" w:eastAsia="仿宋_GB2312"/>
          <w:sz w:val="32"/>
          <w:szCs w:val="32"/>
        </w:rPr>
        <w:br w:type="textWrapping"/>
      </w:r>
      <w:r>
        <w:rPr>
          <w:rFonts w:ascii="仿宋_GB2312" w:eastAsia="仿宋_GB2312"/>
          <w:sz w:val="32"/>
          <w:szCs w:val="32"/>
        </w:rPr>
        <w:t>　　( 六 ) 负责建立空间规划体系并监督实施。推进自治区主体功能区战略和制度，组织编制并监督实施国土空间规划和相关专项规划。开展自治区国土空间开发适宜性评价，建立国土空间规划实施监测、评估和预警体系。组织划定自治区生态保护红线、永久基本农田、城镇开发边界等控制线， 构建节约资源和保护环境的生产、生活、生态空间布局。建 立健全自治区国土空间用途管制制度，研究拟订城乡规划政 策并监督实施。组织拟订并实施自治区土地等自然资源年度 利用计划。负责自治区土地等国土空间用途转用工作。负责 自治区土地征收征用管理。</w:t>
      </w:r>
      <w:r>
        <w:rPr>
          <w:rFonts w:ascii="仿宋_GB2312" w:eastAsia="仿宋_GB2312"/>
          <w:sz w:val="32"/>
          <w:szCs w:val="32"/>
        </w:rPr>
        <w:br w:type="textWrapping"/>
      </w:r>
      <w:r>
        <w:rPr>
          <w:rFonts w:ascii="仿宋_GB2312" w:eastAsia="仿宋_GB2312"/>
          <w:sz w:val="32"/>
          <w:szCs w:val="32"/>
        </w:rPr>
        <w:t>　　(七) 负责统筹国土空间生态修复。牵头组织编制自治 区国土空间生态修复规划并实施有关生态修复重大工程。负 责自治区国土空间综合整治、土地整理复垦、矿山地质环境 恢复治理等工作。牵头拟订和实施自治区生态保护补偿制度，拟订合理利用社会资金进行生态修复的政策措施，提出重大备选项目。</w:t>
      </w:r>
      <w:r>
        <w:rPr>
          <w:rFonts w:ascii="仿宋_GB2312" w:eastAsia="仿宋_GB2312"/>
          <w:sz w:val="32"/>
          <w:szCs w:val="32"/>
        </w:rPr>
        <w:br w:type="textWrapping"/>
      </w:r>
      <w:r>
        <w:rPr>
          <w:rFonts w:ascii="仿宋_GB2312" w:eastAsia="仿宋_GB2312"/>
          <w:sz w:val="32"/>
          <w:szCs w:val="32"/>
        </w:rPr>
        <w:t>　　( 八) 负责组织实施最严格的耕地保护制度。贯彻执行 国家耕地保护政策并牵头拟订和实施自治区有关政策，负责 耕地数量、质量、生态保护。组织实施自治区耕地保护责任 目标考核和永久基本农田特殊保护。完善自治区耕地占补平 衡制度，监督占用耕地补偿制度执行情况。</w:t>
      </w:r>
      <w:r>
        <w:rPr>
          <w:rFonts w:ascii="仿宋_GB2312" w:eastAsia="仿宋_GB2312"/>
          <w:sz w:val="32"/>
          <w:szCs w:val="32"/>
        </w:rPr>
        <w:br w:type="textWrapping"/>
      </w:r>
      <w:r>
        <w:rPr>
          <w:rFonts w:ascii="仿宋_GB2312" w:eastAsia="仿宋_GB2312"/>
          <w:sz w:val="32"/>
          <w:szCs w:val="32"/>
        </w:rPr>
        <w:t>　　(九) 负责管理地质勘查行业和全区地质工作。编制自 治区地质勘查规划并监督检查执行情况。管理自治区级地质 勘查项目。组织实施自治区重大地质矿产勘查专项。负责自 治区地质灾害预防和治理，监督管理地下水过量开采及引发 的地面沉降等地质问题。负责自治区古生物化石的监督管理。</w:t>
      </w:r>
      <w:r>
        <w:rPr>
          <w:rFonts w:ascii="仿宋_GB2312" w:eastAsia="仿宋_GB2312"/>
          <w:sz w:val="32"/>
          <w:szCs w:val="32"/>
        </w:rPr>
        <w:br w:type="textWrapping"/>
      </w:r>
      <w:r>
        <w:rPr>
          <w:rFonts w:ascii="仿宋_GB2312" w:eastAsia="仿宋_GB2312"/>
          <w:sz w:val="32"/>
          <w:szCs w:val="32"/>
        </w:rPr>
        <w:t>　　(十) 负责落实综合防灾减灾规划相关要求，组织编制 自治区地质灾害防治规划和防护标准并指导实施。组织指导 协调和监督自治区地质灾害调查评价及隐患的普查、详查、 排查。指导开展群测群防、专业监测和预报预警等工作，指 导开展地质灾害工程治理工作。承担自治区地质灾害应急救 援的技术支撑工作。</w:t>
      </w:r>
      <w:r>
        <w:rPr>
          <w:rFonts w:ascii="仿宋_GB2312" w:eastAsia="仿宋_GB2312"/>
          <w:sz w:val="32"/>
          <w:szCs w:val="32"/>
        </w:rPr>
        <w:br w:type="textWrapping"/>
      </w:r>
      <w:r>
        <w:rPr>
          <w:rFonts w:ascii="仿宋_GB2312" w:eastAsia="仿宋_GB2312"/>
          <w:sz w:val="32"/>
          <w:szCs w:val="32"/>
        </w:rPr>
        <w:t>　　(十一 ) 负责矿产资源管理工作。负责自治区矿产资源 储量管理及压覆矿产资源审批。负责自治区矿业权管理。会 同有关部门承担自治区保护性开采的特定矿种、优势矿产的 调控及相关管理工作。监督指导全区矿产资源合理利用和保 护。</w:t>
      </w:r>
      <w:r>
        <w:rPr>
          <w:rFonts w:ascii="仿宋_GB2312" w:eastAsia="仿宋_GB2312"/>
          <w:sz w:val="32"/>
          <w:szCs w:val="32"/>
        </w:rPr>
        <w:br w:type="textWrapping"/>
      </w:r>
      <w:r>
        <w:rPr>
          <w:rFonts w:ascii="仿宋_GB2312" w:eastAsia="仿宋_GB2312"/>
          <w:sz w:val="32"/>
          <w:szCs w:val="32"/>
        </w:rPr>
        <w:t>　　(十二) 负责测绘地理信息管理工作。负责自治区基础 测绘和测绘行业管理。负责自治区测绘资质资格与信用管理，监督管理自治区地理信息安全和市场秩序。负责自治区地理信息公共服务管理。负责自治区测量标志保护。</w:t>
      </w:r>
      <w:r>
        <w:rPr>
          <w:rFonts w:ascii="仿宋_GB2312" w:eastAsia="仿宋_GB2312"/>
          <w:sz w:val="32"/>
          <w:szCs w:val="32"/>
        </w:rPr>
        <w:br w:type="textWrapping"/>
      </w:r>
      <w:r>
        <w:rPr>
          <w:rFonts w:ascii="仿宋_GB2312" w:eastAsia="仿宋_GB2312"/>
          <w:sz w:val="32"/>
          <w:szCs w:val="32"/>
        </w:rPr>
        <w:t>　　(十三) 推动自然资源领域科技发展。制定并实施自治 区自然资源领域科技创新发展和人才培养战略、规划和计划。组织监督实施技术标准、规程规范。组织实施自治区重大科技工程及创新能力建设，推进自然资源信息化和信息资料的公共服务。组织参与自然资源领域对外交流合作</w:t>
      </w:r>
      <w:r>
        <w:rPr>
          <w:rFonts w:hint="eastAsia" w:ascii="仿宋_GB2312" w:eastAsia="仿宋_GB2312"/>
          <w:sz w:val="32"/>
          <w:szCs w:val="32"/>
        </w:rPr>
        <w:t>。</w:t>
      </w:r>
    </w:p>
    <w:p w14:paraId="56B3655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4" w:name="_Toc31238"/>
      <w:bookmarkStart w:id="5" w:name="_Toc2151"/>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14:paraId="5AC3945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新疆维吾尔自治区自然资源厅</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373</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173</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3</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197</w:t>
      </w:r>
      <w:r>
        <w:rPr>
          <w:rFonts w:hint="eastAsia" w:ascii="仿宋_GB2312" w:eastAsia="仿宋_GB2312"/>
          <w:color w:val="auto"/>
          <w:sz w:val="32"/>
          <w:szCs w:val="32"/>
          <w:highlight w:val="none"/>
        </w:rPr>
        <w:t>人。</w:t>
      </w:r>
    </w:p>
    <w:p w14:paraId="5D08966C">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宋体" w:eastAsia="仿宋_GB2312" w:cs="宋体"/>
          <w:color w:val="auto"/>
          <w:kern w:val="0"/>
          <w:sz w:val="32"/>
          <w:szCs w:val="32"/>
          <w:highlight w:val="none"/>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color w:val="auto"/>
          <w:kern w:val="0"/>
          <w:sz w:val="32"/>
          <w:szCs w:val="32"/>
          <w:highlight w:val="none"/>
        </w:rPr>
        <w:t>单位无下属预算单位，下设</w:t>
      </w:r>
      <w:r>
        <w:rPr>
          <w:rFonts w:hint="eastAsia" w:ascii="仿宋_GB2312" w:eastAsia="仿宋_GB2312"/>
          <w:color w:val="auto"/>
          <w:sz w:val="32"/>
          <w:szCs w:val="32"/>
          <w:highlight w:val="none"/>
          <w:lang w:val="en-US" w:eastAsia="zh-CN"/>
        </w:rPr>
        <w:t>25</w:t>
      </w:r>
      <w:r>
        <w:rPr>
          <w:rFonts w:hint="eastAsia" w:ascii="仿宋_GB2312" w:hAnsi="黑体" w:eastAsia="仿宋_GB2312" w:cs="宋体"/>
          <w:bCs/>
          <w:color w:val="auto"/>
          <w:kern w:val="0"/>
          <w:sz w:val="32"/>
          <w:szCs w:val="32"/>
          <w:highlight w:val="none"/>
        </w:rPr>
        <w:t>个处室，分别是：</w:t>
      </w:r>
      <w:r>
        <w:rPr>
          <w:rFonts w:hint="eastAsia" w:ascii="仿宋_GB2312" w:hAnsi="宋体" w:eastAsia="仿宋_GB2312" w:cs="宋体"/>
          <w:color w:val="auto"/>
          <w:kern w:val="0"/>
          <w:sz w:val="32"/>
          <w:szCs w:val="32"/>
          <w:highlight w:val="none"/>
        </w:rPr>
        <w:t>办公室、综合和改革处、法规处、自然资源调查监测处、自然资源确权登记局、自然资源所有者权益处、自然资源开发利用处、国土空间规划局、国土空间用途管制处、国土空间生态修复处、矿业权管理处、矿产资源保护监督处、地质勘查管理处、耕地保护监督处、国土测绘处、地理信息管理处、自然资源督察办公室、执法局、科技外事处、财务处、审计处、人事处、机关党委、离退休干部工作处、工会工作委员会。</w:t>
      </w:r>
    </w:p>
    <w:p w14:paraId="4520703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29374"/>
      <w:bookmarkStart w:id="7" w:name="_Toc3092"/>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14:paraId="0300316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25314"/>
      <w:bookmarkStart w:id="9" w:name="_Toc12566"/>
      <w:r>
        <w:rPr>
          <w:rFonts w:hint="eastAsia" w:ascii="黑体" w:hAnsi="黑体" w:eastAsia="黑体" w:cs="宋体"/>
          <w:bCs/>
          <w:color w:val="auto"/>
          <w:kern w:val="0"/>
          <w:sz w:val="32"/>
          <w:szCs w:val="32"/>
          <w:highlight w:val="none"/>
        </w:rPr>
        <w:t>一、收入支出决算总体情况说明</w:t>
      </w:r>
      <w:bookmarkEnd w:id="8"/>
      <w:bookmarkEnd w:id="9"/>
    </w:p>
    <w:p w14:paraId="43311E6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18,731.10万元，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17,145.47万元，使用非财政拨款结余0.00万元，年初结转和结余1,585.64万元。</w:t>
      </w:r>
    </w:p>
    <w:p w14:paraId="0507F67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18,731.10万元，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17,207.39万元，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0.00万元，年末结转和结余1,523.71万元。</w:t>
      </w:r>
    </w:p>
    <w:p w14:paraId="1C93F85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增加10,574.85万元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增长129.65%</w:t>
      </w:r>
      <w:r>
        <w:rPr>
          <w:rFonts w:hint="eastAsia" w:ascii="仿宋_GB2312" w:eastAsia="仿宋_GB2312"/>
          <w:color w:val="auto"/>
          <w:spacing w:val="0"/>
          <w:sz w:val="32"/>
          <w:szCs w:val="32"/>
          <w:highlight w:val="none"/>
          <w:lang w:eastAsia="zh-CN"/>
        </w:rPr>
        <w:t>，主要原因是：2023年因建设自然资源档案库（馆）基础设施建设支出财政拨款收入</w:t>
      </w:r>
      <w:r>
        <w:rPr>
          <w:rFonts w:hint="eastAsia" w:ascii="仿宋_GB2312" w:eastAsia="仿宋_GB2312"/>
          <w:color w:val="auto"/>
          <w:spacing w:val="0"/>
          <w:sz w:val="32"/>
          <w:szCs w:val="32"/>
          <w:highlight w:val="none"/>
          <w:lang w:val="en-US" w:eastAsia="zh-CN"/>
        </w:rPr>
        <w:t>支出</w:t>
      </w:r>
      <w:r>
        <w:rPr>
          <w:rFonts w:hint="eastAsia" w:ascii="仿宋_GB2312" w:eastAsia="仿宋_GB2312"/>
          <w:color w:val="auto"/>
          <w:spacing w:val="0"/>
          <w:sz w:val="32"/>
          <w:szCs w:val="32"/>
          <w:highlight w:val="none"/>
          <w:lang w:eastAsia="zh-CN"/>
        </w:rPr>
        <w:t>大幅增加，其他资金收入</w:t>
      </w:r>
      <w:r>
        <w:rPr>
          <w:rFonts w:hint="eastAsia" w:ascii="仿宋_GB2312" w:eastAsia="仿宋_GB2312"/>
          <w:color w:val="auto"/>
          <w:spacing w:val="0"/>
          <w:sz w:val="32"/>
          <w:szCs w:val="32"/>
          <w:highlight w:val="none"/>
          <w:lang w:val="en-US" w:eastAsia="zh-CN"/>
        </w:rPr>
        <w:t>支出</w:t>
      </w:r>
      <w:r>
        <w:rPr>
          <w:rFonts w:hint="eastAsia" w:ascii="仿宋_GB2312" w:eastAsia="仿宋_GB2312"/>
          <w:color w:val="auto"/>
          <w:spacing w:val="0"/>
          <w:sz w:val="32"/>
          <w:szCs w:val="32"/>
          <w:highlight w:val="none"/>
          <w:lang w:eastAsia="zh-CN"/>
        </w:rPr>
        <w:t>大幅增加。</w:t>
      </w:r>
    </w:p>
    <w:p w14:paraId="49A7267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14:paraId="7B42B7D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17,145.47</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14,114.64</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82.32</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3,030.83</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17.68</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14:paraId="37CE344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13201"/>
      <w:bookmarkStart w:id="13" w:name="_Toc27961"/>
      <w:r>
        <w:rPr>
          <w:rFonts w:hint="eastAsia" w:ascii="黑体" w:hAnsi="黑体" w:eastAsia="黑体" w:cs="宋体"/>
          <w:bCs/>
          <w:color w:val="auto"/>
          <w:kern w:val="0"/>
          <w:sz w:val="32"/>
          <w:szCs w:val="32"/>
          <w:highlight w:val="none"/>
          <w:lang w:eastAsia="zh-CN"/>
        </w:rPr>
        <w:t>三、支出决算情况说明</w:t>
      </w:r>
      <w:bookmarkEnd w:id="12"/>
      <w:bookmarkEnd w:id="13"/>
    </w:p>
    <w:p w14:paraId="6E87858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本年支出17,207.39万元，其中：基本支出5,239.12万元，占30.45%；项目支出11,968.27万元，占69.55%；上缴上级支出0.00万元，占0.00%；经营支出0.00万元，占0.00%；对附属单位补助支出0.00万元，占0.00%。</w:t>
      </w:r>
    </w:p>
    <w:p w14:paraId="51D9CEF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4393"/>
      <w:bookmarkStart w:id="15" w:name="_Toc26564"/>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14:paraId="4F67686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14,114.64</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14,114.64</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14,114.64</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14,114.64</w:t>
      </w:r>
      <w:r>
        <w:rPr>
          <w:rFonts w:hint="eastAsia" w:ascii="仿宋_GB2312" w:eastAsia="仿宋_GB2312"/>
          <w:color w:val="auto"/>
          <w:spacing w:val="0"/>
          <w:sz w:val="32"/>
          <w:szCs w:val="32"/>
          <w:highlight w:val="none"/>
          <w:lang w:eastAsia="zh-CN"/>
        </w:rPr>
        <w:t>万元。</w:t>
      </w:r>
    </w:p>
    <w:p w14:paraId="4960A4F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增加5,961.96万元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增长73.13%，</w:t>
      </w:r>
      <w:r>
        <w:rPr>
          <w:rFonts w:hint="eastAsia" w:ascii="仿宋_GB2312" w:eastAsia="仿宋_GB2312"/>
          <w:color w:val="auto"/>
          <w:spacing w:val="0"/>
          <w:sz w:val="32"/>
          <w:szCs w:val="32"/>
          <w:highlight w:val="none"/>
          <w:lang w:eastAsia="zh-CN"/>
        </w:rPr>
        <w:t>主要原因是：2023年因建设自然资源档案库（馆）基础设施建设支出收入大幅增加。与年初预算相比，年初预算数</w:t>
      </w:r>
      <w:r>
        <w:rPr>
          <w:rFonts w:hint="eastAsia" w:ascii="仿宋_GB2312" w:eastAsia="仿宋_GB2312"/>
          <w:color w:val="auto"/>
          <w:spacing w:val="0"/>
          <w:sz w:val="32"/>
          <w:szCs w:val="32"/>
          <w:highlight w:val="none"/>
          <w:lang w:val="zh-CN" w:eastAsia="zh-CN"/>
        </w:rPr>
        <w:t>26,762.59</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14,114.64</w:t>
      </w:r>
      <w:r>
        <w:rPr>
          <w:rFonts w:hint="eastAsia" w:ascii="仿宋_GB2312" w:eastAsia="仿宋_GB2312"/>
          <w:color w:val="auto"/>
          <w:spacing w:val="0"/>
          <w:sz w:val="32"/>
          <w:szCs w:val="32"/>
          <w:highlight w:val="none"/>
          <w:lang w:eastAsia="zh-CN"/>
        </w:rPr>
        <w:t>万元，预决算差异率-47.26%，主要原因是：2023年初15400万元的待分配项目，财政直接下达至中标单位。</w:t>
      </w:r>
    </w:p>
    <w:p w14:paraId="0840BC1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13833"/>
      <w:bookmarkStart w:id="17" w:name="_Toc20360"/>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14:paraId="7AD5536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14:paraId="09CEC0DD">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2023年度一般公共预算财政拨款支出14,114.64万元，占本年支出合计的</w:t>
      </w:r>
      <w:r>
        <w:rPr>
          <w:rFonts w:hint="eastAsia" w:ascii="仿宋_GB2312" w:eastAsia="仿宋_GB2312"/>
          <w:color w:val="auto"/>
          <w:spacing w:val="0"/>
          <w:sz w:val="32"/>
          <w:szCs w:val="32"/>
          <w:highlight w:val="none"/>
          <w:lang w:val="zh-CN" w:eastAsia="zh-CN"/>
        </w:rPr>
        <w:t>82.03%</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增加5,961.96万元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增长73.13%，</w:t>
      </w:r>
      <w:r>
        <w:rPr>
          <w:rFonts w:hint="eastAsia" w:ascii="仿宋_GB2312" w:eastAsia="仿宋_GB2312"/>
          <w:color w:val="auto"/>
          <w:spacing w:val="0"/>
          <w:sz w:val="32"/>
          <w:szCs w:val="32"/>
          <w:highlight w:val="none"/>
          <w:lang w:eastAsia="zh-CN"/>
        </w:rPr>
        <w:t>主要原因是：2023年因建设自然资源档案库（馆）基础设施建设支出大幅增加。与年初预算相比，年初预算数</w:t>
      </w:r>
      <w:r>
        <w:rPr>
          <w:rFonts w:hint="eastAsia" w:ascii="仿宋_GB2312" w:eastAsia="仿宋_GB2312"/>
          <w:color w:val="auto"/>
          <w:spacing w:val="0"/>
          <w:sz w:val="32"/>
          <w:szCs w:val="32"/>
          <w:highlight w:val="none"/>
          <w:lang w:val="zh-CN" w:eastAsia="zh-CN"/>
        </w:rPr>
        <w:t>26,762.59</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14,114.64</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-47.26%</w:t>
      </w:r>
      <w:r>
        <w:rPr>
          <w:rFonts w:hint="eastAsia" w:ascii="仿宋_GB2312" w:eastAsia="仿宋_GB2312"/>
          <w:color w:val="auto"/>
          <w:spacing w:val="0"/>
          <w:sz w:val="32"/>
          <w:szCs w:val="32"/>
          <w:highlight w:val="none"/>
          <w:lang w:eastAsia="zh-CN"/>
        </w:rPr>
        <w:t>，主要原因是：2023年初15400万元的待分配项目，财政直接下达至中标单位。</w:t>
      </w:r>
    </w:p>
    <w:p w14:paraId="60389C68">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14:paraId="2D084827">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lang w:val="zh-CN" w:eastAsia="zh-CN" w:bidi="ar-SA"/>
        </w:rPr>
        <w:t>1.</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895.38</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6.34</w:t>
      </w:r>
      <w:r>
        <w:rPr>
          <w:rFonts w:hint="default" w:ascii="仿宋_GB2312" w:hAnsi="Times New Roman" w:eastAsia="仿宋_GB2312" w:cs="Times New Roman"/>
          <w:color w:val="auto"/>
          <w:spacing w:val="0"/>
          <w:kern w:val="2"/>
          <w:sz w:val="32"/>
          <w:szCs w:val="32"/>
          <w:highlight w:val="none"/>
          <w:lang w:val="zh-CN" w:eastAsia="zh-CN" w:bidi="ar-SA"/>
        </w:rPr>
        <w:t>%；</w:t>
      </w:r>
    </w:p>
    <w:p w14:paraId="492C402E">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325.88</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2.31</w:t>
      </w:r>
      <w:r>
        <w:rPr>
          <w:rFonts w:hint="default" w:ascii="仿宋_GB2312" w:hAnsi="Times New Roman" w:eastAsia="仿宋_GB2312" w:cs="Times New Roman"/>
          <w:color w:val="auto"/>
          <w:spacing w:val="0"/>
          <w:kern w:val="2"/>
          <w:sz w:val="32"/>
          <w:szCs w:val="32"/>
          <w:highlight w:val="none"/>
          <w:lang w:val="zh-CN" w:eastAsia="zh-CN" w:bidi="ar-SA"/>
        </w:rPr>
        <w:t>%；</w:t>
      </w:r>
    </w:p>
    <w:p w14:paraId="12B74D09">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自然资源海洋气象等支出（类）</w:t>
      </w:r>
      <w:r>
        <w:rPr>
          <w:rFonts w:hint="eastAsia" w:ascii="仿宋_GB2312" w:hAnsi="Times New Roman" w:eastAsia="仿宋_GB2312" w:cs="Times New Roman"/>
          <w:color w:val="auto"/>
          <w:spacing w:val="0"/>
          <w:kern w:val="2"/>
          <w:sz w:val="32"/>
          <w:szCs w:val="32"/>
          <w:highlight w:val="none"/>
          <w:lang w:val="zh-CN" w:eastAsia="zh-CN" w:bidi="ar-SA"/>
        </w:rPr>
        <w:t>5,732.96</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40.62</w:t>
      </w:r>
      <w:r>
        <w:rPr>
          <w:rFonts w:hint="default" w:ascii="仿宋_GB2312" w:hAnsi="Times New Roman" w:eastAsia="仿宋_GB2312" w:cs="Times New Roman"/>
          <w:color w:val="auto"/>
          <w:spacing w:val="0"/>
          <w:kern w:val="2"/>
          <w:sz w:val="32"/>
          <w:szCs w:val="32"/>
          <w:highlight w:val="none"/>
          <w:lang w:val="zh-CN" w:eastAsia="zh-CN" w:bidi="ar-SA"/>
        </w:rPr>
        <w:t>%；</w:t>
      </w:r>
    </w:p>
    <w:p w14:paraId="037508E5">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4</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259.90</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1.84</w:t>
      </w:r>
      <w:r>
        <w:rPr>
          <w:rFonts w:hint="default" w:ascii="仿宋_GB2312" w:hAnsi="Times New Roman" w:eastAsia="仿宋_GB2312" w:cs="Times New Roman"/>
          <w:color w:val="auto"/>
          <w:spacing w:val="0"/>
          <w:kern w:val="2"/>
          <w:sz w:val="32"/>
          <w:szCs w:val="32"/>
          <w:highlight w:val="none"/>
          <w:lang w:val="zh-CN" w:eastAsia="zh-CN" w:bidi="ar-SA"/>
        </w:rPr>
        <w:t>%；</w:t>
      </w:r>
    </w:p>
    <w:p w14:paraId="26AD3DA4">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5</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其他支出（类）</w:t>
      </w:r>
      <w:r>
        <w:rPr>
          <w:rFonts w:hint="eastAsia" w:ascii="仿宋_GB2312" w:hAnsi="Times New Roman" w:eastAsia="仿宋_GB2312" w:cs="Times New Roman"/>
          <w:color w:val="auto"/>
          <w:spacing w:val="0"/>
          <w:kern w:val="2"/>
          <w:sz w:val="32"/>
          <w:szCs w:val="32"/>
          <w:highlight w:val="none"/>
          <w:lang w:val="zh-CN" w:eastAsia="zh-CN" w:bidi="ar-SA"/>
        </w:rPr>
        <w:t>6,900.52</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48.89</w:t>
      </w:r>
      <w:r>
        <w:rPr>
          <w:rFonts w:hint="default" w:ascii="仿宋_GB2312" w:hAnsi="Times New Roman" w:eastAsia="仿宋_GB2312" w:cs="Times New Roman"/>
          <w:color w:val="auto"/>
          <w:spacing w:val="0"/>
          <w:kern w:val="2"/>
          <w:sz w:val="32"/>
          <w:szCs w:val="32"/>
          <w:highlight w:val="none"/>
          <w:lang w:val="zh-CN" w:eastAsia="zh-CN" w:bidi="ar-SA"/>
        </w:rPr>
        <w:t>%</w:t>
      </w:r>
      <w:r>
        <w:rPr>
          <w:rFonts w:hint="eastAsia" w:ascii="仿宋_GB2312" w:eastAsia="仿宋_GB2312" w:cs="Times New Roman"/>
          <w:color w:val="auto"/>
          <w:spacing w:val="0"/>
          <w:kern w:val="2"/>
          <w:sz w:val="32"/>
          <w:szCs w:val="32"/>
          <w:highlight w:val="none"/>
          <w:lang w:val="zh-CN" w:eastAsia="zh-CN" w:bidi="ar-SA"/>
        </w:rPr>
        <w:t>。</w:t>
      </w:r>
    </w:p>
    <w:p w14:paraId="3EC52E7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14:paraId="733B784D">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1.卫生健康支出（类）行政事业单位医疗（款）行政单位医疗（项）:支出决算数为174.28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174.28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w:t>
      </w:r>
      <w:r>
        <w:rPr>
          <w:rFonts w:hint="eastAsia" w:eastAsia="仿宋_GB2312" w:cs="Times New Roman"/>
          <w:color w:val="auto"/>
          <w:kern w:val="2"/>
          <w:sz w:val="32"/>
          <w:szCs w:val="32"/>
          <w:highlight w:val="none"/>
          <w:lang w:val="en-US" w:eastAsia="zh-CN" w:bidi="ar-SA"/>
        </w:rPr>
        <w:t>.00</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cs="Times New Roman"/>
          <w:color w:val="auto"/>
          <w:kern w:val="2"/>
          <w:sz w:val="32"/>
          <w:szCs w:val="32"/>
          <w:highlight w:val="none"/>
          <w:lang w:val="en-US" w:eastAsia="zh-CN" w:bidi="ar-SA"/>
        </w:rPr>
        <w:t>2022年</w:t>
      </w:r>
      <w:r>
        <w:rPr>
          <w:rFonts w:hint="eastAsia" w:ascii="仿宋_GB2312" w:eastAsia="仿宋_GB2312"/>
          <w:sz w:val="32"/>
          <w:szCs w:val="32"/>
          <w:lang w:val="en-US" w:eastAsia="zh-CN"/>
        </w:rPr>
        <w:t>编制预算时将其全部放到主款科目2200101</w:t>
      </w:r>
      <w:r>
        <w:rPr>
          <w:rFonts w:hint="eastAsia" w:ascii="仿宋_GB2312" w:eastAsia="仿宋_GB2312"/>
          <w:sz w:val="32"/>
          <w:szCs w:val="32"/>
        </w:rPr>
        <w:t>行政运行</w:t>
      </w:r>
      <w:r>
        <w:rPr>
          <w:rFonts w:hint="eastAsia" w:ascii="仿宋_GB2312" w:eastAsia="仿宋_GB2312"/>
          <w:sz w:val="32"/>
          <w:szCs w:val="32"/>
          <w:lang w:val="en-US" w:eastAsia="zh-CN"/>
        </w:rPr>
        <w:t>中，2023年编制到行政单位医疗科目</w:t>
      </w:r>
      <w:r>
        <w:rPr>
          <w:rFonts w:hint="eastAsia" w:eastAsia="仿宋_GB2312" w:cs="Times New Roman"/>
          <w:color w:val="auto"/>
          <w:kern w:val="2"/>
          <w:sz w:val="32"/>
          <w:szCs w:val="32"/>
          <w:highlight w:val="none"/>
          <w:lang w:val="zh-CN" w:eastAsia="zh-CN" w:bidi="ar-SA"/>
        </w:rPr>
        <w:t>。</w:t>
      </w:r>
    </w:p>
    <w:p w14:paraId="48FD28C0">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2.卫生健康支出（类）行政事业单位医疗（款）公务员医疗补助（项）:支出决算数为151.61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26.40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21.09%，主要原因是：202</w:t>
      </w:r>
      <w:r>
        <w:rPr>
          <w:rFonts w:hint="eastAsia" w:eastAsia="仿宋_GB2312" w:cs="Times New Roman"/>
          <w:color w:val="auto"/>
          <w:kern w:val="2"/>
          <w:sz w:val="32"/>
          <w:szCs w:val="32"/>
          <w:highlight w:val="none"/>
          <w:lang w:val="en-US" w:eastAsia="zh-CN" w:bidi="ar-SA"/>
        </w:rPr>
        <w:t>3年在职人员增加、职级职务变动，</w:t>
      </w:r>
      <w:r>
        <w:rPr>
          <w:rFonts w:hint="eastAsia" w:ascii="Times New Roman" w:hAnsi="Times New Roman" w:eastAsia="仿宋_GB2312" w:cs="Times New Roman"/>
          <w:color w:val="auto"/>
          <w:kern w:val="2"/>
          <w:sz w:val="32"/>
          <w:szCs w:val="32"/>
          <w:highlight w:val="none"/>
          <w:lang w:val="en-US" w:eastAsia="zh-CN" w:bidi="ar-SA"/>
        </w:rPr>
        <w:t>根据规定调整医保基数</w:t>
      </w:r>
      <w:r>
        <w:rPr>
          <w:rFonts w:hint="eastAsia" w:eastAsia="仿宋_GB2312" w:cs="Times New Roman"/>
          <w:color w:val="auto"/>
          <w:kern w:val="2"/>
          <w:sz w:val="32"/>
          <w:szCs w:val="32"/>
          <w:highlight w:val="none"/>
          <w:lang w:val="zh-CN" w:eastAsia="zh-CN" w:bidi="ar-SA"/>
        </w:rPr>
        <w:t>。</w:t>
      </w:r>
    </w:p>
    <w:p w14:paraId="083A3D85">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3.自然资源海洋气象等支出（类）自然资源事务（款）其他自然资源事务支出（项）:支出决算数为1,975.00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793.03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28.65%，主要原因是：</w:t>
      </w:r>
      <w:r>
        <w:rPr>
          <w:rFonts w:hint="eastAsia" w:eastAsia="仿宋_GB2312" w:cs="Times New Roman"/>
          <w:color w:val="auto"/>
          <w:kern w:val="2"/>
          <w:sz w:val="32"/>
          <w:szCs w:val="32"/>
          <w:highlight w:val="none"/>
          <w:lang w:val="en-US" w:eastAsia="zh-CN" w:bidi="ar-SA"/>
        </w:rPr>
        <w:t>2022年年中追加国产电脑替代建设资金、厅本级国土空间规划编制等，2023年无上述追加事项</w:t>
      </w:r>
      <w:r>
        <w:rPr>
          <w:rFonts w:hint="eastAsia" w:eastAsia="仿宋_GB2312" w:cs="Times New Roman"/>
          <w:color w:val="auto"/>
          <w:kern w:val="2"/>
          <w:sz w:val="32"/>
          <w:szCs w:val="32"/>
          <w:highlight w:val="none"/>
          <w:lang w:val="zh-CN" w:eastAsia="zh-CN" w:bidi="ar-SA"/>
        </w:rPr>
        <w:t>。</w:t>
      </w:r>
    </w:p>
    <w:p w14:paraId="11CA3670">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4.自然资源海洋气象等支出（类）自然资源事务（款）行政运行（项）:支出决算数为3,757.96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138.15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3.55%，主要原因是：</w:t>
      </w:r>
      <w:r>
        <w:rPr>
          <w:rFonts w:hint="eastAsia" w:ascii="仿宋_GB2312" w:eastAsia="仿宋_GB2312"/>
          <w:sz w:val="32"/>
          <w:szCs w:val="32"/>
        </w:rPr>
        <w:t>年中</w:t>
      </w:r>
      <w:r>
        <w:rPr>
          <w:rFonts w:hint="eastAsia" w:ascii="仿宋_GB2312" w:eastAsia="仿宋_GB2312"/>
          <w:sz w:val="32"/>
          <w:szCs w:val="32"/>
          <w:lang w:val="en-US" w:eastAsia="zh-CN"/>
        </w:rPr>
        <w:t>的</w:t>
      </w:r>
      <w:r>
        <w:rPr>
          <w:rFonts w:hint="eastAsia" w:ascii="仿宋_GB2312" w:eastAsia="仿宋_GB2312"/>
          <w:sz w:val="32"/>
          <w:szCs w:val="32"/>
        </w:rPr>
        <w:t>追加丧葬费抚恤金、民族团结一家亲结对认亲交通费、访惠聚驻村工作经费</w:t>
      </w:r>
      <w:r>
        <w:rPr>
          <w:rFonts w:hint="eastAsia" w:ascii="仿宋_GB2312" w:eastAsia="仿宋_GB2312"/>
          <w:sz w:val="32"/>
          <w:szCs w:val="32"/>
          <w:lang w:val="en-US" w:eastAsia="zh-CN"/>
        </w:rPr>
        <w:t>相对2022年减少</w:t>
      </w:r>
      <w:r>
        <w:rPr>
          <w:rFonts w:hint="eastAsia" w:ascii="仿宋_GB2312" w:eastAsia="仿宋_GB2312"/>
          <w:sz w:val="32"/>
          <w:szCs w:val="32"/>
        </w:rPr>
        <w:t>；调增</w:t>
      </w:r>
      <w:r>
        <w:rPr>
          <w:rFonts w:hint="eastAsia" w:ascii="仿宋_GB2312" w:eastAsia="仿宋_GB2312"/>
          <w:sz w:val="32"/>
          <w:szCs w:val="32"/>
          <w:lang w:eastAsia="zh-CN"/>
        </w:rPr>
        <w:t>的</w:t>
      </w:r>
      <w:r>
        <w:rPr>
          <w:rFonts w:hint="eastAsia" w:ascii="仿宋_GB2312" w:eastAsia="仿宋_GB2312"/>
          <w:sz w:val="32"/>
          <w:szCs w:val="32"/>
        </w:rPr>
        <w:t>基本工资、202</w:t>
      </w:r>
      <w:r>
        <w:rPr>
          <w:rFonts w:hint="eastAsia" w:ascii="仿宋_GB2312" w:eastAsia="仿宋_GB2312"/>
          <w:sz w:val="32"/>
          <w:szCs w:val="32"/>
          <w:lang w:val="en-US" w:eastAsia="zh-CN"/>
        </w:rPr>
        <w:t>2</w:t>
      </w:r>
      <w:r>
        <w:rPr>
          <w:rFonts w:hint="eastAsia" w:ascii="仿宋_GB2312" w:eastAsia="仿宋_GB2312"/>
          <w:sz w:val="32"/>
          <w:szCs w:val="32"/>
        </w:rPr>
        <w:t>年年度考核奖励资金、基础绩效奖等</w:t>
      </w:r>
      <w:r>
        <w:rPr>
          <w:rFonts w:hint="eastAsia" w:ascii="仿宋_GB2312" w:eastAsia="仿宋_GB2312"/>
          <w:sz w:val="32"/>
          <w:szCs w:val="32"/>
          <w:lang w:val="en-US" w:eastAsia="zh-CN"/>
        </w:rPr>
        <w:t>相对2022年减少</w:t>
      </w:r>
      <w:r>
        <w:rPr>
          <w:rFonts w:hint="eastAsia" w:ascii="Times New Roman" w:hAnsi="Times New Roman" w:eastAsia="仿宋_GB2312" w:cs="Times New Roman"/>
          <w:color w:val="auto"/>
          <w:kern w:val="2"/>
          <w:sz w:val="32"/>
          <w:szCs w:val="32"/>
          <w:highlight w:val="none"/>
          <w:lang w:val="zh-CN" w:eastAsia="zh-CN" w:bidi="ar-SA"/>
        </w:rPr>
        <w:t>。</w:t>
      </w:r>
    </w:p>
    <w:p w14:paraId="2A3CF320">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5.住房保障支出（类）住房改革支出（款）住房公积金（项）:支出决算数为259.90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47.15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22.16%，主要原因是：</w:t>
      </w:r>
      <w:r>
        <w:rPr>
          <w:rFonts w:hint="eastAsia" w:ascii="Times New Roman" w:hAnsi="Times New Roman" w:eastAsia="仿宋_GB2312" w:cs="Times New Roman"/>
          <w:color w:val="auto"/>
          <w:kern w:val="2"/>
          <w:sz w:val="32"/>
          <w:szCs w:val="32"/>
          <w:highlight w:val="none"/>
          <w:lang w:val="zh-CN" w:eastAsia="zh-CN" w:bidi="ar-SA"/>
        </w:rPr>
        <w:t>202</w:t>
      </w:r>
      <w:r>
        <w:rPr>
          <w:rFonts w:hint="eastAsia" w:eastAsia="仿宋_GB2312" w:cs="Times New Roman"/>
          <w:color w:val="auto"/>
          <w:kern w:val="2"/>
          <w:sz w:val="32"/>
          <w:szCs w:val="32"/>
          <w:highlight w:val="none"/>
          <w:lang w:val="en-US" w:eastAsia="zh-CN" w:bidi="ar-SA"/>
        </w:rPr>
        <w:t>3年在职人员增加、职级职务变动，</w:t>
      </w:r>
      <w:r>
        <w:rPr>
          <w:rFonts w:hint="eastAsia" w:ascii="Times New Roman" w:hAnsi="Times New Roman" w:eastAsia="仿宋_GB2312" w:cs="Times New Roman"/>
          <w:color w:val="auto"/>
          <w:kern w:val="2"/>
          <w:sz w:val="32"/>
          <w:szCs w:val="32"/>
          <w:highlight w:val="none"/>
          <w:lang w:val="zh-CN" w:eastAsia="zh-CN" w:bidi="ar-SA"/>
        </w:rPr>
        <w:t>根据规定调整公积金基数</w:t>
      </w:r>
      <w:r>
        <w:rPr>
          <w:rFonts w:hint="eastAsia" w:eastAsia="仿宋_GB2312" w:cs="Times New Roman"/>
          <w:color w:val="auto"/>
          <w:kern w:val="2"/>
          <w:sz w:val="32"/>
          <w:szCs w:val="32"/>
          <w:highlight w:val="none"/>
          <w:lang w:val="zh-CN" w:eastAsia="zh-CN" w:bidi="ar-SA"/>
        </w:rPr>
        <w:t>。</w:t>
      </w:r>
    </w:p>
    <w:p w14:paraId="56EE957F">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6.社会保障和就业支出（类）行政事业单位养老支出（款）行政单位离退休（项）:支出决算数为432.17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258.58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37.43%，主要原因是：</w:t>
      </w:r>
      <w:r>
        <w:rPr>
          <w:rFonts w:hint="eastAsia" w:ascii="Times New Roman" w:hAnsi="Times New Roman" w:eastAsia="仿宋_GB2312" w:cs="Times New Roman"/>
          <w:color w:val="auto"/>
          <w:kern w:val="2"/>
          <w:sz w:val="32"/>
          <w:szCs w:val="32"/>
          <w:highlight w:val="none"/>
          <w:lang w:val="zh-CN" w:eastAsia="zh-CN" w:bidi="ar-SA"/>
        </w:rPr>
        <w:t>2023年年末全额收回医疗费补助</w:t>
      </w:r>
      <w:r>
        <w:rPr>
          <w:rFonts w:hint="eastAsia" w:eastAsia="仿宋_GB2312" w:cs="Times New Roman"/>
          <w:color w:val="auto"/>
          <w:kern w:val="2"/>
          <w:sz w:val="32"/>
          <w:szCs w:val="32"/>
          <w:highlight w:val="none"/>
          <w:lang w:val="zh-CN" w:eastAsia="zh-CN" w:bidi="ar-SA"/>
        </w:rPr>
        <w:t>。</w:t>
      </w:r>
    </w:p>
    <w:p w14:paraId="4FFE23E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7.社会保障和就业支出（类）行政事业单位养老支出（款）机关事业单位职业年金缴费支出（项）:支出决算数为116.67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91.50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363.58%，主要原因是：</w:t>
      </w:r>
      <w:r>
        <w:rPr>
          <w:rFonts w:hint="eastAsia" w:ascii="Times New Roman" w:hAnsi="Times New Roman" w:eastAsia="仿宋_GB2312" w:cs="Times New Roman"/>
          <w:color w:val="auto"/>
          <w:kern w:val="2"/>
          <w:sz w:val="32"/>
          <w:szCs w:val="32"/>
          <w:highlight w:val="none"/>
          <w:lang w:val="zh-CN" w:eastAsia="zh-CN" w:bidi="ar-SA"/>
        </w:rPr>
        <w:t>本年度退休人数、职业年金申拨人数比上年</w:t>
      </w:r>
      <w:r>
        <w:rPr>
          <w:rFonts w:hint="eastAsia" w:eastAsia="仿宋_GB2312" w:cs="Times New Roman"/>
          <w:color w:val="auto"/>
          <w:kern w:val="2"/>
          <w:sz w:val="32"/>
          <w:szCs w:val="32"/>
          <w:highlight w:val="none"/>
          <w:lang w:val="en-US" w:eastAsia="zh-CN" w:bidi="ar-SA"/>
        </w:rPr>
        <w:t>增加</w:t>
      </w:r>
      <w:r>
        <w:rPr>
          <w:rFonts w:hint="eastAsia" w:eastAsia="仿宋_GB2312" w:cs="Times New Roman"/>
          <w:color w:val="auto"/>
          <w:kern w:val="2"/>
          <w:sz w:val="32"/>
          <w:szCs w:val="32"/>
          <w:highlight w:val="none"/>
          <w:lang w:val="zh-CN" w:eastAsia="zh-CN" w:bidi="ar-SA"/>
        </w:rPr>
        <w:t>。</w:t>
      </w:r>
    </w:p>
    <w:p w14:paraId="79B708D7">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8.其他支出（类）其他支出（款）其他支出（项）:支出决算数为6,900.52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6,805.32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7148.27%，主要原因是：</w:t>
      </w:r>
      <w:r>
        <w:rPr>
          <w:rFonts w:hint="eastAsia" w:eastAsia="仿宋_GB2312" w:cs="Times New Roman"/>
          <w:color w:val="auto"/>
          <w:kern w:val="2"/>
          <w:sz w:val="32"/>
          <w:szCs w:val="32"/>
          <w:highlight w:val="none"/>
          <w:lang w:val="en-US" w:eastAsia="zh-CN" w:bidi="ar-SA"/>
        </w:rPr>
        <w:t>建设自然资源档案库（馆）基本建设支出财政拨款支出、其他资金支出大幅增加</w:t>
      </w:r>
      <w:r>
        <w:rPr>
          <w:rFonts w:hint="eastAsia" w:eastAsia="仿宋_GB2312" w:cs="Times New Roman"/>
          <w:color w:val="auto"/>
          <w:kern w:val="2"/>
          <w:sz w:val="32"/>
          <w:szCs w:val="32"/>
          <w:highlight w:val="none"/>
          <w:lang w:val="zh-CN" w:eastAsia="zh-CN" w:bidi="ar-SA"/>
        </w:rPr>
        <w:t>。</w:t>
      </w:r>
    </w:p>
    <w:p w14:paraId="172A35A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9.社会保障和就业支出（类）行政事业单位养老支出（款）机关事业单位基本养老保险缴费支出（项）:支出决算数为346.54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62.87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22.16%，主要原因是：</w:t>
      </w:r>
      <w:r>
        <w:rPr>
          <w:rFonts w:hint="eastAsia" w:ascii="Times New Roman" w:hAnsi="Times New Roman" w:eastAsia="仿宋_GB2312" w:cs="Times New Roman"/>
          <w:color w:val="auto"/>
          <w:kern w:val="2"/>
          <w:sz w:val="32"/>
          <w:szCs w:val="32"/>
          <w:highlight w:val="none"/>
          <w:lang w:val="zh-CN" w:eastAsia="zh-CN" w:bidi="ar-SA"/>
        </w:rPr>
        <w:t>202</w:t>
      </w:r>
      <w:r>
        <w:rPr>
          <w:rFonts w:hint="eastAsia" w:eastAsia="仿宋_GB2312" w:cs="Times New Roman"/>
          <w:color w:val="auto"/>
          <w:kern w:val="2"/>
          <w:sz w:val="32"/>
          <w:szCs w:val="32"/>
          <w:highlight w:val="none"/>
          <w:lang w:val="en-US" w:eastAsia="zh-CN" w:bidi="ar-SA"/>
        </w:rPr>
        <w:t>3</w:t>
      </w:r>
      <w:r>
        <w:rPr>
          <w:rFonts w:hint="eastAsia" w:ascii="Times New Roman" w:hAnsi="Times New Roman" w:eastAsia="仿宋_GB2312" w:cs="Times New Roman"/>
          <w:color w:val="auto"/>
          <w:kern w:val="2"/>
          <w:sz w:val="32"/>
          <w:szCs w:val="32"/>
          <w:highlight w:val="none"/>
          <w:lang w:val="zh-CN" w:eastAsia="zh-CN" w:bidi="ar-SA"/>
        </w:rPr>
        <w:t>年1月根据规定调</w:t>
      </w:r>
      <w:r>
        <w:rPr>
          <w:rFonts w:hint="eastAsia" w:eastAsia="仿宋_GB2312" w:cs="Times New Roman"/>
          <w:color w:val="auto"/>
          <w:kern w:val="2"/>
          <w:sz w:val="32"/>
          <w:szCs w:val="32"/>
          <w:highlight w:val="none"/>
          <w:lang w:val="zh-CN" w:eastAsia="zh-CN" w:bidi="ar-SA"/>
        </w:rPr>
        <w:t>增</w:t>
      </w:r>
      <w:r>
        <w:rPr>
          <w:rFonts w:hint="eastAsia" w:ascii="Times New Roman" w:hAnsi="Times New Roman" w:eastAsia="仿宋_GB2312" w:cs="Times New Roman"/>
          <w:color w:val="auto"/>
          <w:kern w:val="2"/>
          <w:sz w:val="32"/>
          <w:szCs w:val="32"/>
          <w:highlight w:val="none"/>
          <w:lang w:val="zh-CN" w:eastAsia="zh-CN" w:bidi="ar-SA"/>
        </w:rPr>
        <w:t>社保基数</w:t>
      </w:r>
      <w:r>
        <w:rPr>
          <w:rFonts w:hint="eastAsia" w:eastAsia="仿宋_GB2312" w:cs="Times New Roman"/>
          <w:color w:val="auto"/>
          <w:kern w:val="2"/>
          <w:sz w:val="32"/>
          <w:szCs w:val="32"/>
          <w:highlight w:val="none"/>
          <w:lang w:val="zh-CN" w:eastAsia="zh-CN" w:bidi="ar-SA"/>
        </w:rPr>
        <w:t>。</w:t>
      </w:r>
    </w:p>
    <w:p w14:paraId="2F4C5DB0">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10.灾害防治及应急管理支出（类）自然灾害防治（款）地质灾害防治（项）:支出决算数为0.00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55.80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100</w:t>
      </w:r>
      <w:r>
        <w:rPr>
          <w:rFonts w:hint="eastAsia" w:eastAsia="仿宋_GB2312" w:cs="Times New Roman"/>
          <w:color w:val="auto"/>
          <w:kern w:val="2"/>
          <w:sz w:val="32"/>
          <w:szCs w:val="32"/>
          <w:highlight w:val="none"/>
          <w:lang w:val="en-US" w:eastAsia="zh-CN" w:bidi="ar-SA"/>
        </w:rPr>
        <w:t>.00</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ascii="仿宋_GB2312" w:eastAsia="仿宋_GB2312"/>
          <w:sz w:val="32"/>
          <w:szCs w:val="32"/>
        </w:rPr>
        <w:t>2022年，我厅机关收到厅本级待分配项目分配的哈密伊州区天山乡二涯头村崩塌防治项目款</w:t>
      </w:r>
      <w:r>
        <w:rPr>
          <w:rFonts w:hint="eastAsia" w:ascii="仿宋_GB2312" w:eastAsia="仿宋_GB2312"/>
          <w:sz w:val="32"/>
          <w:szCs w:val="32"/>
          <w:lang w:eastAsia="zh-CN"/>
        </w:rPr>
        <w:t>，</w:t>
      </w:r>
      <w:r>
        <w:rPr>
          <w:rFonts w:hint="eastAsia" w:ascii="仿宋_GB2312" w:eastAsia="仿宋_GB2312"/>
          <w:sz w:val="32"/>
          <w:szCs w:val="32"/>
          <w:lang w:val="en-US" w:eastAsia="zh-CN"/>
        </w:rPr>
        <w:t>2023年无此款项</w:t>
      </w:r>
      <w:r>
        <w:rPr>
          <w:rFonts w:hint="eastAsia" w:eastAsia="仿宋_GB2312" w:cs="Times New Roman"/>
          <w:color w:val="auto"/>
          <w:kern w:val="2"/>
          <w:sz w:val="32"/>
          <w:szCs w:val="32"/>
          <w:highlight w:val="none"/>
          <w:lang w:val="zh-CN" w:eastAsia="zh-CN" w:bidi="ar-SA"/>
        </w:rPr>
        <w:t>。</w:t>
      </w:r>
    </w:p>
    <w:p w14:paraId="5C8C4E6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14:paraId="41FDED8C">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5,239.12</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4,623.79</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绩效工资、机关事业单位基本养老保险缴费、职业年金缴费、职工基本医疗保险缴费、公务员医疗补助缴费、其他社会保障缴费、住房公积金、离休费、退休费、抚恤金、生活补助、其他对个人和家庭的补助。</w:t>
      </w:r>
    </w:p>
    <w:p w14:paraId="3802C08A">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red"/>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615.33</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水费、电费、邮电费、取暖费、物业管理费、差旅费、维修（护）费、会议费、培训费、公务接待费、劳务费、委托业务费、工会经费、福利费、公务用车运行维护费、其他交通费用、其他商品和服务支出</w:t>
      </w:r>
      <w:r>
        <w:rPr>
          <w:rFonts w:hint="eastAsia" w:ascii="仿宋_GB2312" w:eastAsia="仿宋_GB2312"/>
          <w:color w:val="auto"/>
          <w:sz w:val="32"/>
          <w:szCs w:val="32"/>
          <w:highlight w:val="none"/>
          <w:lang w:eastAsia="zh-CN"/>
        </w:rPr>
        <w:t>。</w:t>
      </w:r>
    </w:p>
    <w:p w14:paraId="442685E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14:paraId="63738891">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“三公”经费支出82.40万元，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增加9.45万元，增长12.96%，主要原因是：2022年8-11月因疫情封控等原因基本上未开展业务活动，导致“三公”经费支出减少，</w:t>
      </w:r>
      <w:r>
        <w:rPr>
          <w:rFonts w:hint="eastAsia" w:ascii="仿宋_GB2312" w:eastAsia="仿宋_GB2312"/>
          <w:color w:val="auto"/>
          <w:sz w:val="32"/>
          <w:szCs w:val="32"/>
          <w:highlight w:val="none"/>
          <w:lang w:val="en-US" w:eastAsia="zh-CN"/>
        </w:rPr>
        <w:t>2023年恢复正常支出</w:t>
      </w:r>
      <w:r>
        <w:rPr>
          <w:rFonts w:hint="eastAsia" w:ascii="仿宋_GB2312" w:eastAsia="仿宋_GB2312"/>
          <w:color w:val="auto"/>
          <w:sz w:val="32"/>
          <w:szCs w:val="32"/>
          <w:highlight w:val="none"/>
          <w:lang w:val="zh-CN" w:eastAsia="zh-CN"/>
        </w:rPr>
        <w:t>。其中：因公出国（境）费支出0.00万元，占0.00%，比上年增加0.00万元，增长0.00%，主要原因是：</w:t>
      </w:r>
      <w:r>
        <w:rPr>
          <w:rFonts w:hint="eastAsia" w:ascii="仿宋_GB2312" w:eastAsia="仿宋_GB2312"/>
          <w:color w:val="auto"/>
          <w:sz w:val="32"/>
          <w:szCs w:val="32"/>
          <w:highlight w:val="none"/>
          <w:lang w:val="en-US" w:eastAsia="zh-CN"/>
        </w:rPr>
        <w:t>我单位无</w:t>
      </w:r>
      <w:r>
        <w:rPr>
          <w:rFonts w:hint="eastAsia" w:ascii="仿宋_GB2312" w:eastAsia="仿宋_GB2312"/>
          <w:color w:val="auto"/>
          <w:sz w:val="32"/>
          <w:szCs w:val="32"/>
          <w:highlight w:val="none"/>
          <w:lang w:val="zh-CN" w:eastAsia="zh-CN"/>
        </w:rPr>
        <w:t>因公出国（境）费支出；公务用车购置及运行维护费支出75.00万元，占91.02%，比上年增加8.27万元，增长12.39%，主要原因是：2022年8-11月因疫情封控等原因基本上未开展业务活动，导致公务用车费用减少，</w:t>
      </w:r>
      <w:r>
        <w:rPr>
          <w:rFonts w:hint="eastAsia" w:ascii="仿宋_GB2312" w:eastAsia="仿宋_GB2312"/>
          <w:color w:val="auto"/>
          <w:sz w:val="32"/>
          <w:szCs w:val="32"/>
          <w:highlight w:val="none"/>
          <w:lang w:val="en-US" w:eastAsia="zh-CN"/>
        </w:rPr>
        <w:t>2023年恢复正常支出</w:t>
      </w:r>
      <w:r>
        <w:rPr>
          <w:rFonts w:hint="eastAsia" w:ascii="仿宋_GB2312" w:eastAsia="仿宋_GB2312"/>
          <w:color w:val="auto"/>
          <w:sz w:val="32"/>
          <w:szCs w:val="32"/>
          <w:highlight w:val="none"/>
          <w:lang w:val="zh-CN" w:eastAsia="zh-CN"/>
        </w:rPr>
        <w:t>；公务接待费支出7.40万元，占8.98%，比上年增加1.19万元，增长19.11%，主要原因是：2022年8-11月因疫情封控等原因基本上未开展业务活动，导致公务接待费支出减少，2023年恢复正常支出。</w:t>
      </w:r>
    </w:p>
    <w:p w14:paraId="53CF8DDA">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14:paraId="0D0C66A4">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w:t>
      </w:r>
      <w:r>
        <w:rPr>
          <w:rFonts w:hint="eastAsia" w:ascii="仿宋_GB2312" w:eastAsia="仿宋_GB2312"/>
          <w:sz w:val="32"/>
          <w:szCs w:val="32"/>
        </w:rPr>
        <w:t>我单位无因公出国（境）费</w:t>
      </w:r>
      <w:r>
        <w:rPr>
          <w:rFonts w:hint="eastAsia" w:ascii="仿宋_GB2312" w:eastAsia="仿宋_GB2312"/>
          <w:color w:val="auto"/>
          <w:sz w:val="32"/>
          <w:szCs w:val="32"/>
          <w:highlight w:val="none"/>
          <w:lang w:val="zh-CN" w:eastAsia="zh-CN"/>
        </w:rPr>
        <w:t>支出。单位全年安排的因公出国（境）团组0个，因公出国（境）0人次。</w:t>
      </w:r>
    </w:p>
    <w:p w14:paraId="31BD68FE">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75.00万元，其中：公务用车购置费36.00万元，公务用车运行维护费39.00万元。公务用车运行维护费开支内容包括燃料费、保险费、过路费，维修费、停车费等相关费用。公务用车购置数2辆，公务用车保有量32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32辆，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w:t>
      </w:r>
      <w:r>
        <w:rPr>
          <w:rFonts w:hint="eastAsia" w:ascii="仿宋_GB2312" w:eastAsia="仿宋_GB2312"/>
          <w:color w:val="auto"/>
          <w:sz w:val="32"/>
          <w:szCs w:val="32"/>
          <w:highlight w:val="none"/>
          <w:lang w:val="en-US" w:eastAsia="zh-CN"/>
        </w:rPr>
        <w:t>无差异</w:t>
      </w:r>
      <w:r>
        <w:rPr>
          <w:rFonts w:hint="eastAsia" w:ascii="仿宋_GB2312" w:eastAsia="仿宋_GB2312"/>
          <w:color w:val="auto"/>
          <w:sz w:val="32"/>
          <w:szCs w:val="32"/>
          <w:highlight w:val="none"/>
          <w:lang w:val="zh-CN" w:eastAsia="zh-CN"/>
        </w:rPr>
        <w:t>。</w:t>
      </w:r>
    </w:p>
    <w:p w14:paraId="0D8BB333">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公务接待费7.40万元，开支内容包括接待上级临时安排的重大会议、重大活动所发生工作餐费</w:t>
      </w:r>
      <w:r>
        <w:rPr>
          <w:rFonts w:hint="eastAsia" w:ascii="仿宋_GB2312" w:eastAsia="仿宋_GB2312"/>
          <w:color w:val="auto"/>
          <w:sz w:val="32"/>
          <w:szCs w:val="32"/>
          <w:highlight w:val="none"/>
          <w:lang w:val="en-US" w:eastAsia="zh-CN"/>
        </w:rPr>
        <w:t>等</w:t>
      </w:r>
      <w:r>
        <w:rPr>
          <w:rFonts w:hint="eastAsia" w:ascii="仿宋_GB2312" w:eastAsia="仿宋_GB2312"/>
          <w:color w:val="auto"/>
          <w:sz w:val="32"/>
          <w:szCs w:val="32"/>
          <w:highlight w:val="none"/>
          <w:lang w:val="zh-CN" w:eastAsia="zh-CN"/>
        </w:rPr>
        <w:t>。单位全年安排的国内公务接待39批次，371人次。</w:t>
      </w:r>
    </w:p>
    <w:p w14:paraId="69E9BC80">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预算数82.40万元，决算数82.40万元，预决算差异率0.00%，主要原因是：</w:t>
      </w:r>
      <w:r>
        <w:rPr>
          <w:rFonts w:hint="eastAsia" w:ascii="仿宋_GB2312" w:eastAsia="仿宋_GB2312"/>
          <w:sz w:val="32"/>
          <w:szCs w:val="32"/>
        </w:rPr>
        <w:t>预决算一致无差异</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0.00万元，决算数0.00万元，预决算差异率0.00%，主要原因是：无因公出国（境）费；公务用车购置费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预算数36.00万元，决算数36.00万元，预决算差异率0.00%，主要原因是：</w:t>
      </w:r>
      <w:r>
        <w:rPr>
          <w:rFonts w:hint="eastAsia" w:ascii="仿宋_GB2312" w:eastAsia="仿宋_GB2312"/>
          <w:sz w:val="32"/>
          <w:szCs w:val="32"/>
        </w:rPr>
        <w:t>预决算一致无差异</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预算数39.00万元，决算数39.00万元，预决算差异率0.00%，主要原因是：</w:t>
      </w:r>
      <w:r>
        <w:rPr>
          <w:rFonts w:hint="eastAsia" w:ascii="仿宋_GB2312" w:eastAsia="仿宋_GB2312"/>
          <w:sz w:val="32"/>
          <w:szCs w:val="32"/>
        </w:rPr>
        <w:t>预决算一致无差异</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预算数7.40万元，决算数7.40万元，预决算差异率0.00%，主要原因是：</w:t>
      </w:r>
      <w:r>
        <w:rPr>
          <w:rFonts w:hint="eastAsia" w:ascii="仿宋_GB2312" w:eastAsia="仿宋_GB2312"/>
          <w:sz w:val="32"/>
          <w:szCs w:val="32"/>
        </w:rPr>
        <w:t>预决算一致无差异</w:t>
      </w:r>
      <w:r>
        <w:rPr>
          <w:rFonts w:hint="eastAsia" w:ascii="仿宋_GB2312" w:eastAsia="仿宋_GB2312"/>
          <w:color w:val="auto"/>
          <w:sz w:val="32"/>
          <w:szCs w:val="32"/>
          <w:highlight w:val="none"/>
          <w:lang w:val="zh-CN" w:eastAsia="zh-CN"/>
        </w:rPr>
        <w:t>。</w:t>
      </w:r>
    </w:p>
    <w:p w14:paraId="6AB85D5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7927"/>
      <w:bookmarkStart w:id="19" w:name="_Toc5810"/>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14:paraId="20C8154E">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14:paraId="0744088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14:paraId="33B220E9">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14:paraId="5FDEF55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1235"/>
      <w:bookmarkStart w:id="21" w:name="_Toc7314"/>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14:paraId="645B209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4519"/>
      <w:bookmarkStart w:id="23"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14:paraId="03AEBE9D">
      <w:pPr>
        <w:ind w:firstLine="640" w:firstLineChars="200"/>
        <w:rPr>
          <w:rFonts w:hint="eastAsia" w:ascii="Times New Roman" w:hAnsi="Times New Roman" w:eastAsia="仿宋_GB2312" w:cs="Times New Roman"/>
          <w:color w:val="auto"/>
          <w:sz w:val="32"/>
          <w:szCs w:val="32"/>
          <w:highlight w:val="none"/>
          <w:lang w:val="zh-CN" w:eastAsia="zh-CN"/>
        </w:rPr>
      </w:pPr>
      <w:bookmarkStart w:id="24" w:name="_Toc227"/>
      <w:bookmarkStart w:id="25" w:name="_Toc26704"/>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新疆维吾尔自治区自然资源厅（行政单位和参照公务员法管理事业单位）机关运行经费支出615.33万元，比上年增加305.15万元，增长98.38%,主要原因是：我厅2022年8-11月因疫情封控等原因基本上未开展业务活动</w:t>
      </w:r>
      <w:r>
        <w:rPr>
          <w:rFonts w:hint="eastAsia" w:eastAsia="仿宋_GB2312" w:cs="Times New Roman"/>
          <w:color w:val="auto"/>
          <w:sz w:val="32"/>
          <w:szCs w:val="32"/>
          <w:highlight w:val="none"/>
          <w:lang w:val="en-US" w:eastAsia="zh-CN"/>
        </w:rPr>
        <w:t>，2023年恢复正常支出</w:t>
      </w:r>
      <w:r>
        <w:rPr>
          <w:rFonts w:hint="eastAsia" w:ascii="Times New Roman" w:hAnsi="Times New Roman" w:eastAsia="仿宋_GB2312" w:cs="Times New Roman"/>
          <w:color w:val="auto"/>
          <w:sz w:val="32"/>
          <w:szCs w:val="32"/>
          <w:highlight w:val="none"/>
          <w:lang w:val="en-US" w:eastAsia="zh-CN"/>
        </w:rPr>
        <w:t>。</w:t>
      </w:r>
    </w:p>
    <w:p w14:paraId="04C5BC9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14:paraId="367CA43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486.39万元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其中：政府采购货物支出155.12万元、政府采购工程支出15.53万元、政府采购服务支出315.73万元。</w:t>
      </w:r>
    </w:p>
    <w:p w14:paraId="4C3D655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授予中小企业合同金额441.59万元，占政府采购支出总额的90.79</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，其中：授予小微企业合同金额411.17万元，占政府采购支出总额的84.54</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14:paraId="65E0498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8391"/>
      <w:bookmarkStart w:id="27" w:name="_Toc45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14:paraId="624A706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11,024.12</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屋38273.36平方米，价值7,409.44万元。车辆32辆，价值1,310.34万元，其中：副部（省）级及以上领导用车0辆、主要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用车0辆、机要通信用车0辆、应急保障用车32辆、执法执勤用车0辆、特种专业技术用车0辆、离退休干部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用车0辆、其他用车0辆，其他用车主要是：</w:t>
      </w:r>
      <w:r>
        <w:rPr>
          <w:rFonts w:hint="eastAsia" w:eastAsia="仿宋_GB2312" w:cs="Times New Roman"/>
          <w:color w:val="auto"/>
          <w:sz w:val="32"/>
          <w:szCs w:val="32"/>
          <w:highlight w:val="none"/>
          <w:lang w:val="en-US" w:eastAsia="zh-CN"/>
        </w:rPr>
        <w:t>我厅无其他用车</w:t>
      </w:r>
      <w:r>
        <w:rPr>
          <w:rFonts w:hint="eastAsia" w:ascii="Times New Roman" w:hAnsi="Times New Roman" w:eastAsia="仿宋_GB2312" w:cs="Times New Roman"/>
          <w:color w:val="auto"/>
          <w:sz w:val="32"/>
          <w:szCs w:val="32"/>
          <w:highlight w:val="none"/>
          <w:lang w:val="zh-CN" w:eastAsia="zh-CN"/>
        </w:rPr>
        <w:t>；单价100万元（含）以上设备（不含车辆）1</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14:paraId="241C5B5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11283"/>
      <w:bookmarkStart w:id="29" w:name="_Toc4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14:paraId="05472584">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实际执行总额0.00</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2</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全年预算数1975.00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全年执行数1975.00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预算绩效管理取得的成效：一是我区自然资源事业高质量发展的组织基础进一步夯实，二是行使全民所有自然资源资产所有者职责基础工作、大力推进自然资源统一确权和不动产登记工作、加快健全自然资源资产产权制度的能力进一步提升，三是以国土空间规划为核心，着力推进统一行使所有国土空间用途管制和生态保护修复职责基础工作、大力推进国土空间规划体系建设、严格国土空间用途管制、加强地质灾害防治，四是落实最严格的耕地保护制度，土地节约集约利用水平进一步提高，五是矿产资源勘查开发，矿业权出让进一步推进。发现的问题及原因：一是</w:t>
      </w:r>
      <w:r>
        <w:rPr>
          <w:rFonts w:hint="eastAsia" w:ascii="仿宋_GB2312" w:hAnsi="宋体" w:eastAsia="仿宋_GB2312"/>
          <w:bCs/>
          <w:sz w:val="32"/>
          <w:szCs w:val="32"/>
        </w:rPr>
        <w:t>绩效指标的明确性、可衡量性、相关性还需进一步提升</w:t>
      </w:r>
      <w:r>
        <w:rPr>
          <w:rFonts w:hint="eastAsia" w:ascii="仿宋_GB2312" w:hAnsi="宋体" w:eastAsia="仿宋_GB2312"/>
          <w:bCs/>
          <w:sz w:val="32"/>
          <w:szCs w:val="32"/>
          <w:lang w:eastAsia="zh-CN"/>
        </w:rPr>
        <w:t>；</w:t>
      </w:r>
      <w:r>
        <w:rPr>
          <w:rFonts w:hint="eastAsia" w:ascii="仿宋_GB2312" w:hAnsi="宋体" w:eastAsia="仿宋_GB2312"/>
          <w:bCs/>
          <w:sz w:val="32"/>
          <w:szCs w:val="32"/>
          <w:lang w:val="en-US" w:eastAsia="zh-CN"/>
        </w:rPr>
        <w:t>二是</w:t>
      </w:r>
      <w:r>
        <w:rPr>
          <w:rFonts w:hint="eastAsia" w:ascii="仿宋_GB2312" w:hAnsi="宋体" w:eastAsia="仿宋_GB2312"/>
          <w:bCs/>
          <w:sz w:val="32"/>
          <w:szCs w:val="32"/>
        </w:rPr>
        <w:t>预算精细化管理还需完善，预算编制管理水平仍有进一步提升的空间。</w:t>
      </w:r>
      <w:r>
        <w:rPr>
          <w:rFonts w:hint="eastAsia" w:ascii="仿宋_GB2312" w:eastAsia="仿宋_GB2312"/>
          <w:color w:val="auto"/>
          <w:sz w:val="32"/>
          <w:szCs w:val="32"/>
          <w:highlight w:val="none"/>
          <w:lang w:eastAsia="zh-CN"/>
        </w:rPr>
        <w:t>下一步改进措施：一是加强预算绩效目标管理工作。明确预算项目绩效目标编制要求，分类别建立科学合理、细化量化、可比可测预算绩效指标体系，突出结果导向，重点考核实绩；二是加强绩效业务学习及培训，提高业务人员绩效管理意识，通过强化专业培训、学习考察、业务交流等措施，帮助和促进本单位现有人员提高绩效管理业务水平、实际工作能力。进一步加强预算绩效管理工作，优化项目支出绩效指标体系，完善预算绩效管理制度，有效推动我单位下一年度预算绩效管理工作常态化、规范化。具体</w:t>
      </w:r>
      <w:r>
        <w:rPr>
          <w:rFonts w:hint="eastAsia" w:ascii="仿宋_GB2312" w:eastAsia="仿宋_GB2312"/>
          <w:color w:val="auto"/>
          <w:sz w:val="32"/>
          <w:szCs w:val="32"/>
          <w:highlight w:val="none"/>
        </w:rPr>
        <w:t>项目自评情况附绩效自评表</w:t>
      </w:r>
      <w:r>
        <w:rPr>
          <w:rFonts w:hint="eastAsia" w:ascii="仿宋_GB2312" w:eastAsia="仿宋_GB2312"/>
          <w:color w:val="auto"/>
          <w:sz w:val="32"/>
          <w:szCs w:val="32"/>
          <w:highlight w:val="none"/>
          <w:lang w:val="en-US" w:eastAsia="zh-CN"/>
        </w:rPr>
        <w:t>及自评报告</w:t>
      </w:r>
      <w:r>
        <w:rPr>
          <w:rFonts w:hint="eastAsia" w:ascii="仿宋_GB2312" w:eastAsia="仿宋_GB2312"/>
          <w:color w:val="auto"/>
          <w:sz w:val="32"/>
          <w:szCs w:val="32"/>
          <w:highlight w:val="none"/>
        </w:rPr>
        <w:t>。</w:t>
      </w:r>
    </w:p>
    <w:p w14:paraId="0C57305F">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14:paraId="1CEC3BFB">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本单位无其他需说明事项。</w:t>
      </w:r>
      <w:bookmarkStart w:id="48" w:name="_GoBack"/>
      <w:bookmarkEnd w:id="48"/>
    </w:p>
    <w:p w14:paraId="65562F1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3250"/>
      <w:bookmarkStart w:id="31" w:name="_Toc24143"/>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14:paraId="297C070D">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14:paraId="20C5AD75">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14:paraId="7F1E9A39">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14:paraId="664C375F">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14:paraId="0BFCBFF0">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14:paraId="183E7EE1">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14:paraId="1DB38D50">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14:paraId="23E7F2D9">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26D61B6">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14:paraId="1E1D024A">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14:paraId="6ADED255">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14:paraId="602D5923">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14:paraId="01A5DC3E">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14:paraId="498EBDF2">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14:paraId="001D975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14:paraId="320CDBC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2183"/>
      <w:bookmarkStart w:id="33" w:name="_Toc6062"/>
      <w:r>
        <w:rPr>
          <w:rFonts w:hint="eastAsia" w:ascii="黑体" w:hAnsi="黑体" w:eastAsia="仿宋_GB2312" w:cs="宋体"/>
          <w:bCs/>
          <w:color w:val="auto"/>
          <w:kern w:val="0"/>
          <w:sz w:val="32"/>
          <w:szCs w:val="32"/>
          <w:highlight w:val="none"/>
        </w:rPr>
        <w:t>一、《收入支出决算总表》</w:t>
      </w:r>
      <w:bookmarkEnd w:id="32"/>
      <w:bookmarkEnd w:id="33"/>
    </w:p>
    <w:p w14:paraId="0DFB192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24532"/>
      <w:bookmarkStart w:id="35" w:name="_Toc30364"/>
      <w:r>
        <w:rPr>
          <w:rFonts w:hint="eastAsia" w:ascii="黑体" w:hAnsi="黑体" w:eastAsia="仿宋_GB2312" w:cs="宋体"/>
          <w:bCs/>
          <w:color w:val="auto"/>
          <w:kern w:val="0"/>
          <w:sz w:val="32"/>
          <w:szCs w:val="32"/>
          <w:highlight w:val="none"/>
        </w:rPr>
        <w:t>二、《收入决算表》</w:t>
      </w:r>
      <w:bookmarkEnd w:id="34"/>
      <w:bookmarkEnd w:id="35"/>
    </w:p>
    <w:p w14:paraId="4F06784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32434"/>
      <w:bookmarkStart w:id="37" w:name="_Toc21304"/>
      <w:r>
        <w:rPr>
          <w:rFonts w:hint="eastAsia" w:ascii="黑体" w:hAnsi="黑体" w:eastAsia="仿宋_GB2312" w:cs="宋体"/>
          <w:bCs/>
          <w:color w:val="auto"/>
          <w:kern w:val="0"/>
          <w:sz w:val="32"/>
          <w:szCs w:val="32"/>
          <w:highlight w:val="none"/>
        </w:rPr>
        <w:t>三、《支出决算表》</w:t>
      </w:r>
      <w:bookmarkEnd w:id="36"/>
      <w:bookmarkEnd w:id="37"/>
    </w:p>
    <w:p w14:paraId="77B2C8B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28786"/>
      <w:bookmarkStart w:id="39" w:name="_Toc14238"/>
      <w:r>
        <w:rPr>
          <w:rFonts w:hint="eastAsia" w:ascii="黑体" w:hAnsi="黑体" w:eastAsia="仿宋_GB2312" w:cs="宋体"/>
          <w:bCs/>
          <w:color w:val="auto"/>
          <w:kern w:val="0"/>
          <w:sz w:val="32"/>
          <w:szCs w:val="32"/>
          <w:highlight w:val="none"/>
        </w:rPr>
        <w:t>四、《财政拨款收入支出决算总表》</w:t>
      </w:r>
      <w:bookmarkEnd w:id="38"/>
      <w:bookmarkEnd w:id="39"/>
    </w:p>
    <w:p w14:paraId="1019D32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0347"/>
      <w:bookmarkStart w:id="41" w:name="_Toc14869"/>
      <w:r>
        <w:rPr>
          <w:rFonts w:hint="eastAsia" w:ascii="黑体" w:hAnsi="黑体" w:eastAsia="仿宋_GB2312" w:cs="宋体"/>
          <w:bCs/>
          <w:color w:val="auto"/>
          <w:kern w:val="0"/>
          <w:sz w:val="32"/>
          <w:szCs w:val="32"/>
          <w:highlight w:val="none"/>
        </w:rPr>
        <w:t>五、《一般公共预算财政拨款支出决算表》</w:t>
      </w:r>
      <w:bookmarkEnd w:id="40"/>
      <w:bookmarkEnd w:id="41"/>
    </w:p>
    <w:p w14:paraId="02F1259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8884"/>
      <w:bookmarkStart w:id="43" w:name="_Toc5626"/>
      <w:r>
        <w:rPr>
          <w:rFonts w:hint="eastAsia" w:ascii="黑体" w:hAnsi="黑体" w:eastAsia="仿宋_GB2312" w:cs="宋体"/>
          <w:bCs/>
          <w:color w:val="auto"/>
          <w:kern w:val="0"/>
          <w:sz w:val="32"/>
          <w:szCs w:val="32"/>
          <w:highlight w:val="none"/>
        </w:rPr>
        <w:t>六、《一般公共预算财政拨款基本支出决算表》</w:t>
      </w:r>
      <w:bookmarkEnd w:id="42"/>
      <w:bookmarkEnd w:id="43"/>
    </w:p>
    <w:p w14:paraId="6CA7C1E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14:paraId="32D4225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5453"/>
      <w:bookmarkStart w:id="47" w:name="_Toc764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14:paraId="23BF129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14:paraId="521015D4">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14:paraId="49E0F44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B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514B35">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50F4CB7">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050F4CB7">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EzZmRjNGE1MWFhMmQ5YTI4N2U2NGVhNTI5YmQ5NzAifQ=="/>
    <w:docVar w:name="KSO_WPS_MARK_KEY" w:val="41ee2a61-2d54-4f93-83be-afdb9a40d732"/>
  </w:docVars>
  <w:rsids>
    <w:rsidRoot w:val="00000000"/>
    <w:rsid w:val="00213C59"/>
    <w:rsid w:val="003210CE"/>
    <w:rsid w:val="00B70D59"/>
    <w:rsid w:val="00F52A8D"/>
    <w:rsid w:val="015C167B"/>
    <w:rsid w:val="019404F8"/>
    <w:rsid w:val="02BD3108"/>
    <w:rsid w:val="02F73D26"/>
    <w:rsid w:val="034D4FEF"/>
    <w:rsid w:val="035D1785"/>
    <w:rsid w:val="039F47CE"/>
    <w:rsid w:val="03E05CE8"/>
    <w:rsid w:val="03F973EE"/>
    <w:rsid w:val="043E5B56"/>
    <w:rsid w:val="046A7318"/>
    <w:rsid w:val="04C04386"/>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30F5851"/>
    <w:rsid w:val="14207DC0"/>
    <w:rsid w:val="14B932DA"/>
    <w:rsid w:val="15012ABD"/>
    <w:rsid w:val="150A66AF"/>
    <w:rsid w:val="154C1139"/>
    <w:rsid w:val="158C5B77"/>
    <w:rsid w:val="160D1149"/>
    <w:rsid w:val="163563C0"/>
    <w:rsid w:val="164315EF"/>
    <w:rsid w:val="16557DFE"/>
    <w:rsid w:val="167268FB"/>
    <w:rsid w:val="16D50C50"/>
    <w:rsid w:val="16E120E1"/>
    <w:rsid w:val="17385A05"/>
    <w:rsid w:val="173B3901"/>
    <w:rsid w:val="176747F9"/>
    <w:rsid w:val="17954A6E"/>
    <w:rsid w:val="180059E9"/>
    <w:rsid w:val="184510FD"/>
    <w:rsid w:val="18960798"/>
    <w:rsid w:val="190648B0"/>
    <w:rsid w:val="19071D6C"/>
    <w:rsid w:val="19331C37"/>
    <w:rsid w:val="19932D4C"/>
    <w:rsid w:val="19D26CD4"/>
    <w:rsid w:val="19E60D19"/>
    <w:rsid w:val="1A3E3450"/>
    <w:rsid w:val="1AD807E5"/>
    <w:rsid w:val="1B39345B"/>
    <w:rsid w:val="1B790AE5"/>
    <w:rsid w:val="1BE2471B"/>
    <w:rsid w:val="1BFB2A1F"/>
    <w:rsid w:val="1C015D4A"/>
    <w:rsid w:val="1C290ED5"/>
    <w:rsid w:val="1C317E4F"/>
    <w:rsid w:val="1C472464"/>
    <w:rsid w:val="1D22799A"/>
    <w:rsid w:val="1D5C1A72"/>
    <w:rsid w:val="1DAF458D"/>
    <w:rsid w:val="1DB52E39"/>
    <w:rsid w:val="1E086ACE"/>
    <w:rsid w:val="1E62130A"/>
    <w:rsid w:val="1E97358B"/>
    <w:rsid w:val="1EA15848"/>
    <w:rsid w:val="1EAA4A5F"/>
    <w:rsid w:val="1EE81BB2"/>
    <w:rsid w:val="1EE869A7"/>
    <w:rsid w:val="1FA15E62"/>
    <w:rsid w:val="1FED69B6"/>
    <w:rsid w:val="203C1D8E"/>
    <w:rsid w:val="2064678E"/>
    <w:rsid w:val="20DC1AB9"/>
    <w:rsid w:val="20DD6197"/>
    <w:rsid w:val="212631E0"/>
    <w:rsid w:val="21853802"/>
    <w:rsid w:val="21A53757"/>
    <w:rsid w:val="21DB73C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303498"/>
    <w:rsid w:val="27CF2642"/>
    <w:rsid w:val="27E777F5"/>
    <w:rsid w:val="27EA1D4C"/>
    <w:rsid w:val="27EA2E41"/>
    <w:rsid w:val="282459E2"/>
    <w:rsid w:val="283A7FE5"/>
    <w:rsid w:val="285F51FF"/>
    <w:rsid w:val="28DF2665"/>
    <w:rsid w:val="29072599"/>
    <w:rsid w:val="291029F3"/>
    <w:rsid w:val="29774B89"/>
    <w:rsid w:val="29CB58F0"/>
    <w:rsid w:val="2A053397"/>
    <w:rsid w:val="2A145E96"/>
    <w:rsid w:val="2AF5378F"/>
    <w:rsid w:val="2BB94DBF"/>
    <w:rsid w:val="2C6F314E"/>
    <w:rsid w:val="2CC206BE"/>
    <w:rsid w:val="2D1136DF"/>
    <w:rsid w:val="2D20606D"/>
    <w:rsid w:val="2DB87198"/>
    <w:rsid w:val="2DB93C54"/>
    <w:rsid w:val="2E0B39EA"/>
    <w:rsid w:val="2E3D144C"/>
    <w:rsid w:val="2E891204"/>
    <w:rsid w:val="2F3F0A28"/>
    <w:rsid w:val="2FBF7029"/>
    <w:rsid w:val="2FD0187F"/>
    <w:rsid w:val="2FD27414"/>
    <w:rsid w:val="2FFE4BB0"/>
    <w:rsid w:val="300E7B60"/>
    <w:rsid w:val="300F6E18"/>
    <w:rsid w:val="30862F5F"/>
    <w:rsid w:val="314029C9"/>
    <w:rsid w:val="31C63837"/>
    <w:rsid w:val="31C82E39"/>
    <w:rsid w:val="3253239F"/>
    <w:rsid w:val="32601BAD"/>
    <w:rsid w:val="329F6389"/>
    <w:rsid w:val="33700AE0"/>
    <w:rsid w:val="3389023A"/>
    <w:rsid w:val="33CB74FA"/>
    <w:rsid w:val="34103810"/>
    <w:rsid w:val="343642F2"/>
    <w:rsid w:val="343F3010"/>
    <w:rsid w:val="345D0A00"/>
    <w:rsid w:val="34713BFD"/>
    <w:rsid w:val="34C13589"/>
    <w:rsid w:val="353369E3"/>
    <w:rsid w:val="35A650BD"/>
    <w:rsid w:val="35E00D72"/>
    <w:rsid w:val="35F629EB"/>
    <w:rsid w:val="361335F6"/>
    <w:rsid w:val="36965B9D"/>
    <w:rsid w:val="36C549FD"/>
    <w:rsid w:val="37A755DD"/>
    <w:rsid w:val="37F94FA0"/>
    <w:rsid w:val="380D3381"/>
    <w:rsid w:val="38115B1F"/>
    <w:rsid w:val="385E3AC3"/>
    <w:rsid w:val="387D6B9E"/>
    <w:rsid w:val="38B75FF0"/>
    <w:rsid w:val="38D45016"/>
    <w:rsid w:val="38D90432"/>
    <w:rsid w:val="3914510A"/>
    <w:rsid w:val="3926770B"/>
    <w:rsid w:val="398D3668"/>
    <w:rsid w:val="39A8455A"/>
    <w:rsid w:val="39B03B7D"/>
    <w:rsid w:val="39DA0497"/>
    <w:rsid w:val="3A893816"/>
    <w:rsid w:val="3A893B6D"/>
    <w:rsid w:val="3AD1763A"/>
    <w:rsid w:val="3AD708AA"/>
    <w:rsid w:val="3B6716E3"/>
    <w:rsid w:val="3B6C6B2D"/>
    <w:rsid w:val="3BBE2C64"/>
    <w:rsid w:val="3C242659"/>
    <w:rsid w:val="3C96719C"/>
    <w:rsid w:val="3CA72BE8"/>
    <w:rsid w:val="3CF37F8C"/>
    <w:rsid w:val="3D137554"/>
    <w:rsid w:val="3D5275AC"/>
    <w:rsid w:val="3DCC2473"/>
    <w:rsid w:val="3DEB0883"/>
    <w:rsid w:val="3E2527BF"/>
    <w:rsid w:val="3E44732C"/>
    <w:rsid w:val="3E731662"/>
    <w:rsid w:val="3E80490C"/>
    <w:rsid w:val="3E8168DD"/>
    <w:rsid w:val="3EA7725F"/>
    <w:rsid w:val="3EB03713"/>
    <w:rsid w:val="3EBF1A11"/>
    <w:rsid w:val="3EC52607"/>
    <w:rsid w:val="3EEC6CEF"/>
    <w:rsid w:val="3F183429"/>
    <w:rsid w:val="3FB77A1D"/>
    <w:rsid w:val="3FDC3674"/>
    <w:rsid w:val="3FED7F8A"/>
    <w:rsid w:val="40094AEF"/>
    <w:rsid w:val="405470BD"/>
    <w:rsid w:val="40794A29"/>
    <w:rsid w:val="40834692"/>
    <w:rsid w:val="412A3C6A"/>
    <w:rsid w:val="41431AD5"/>
    <w:rsid w:val="414B3C0F"/>
    <w:rsid w:val="41641EE9"/>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9DD53D2"/>
    <w:rsid w:val="4A0A26D2"/>
    <w:rsid w:val="4A2019A5"/>
    <w:rsid w:val="4A241A0B"/>
    <w:rsid w:val="4A445470"/>
    <w:rsid w:val="4A7B2875"/>
    <w:rsid w:val="4A934476"/>
    <w:rsid w:val="4AAA220A"/>
    <w:rsid w:val="4AE12E67"/>
    <w:rsid w:val="4B076609"/>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4FF90538"/>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3A1B1B"/>
    <w:rsid w:val="584A0929"/>
    <w:rsid w:val="585E16D6"/>
    <w:rsid w:val="588C13E5"/>
    <w:rsid w:val="58CD2491"/>
    <w:rsid w:val="591B41B2"/>
    <w:rsid w:val="59254A26"/>
    <w:rsid w:val="59326325"/>
    <w:rsid w:val="595C505B"/>
    <w:rsid w:val="595E55C3"/>
    <w:rsid w:val="596E7E20"/>
    <w:rsid w:val="5A457579"/>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85495C"/>
    <w:rsid w:val="62DD7D21"/>
    <w:rsid w:val="62E05185"/>
    <w:rsid w:val="637D586B"/>
    <w:rsid w:val="63A5560B"/>
    <w:rsid w:val="63E9091F"/>
    <w:rsid w:val="64322AF9"/>
    <w:rsid w:val="64D6010D"/>
    <w:rsid w:val="64D82665"/>
    <w:rsid w:val="64E47C96"/>
    <w:rsid w:val="65102240"/>
    <w:rsid w:val="651E5741"/>
    <w:rsid w:val="658A4877"/>
    <w:rsid w:val="65A00902"/>
    <w:rsid w:val="65A44C5C"/>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F61AEC"/>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8E34FFE"/>
    <w:rsid w:val="790A6425"/>
    <w:rsid w:val="790E2D96"/>
    <w:rsid w:val="791B54B2"/>
    <w:rsid w:val="795A0A34"/>
    <w:rsid w:val="797339C3"/>
    <w:rsid w:val="79D57D57"/>
    <w:rsid w:val="79F00650"/>
    <w:rsid w:val="7A387E42"/>
    <w:rsid w:val="7A6242BF"/>
    <w:rsid w:val="7A794513"/>
    <w:rsid w:val="7AE952D2"/>
    <w:rsid w:val="7C31368B"/>
    <w:rsid w:val="7C976D69"/>
    <w:rsid w:val="7CD752DA"/>
    <w:rsid w:val="7CDE40AB"/>
    <w:rsid w:val="7CF057E2"/>
    <w:rsid w:val="7D1548B5"/>
    <w:rsid w:val="7DF84014"/>
    <w:rsid w:val="7E207949"/>
    <w:rsid w:val="7E5C0A47"/>
    <w:rsid w:val="7E5D1331"/>
    <w:rsid w:val="7E670C75"/>
    <w:rsid w:val="7EE24272"/>
    <w:rsid w:val="7EEA6053"/>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7896</Words>
  <Characters>8829</Characters>
  <Lines>0</Lines>
  <Paragraphs>0</Paragraphs>
  <TotalTime>13</TotalTime>
  <ScaleCrop>false</ScaleCrop>
  <LinksUpToDate>false</LinksUpToDate>
  <CharactersWithSpaces>8920</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琪琪妈妈</cp:lastModifiedBy>
  <dcterms:modified xsi:type="dcterms:W3CDTF">2024-08-28T03:05:34Z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D624B15633CD43C8BF9435464A96BF70</vt:lpwstr>
  </property>
</Properties>
</file>