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b w:val="0"/>
          <w:bCs w:val="0"/>
          <w:kern w:val="0"/>
          <w:sz w:val="32"/>
          <w:szCs w:val="32"/>
        </w:rPr>
      </w:pPr>
      <w:bookmarkStart w:id="0" w:name="_GoBack"/>
      <w:r>
        <w:rPr>
          <w:rFonts w:hint="eastAsia" w:ascii="仿宋" w:hAnsi="仿宋" w:eastAsia="仿宋" w:cs="宋体"/>
          <w:b w:val="0"/>
          <w:bCs w:val="0"/>
          <w:kern w:val="0"/>
          <w:sz w:val="32"/>
          <w:szCs w:val="32"/>
        </w:rPr>
        <w:t>附件2：</w:t>
      </w: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方正小标宋_GBK" w:hAnsi="华文中宋" w:eastAsia="方正小标宋_GBK" w:cs="宋体"/>
          <w:b w:val="0"/>
          <w:bCs w:val="0"/>
          <w:kern w:val="0"/>
          <w:sz w:val="48"/>
          <w:szCs w:val="48"/>
        </w:rPr>
      </w:pPr>
      <w:r>
        <w:rPr>
          <w:rFonts w:hint="eastAsia" w:ascii="方正小标宋_GBK" w:hAnsi="华文中宋" w:eastAsia="方正小标宋_GBK" w:cs="宋体"/>
          <w:b w:val="0"/>
          <w:bCs w:val="0"/>
          <w:kern w:val="0"/>
          <w:sz w:val="48"/>
          <w:szCs w:val="48"/>
        </w:rPr>
        <w:t>自治区财政项目支出绩效自评报告</w:t>
      </w: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r>
        <w:rPr>
          <w:rStyle w:val="18"/>
          <w:rFonts w:hint="eastAsia" w:ascii="楷体" w:hAnsi="楷体" w:eastAsia="楷体"/>
          <w:b w:val="0"/>
          <w:bCs w:val="0"/>
          <w:spacing w:val="-4"/>
          <w:sz w:val="32"/>
          <w:szCs w:val="32"/>
        </w:rPr>
        <w:t>2023</w:t>
      </w:r>
      <w:r>
        <w:rPr>
          <w:rFonts w:hint="eastAsia" w:hAnsi="宋体" w:eastAsia="仿宋_GB2312" w:cs="宋体"/>
          <w:b w:val="0"/>
          <w:bCs w:val="0"/>
          <w:kern w:val="0"/>
          <w:sz w:val="36"/>
          <w:szCs w:val="36"/>
        </w:rPr>
        <w:t xml:space="preserve">  年度）</w:t>
      </w: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jc w:val="center"/>
        <w:rPr>
          <w:rFonts w:ascii="方正小标宋_GBK" w:hAnsi="宋体" w:eastAsia="方正小标宋_GBK" w:cs="宋体"/>
          <w:b w:val="0"/>
          <w:bCs w:val="0"/>
          <w:kern w:val="0"/>
          <w:sz w:val="36"/>
          <w:szCs w:val="36"/>
        </w:rPr>
      </w:pPr>
      <w:r>
        <w:rPr>
          <w:rFonts w:hint="eastAsia" w:ascii="方正小标宋_GBK" w:hAnsi="宋体" w:eastAsia="方正小标宋_GBK" w:cs="宋体"/>
          <w:b w:val="0"/>
          <w:bCs w:val="0"/>
          <w:kern w:val="0"/>
          <w:sz w:val="36"/>
          <w:szCs w:val="36"/>
        </w:rPr>
        <w:t>参考模板</w:t>
      </w: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rPr>
          <w:rFonts w:hAnsi="宋体" w:eastAsia="仿宋_GB2312" w:cs="宋体"/>
          <w:b w:val="0"/>
          <w:bCs w:val="0"/>
          <w:kern w:val="0"/>
          <w:sz w:val="30"/>
          <w:szCs w:val="30"/>
        </w:rPr>
      </w:pPr>
    </w:p>
    <w:p>
      <w:pPr>
        <w:spacing w:line="700" w:lineRule="exact"/>
        <w:jc w:val="left"/>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p>
    <w:p>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b w:val="0"/>
          <w:bCs w:val="0"/>
          <w:kern w:val="0"/>
          <w:sz w:val="36"/>
          <w:szCs w:val="36"/>
        </w:rPr>
        <w:t>项目名称：</w:t>
      </w:r>
      <w:r>
        <w:rPr>
          <w:rStyle w:val="18"/>
          <w:rFonts w:hint="eastAsia" w:ascii="楷体" w:hAnsi="楷体" w:eastAsia="楷体"/>
          <w:b w:val="0"/>
          <w:bCs w:val="0"/>
          <w:spacing w:val="-4"/>
          <w:sz w:val="32"/>
          <w:szCs w:val="32"/>
        </w:rPr>
        <w:t>履行两统一职责机关专项</w:t>
      </w:r>
    </w:p>
    <w:p>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8"/>
          <w:rFonts w:hint="eastAsia" w:ascii="楷体" w:hAnsi="楷体" w:eastAsia="楷体"/>
          <w:b w:val="0"/>
          <w:bCs w:val="0"/>
          <w:spacing w:val="-4"/>
          <w:sz w:val="28"/>
          <w:szCs w:val="28"/>
        </w:rPr>
        <w:t>新疆维吾尔自治区自然资源厅本级</w:t>
      </w:r>
    </w:p>
    <w:p>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8"/>
          <w:rFonts w:hint="eastAsia" w:ascii="楷体" w:hAnsi="楷体" w:eastAsia="楷体"/>
          <w:b w:val="0"/>
          <w:bCs w:val="0"/>
          <w:spacing w:val="-4"/>
          <w:sz w:val="28"/>
          <w:szCs w:val="28"/>
        </w:rPr>
        <w:t>新疆维吾尔自治区自然资源厅本级</w:t>
      </w:r>
    </w:p>
    <w:p>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8"/>
          <w:rFonts w:hint="eastAsia" w:ascii="楷体" w:hAnsi="楷体" w:eastAsia="楷体"/>
          <w:b w:val="0"/>
          <w:bCs w:val="0"/>
          <w:spacing w:val="-4"/>
          <w:sz w:val="32"/>
          <w:szCs w:val="32"/>
        </w:rPr>
        <w:t>杜世宝</w:t>
      </w:r>
    </w:p>
    <w:p>
      <w:pPr>
        <w:spacing w:line="540" w:lineRule="exact"/>
        <w:ind w:left="273" w:firstLine="567"/>
        <w:rPr>
          <w:rStyle w:val="18"/>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8"/>
          <w:rFonts w:hint="eastAsia" w:ascii="楷体" w:hAnsi="楷体" w:eastAsia="楷体"/>
          <w:b w:val="0"/>
          <w:bCs w:val="0"/>
          <w:spacing w:val="-4"/>
          <w:sz w:val="32"/>
          <w:szCs w:val="32"/>
        </w:rPr>
        <w:t>2024年03月19日</w:t>
      </w:r>
    </w:p>
    <w:p>
      <w:pPr>
        <w:spacing w:line="700" w:lineRule="exact"/>
        <w:ind w:firstLine="708" w:firstLineChars="236"/>
        <w:jc w:val="left"/>
        <w:rPr>
          <w:rFonts w:hAnsi="宋体" w:eastAsia="仿宋_GB2312" w:cs="宋体"/>
          <w:b w:val="0"/>
          <w:bCs w:val="0"/>
          <w:kern w:val="0"/>
          <w:sz w:val="30"/>
          <w:szCs w:val="30"/>
        </w:rPr>
      </w:pPr>
    </w:p>
    <w:p>
      <w:pPr>
        <w:spacing w:line="540" w:lineRule="exact"/>
        <w:rPr>
          <w:rStyle w:val="18"/>
          <w:rFonts w:ascii="黑体" w:hAnsi="黑体" w:eastAsia="黑体"/>
          <w:b w:val="0"/>
          <w:bCs w:val="0"/>
          <w:spacing w:val="-4"/>
          <w:sz w:val="32"/>
          <w:szCs w:val="32"/>
        </w:rPr>
      </w:pP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一、基本情况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（一）项目概况。包括项目背景、主要内容及实施情况、资金投入和使用情况等。</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遵循财政部《项目支出绩效评价管理办法》（财预〔2020〕10号）和自治区财政厅《自治区财政支出绩效评价管理暂行办法》（新财预〔2018〕189号）等相关政策文件与规定，旨在评价履行两统一职责机关专项项目实施前期、过程及效果，评价财政预算资金使用的效率及效益。根据《新疆维吾尔自治区机构改革方案的实施意见》，将自治区国土资源厅职责，以及自治区发展和改革委员会的组织编制主体功能区规划职责，自治区住房和城乡建设厅的城乡规划管理职责，自治区水利厅、自治区畜牧厅、自治区林业厅的资源调查和确权登记管理职责，自治区测绘地理信息局的职责等整合，组建自然资源厅，作为自治区人民政府组成部门。自然资源厅落实中央和自治区关于统一行使全民所有土地、矿产、森林、草原、湿地、水等自然资源资产所有者职责，统一行使所有国土空间用途管制和生态保护修复职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法制项目：《法治中国建设规划（2021-2025年）》《法治社会建设实施纲要（2021-2025）》《法治政府实施纲要（2021-2025）》对法治工作作出全面部署。自然资源系统全体干部要坚持以习近平新时代中国特色社会主义思想为指导，全面贯彻党的十九大和十九届历届全会精神，全面贯彻习近平法治思想，贯彻落实第三次中央新疆工作座谈会精神，完整准确贯彻新时代党的治疆方略，牢牢扭住社会稳定和长治久安总目标。进一步完善自然资源法治建设制度机制，推进自然资源依法行政体系建设，提高自然资源干部依法行政的水平，提升自然资源系统治理体系和治理能力现代化，到2025年自然资源系统依法治理深入推进，办事依法、遇事找法、解决问题用法、化解矛盾靠法的法治环境显著改善，法治宣传教育工作基本形成普法制度健全、实施高效、职责完备、覆盖全面、精准高效的工作体系。按照自治区普法依法治理工作要求，开展“法治讲堂？法治教育基层行”宣讲活动、“服务总目标普法行”主题实践活动、法治竞赛。落实“谁执法、谁普法”普法责任制，在宪法宣传月、“4？22”世界地球日、“12？4”全国宪法日等重要节点，邀请专家教授开展法治讲座，创作自然资源法治文化微视频，购买自然资源学习图书及相关宣传资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探矿权采矿权项目：在核实拟出让矿业权基础资料的基础上，报经自然资源厅领导批准，委托具备条件的中介机构对拟出让矿业权出让收益进行评估，确定出让底价。近年来，自治区加大探矿权公开出让力度，特别是加快十四五规划建设煤矿空白区出让，2023年共计公开出让探矿权41个；同时评估30个采矿权出让收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地表基质层分类细化调查项目：符合自然资源部《自然资源调查监测体系构建总体方案》以及自治区自然资源厅、发改委、财政厅等部门联合印发的《关于印发〈新疆维吾尔自治区自然资源调查监测体系构建总体方案〉的通知》等文件精神。项目实施可以编制新疆地表基质层细化分类方案、新疆地表基质层分布图等，其数据与成果在服务自然资源统一管理和科学研究、国土空间综合利用和科学规划、生态环境监测保护修复和综合治理等方面作用突出、意义重大。计划完成完成新疆近5年降雨-蒸散、温湿度气象资料、土地利用资料、地质钻探资料、植被分布资料、水文（地表水、地下水）资料、生态环境资料等30份；地面自然资源、地表基质补存查证50余处；数据处理及地表基质-植被-土地-水资源模型构建1套；咨询报告1-2份、论文1-3篇、地方标准规范（初稿）1-2个；新疆地表基质分类、自然资源综合区划、1-2县市试点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内审项目（1）厅管领导干部经济责任离任审计。对6名厅管领导干部（各地州市自然资源局和厅直属单位党政主要领导干部）开展经济责任离任审计。对领导干部在任职期间管辖范围内贯彻执行党和国家经济方针政策、决策部署，推动自然资源事业发展，管理公共资金、国有资产、国有资源，防控重大经济风险等有关经济活动应当履行的职责进行审计监督。对审计发现问题整改落实情况进行核查。（2）厅财政投资项目专项审计对厅系统2022年度部分财政投资项目进行专项审计。对项目全过程经济活动进行监督和评价，确认项目建设与管理活动的真实性、合法性和效益性，促进提升项目绩效，核实项目建设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其他项目符合自然资源厅日常管理及运转需，结合各局处室工作情况和资金需求量，综合考虑，统筹安排，合理分配资金。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疆维吾尔自治区“绿色碳库”碳储量及碳汇试点遥感调查项目：根据2021年10月国务院颁布关于2030年前碳达峰行动方案的通知以及《联合国气候变化框架公约》、《京都议定书》、《巴黎协定》的制定，增强以森林、草原、湿地、荒漠和自然保护地为代表的陆地生态系统固碳能力被认为是最经济可行和环境友好的应对气候变化、减缓大气中温室气体浓度升高的重要途径之一。以自然资源部《自然资源调查监测体系构建总体方案》以及自治区自然资源厅、发改委、财政厅等部门联合印发的《关于印发〈新疆维吾尔自治区自然资源调查监测体系构建总体方案〉的通知》等文件精神为指南，要构建自然资源调查监测体系，统一自然资源分类标准，依法组织开展自然资源调查监测评价，查清我国各类自然资源家底和变化情况，不断加强生态系统碳汇基础支撑。依托和拓展自然资源调查监测体系，利用好国家林草生态综合监测评价成果，建立生态系统碳汇监测核算体系开展森林、草原、湿地、海洋、土壤等碳汇本底调查、碳储量评估，并加强陆地和海洋生态系统碳汇基础理论、基础方法、前沿颠覆性技术研究。“绿色碳库”碳储量碳汇遥感监测是在顺应全球气候治理的国际背景下开展的关键技术研究，可以定量评价我国陆地生态系统的碳汇能力，为应对气候变化工作提供技术支持，符合可持续发展的国家重大战略决策。本项目根据自治区森林、草地调查样方数据结果，拟选取天山北坡部分区域，利用高分辨率遥感影像可以连续、准确、快速的获取植被、水文、土壤因子等时空分布数据，通过结合其他多源数据，可实现森林碳储量、草地碳汇的计量和综合评价，为实现生态资源价值转化和“绿色碳库”的可测量、可报告、可核查提供技术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项目目前已经完成实际设立的目标，项目在实施过程中严格按照目标设立的各阶段任务进行开展工作，在前期立项过程中严格把质量关，建立安全防护机制，保证项目实施各阶段安全顺利进行。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由自治区自然资源厅机关实施，内设25个局处室，分别是：办公室、综合和改革处、法规处、自然资源调查监测处、自然资源确权登记局、自然资源所有者权益处、自然资源开发利用处、国土空间规划局、国土空间用途管制处、国土空间生态修复处、矿业权管理处、矿产资源保护监督处、地质勘查管理处、耕地保护监督处、国土测绘处、地理信息管理处、自然资源督察办公室、执法局、科技外事处、财务处、审计处、人事处、机关党委、离退休干部工作处、工会工作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履行全民所有土地、矿产、森林、草原、湿地、水等自然资源资产所有者职责和所有国土空间用途管制职责。贯彻执行自然资源和国土空间规划及测绘等法律法规，起草自治区自然资源和国土空间规划及测绘等地方性法规和政府规章草案并监督检查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指导地县自然资源调查监测评价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负责自然资源统一确权登记工作。贯彻执行国家各类自然资源和不动产统一确权登记、权籍调查、不动产测绘、争议调处、成果应用的制度、标准、规范。建立健全自然资源和不动产登记信息管理基础平台。负责自治区自然资源和不动产登记资料收集、整理、共享、汇交管理等。会同有关部门提出处理土地、草场等纠纷的配套政策。组织有关部门调查、裁定自治区内土地、草场、矿山、林地、水域等权属纠纷。指导监督全区自然资源和不动产确权登记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负责自然资源资产有偿使用工作。贯彻执行国家全民所有自然资源资产统计制度，负责自治区全民所有自然资源资产核算。编制自治区全民所有自然资源资产负债表，拟订考核标准。贯彻执行国家全民所有自然资源资产划拨、出让、租赁、作价出资和土地储备政策并拟定自治区有关政策，合理配置自治区全民所有自然资源资产。负责自治区自然资源资产价值评估管理，依法收缴相关资产收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负责自然资源的合理开发利用。组织拟订自治区自然资源发展规划和战略，拟订自然资源开发利用标准并组织实施，建立政府公示自然资源价格体系，组织开展自然资源分等定级价格评估，开展自然资源利用评价考核，指导节约集约利用。负责自治区自然资源市场监管。组织研究自治区自然资源管理涉及宏观调控、区域协调和城乡统筹的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建立空间规划体系并监督实施。推进自治区主体功能区战略和制度，组织编制并监督实施国土空间规划和相关专项规划。开展自治区国土空间开发适宜性评价，建立国土空间规划实施监测、评估和预警体系。组织划定自治区生态保护红线、永久基本农田、城镇开发边界等控制线，构建节约资源和保护环境的生产、生活、生态空间布局。建立健全自治区国土空间用途管制制度，研究拟订城乡规划政策并监督实施。组织拟订并实施自治区土地等自然资源年度利用计划。负责自治区土地等国土空间用途转用工作。负责自治区土地征收征用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负责统筹国土空间生态修复。牵头组织编制自治区国土空间生态修复规划并实施有关生态修复重大工程。负责自治区国土空间综合整治、土地整理复垦、矿山地质环境恢复治理等工作。牵头拟订和实施自治区生态保护补偿制度，拟订合理利用社会资金进行生态修复的政策措施，提出重大备选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负责组织实施最严格的耕地保护制度。贯彻执行国家耕地保护政策并牵头拟订和实施自治区有关政策，负责耕地数量、质量、生态保护。组织实施自治区耕地保护责任目标考核和永久基本农田特殊保护。完善自治区耕地占补平衡制度，监督占用耕地补偿制度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负责管理地质勘查行业和全区地质工作。编制自治区地质勘查规划并监督检查执行情况。管理自治区级地质勘查项目。组织实施自治区重大地质矿产勘查专项。负责自治区地质灾害预防和治理，监督管理地下水过量开采及引发的地面沉降等地质问题。负责自治区古生物化石的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负责落实综合防灾减灾规划相关要求，组织编制自治区地质灾害防治规划和防护标准并指导实施。组织指导协调和监督自治区地质灾害调查评价及隐患的普查、详查、排查。指导开展群测群防、专业监测和预报预警等工作，指导开展地质灾害工程治理工作。承担自治区地质灾害应急救援的技术支撑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一）负责矿产资源管理工作。负责自治区矿产资源储量管理及压覆矿产资源审批。负责自治区矿业权管理。会同有关部门承担自治区保护性开采的特定矿种、优势矿产的调控及相关管理工作。监督指导全区矿产资源合理利用和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二）负责测绘地理信息管理工作。负责自治区基础测绘和测绘行业管理。负责自治区测绘资质资格与信用管理，监督管理自治区地理信息安全和市场秩序。负责自治区地理信息公共服务管理。负责自治区测量标志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三）推动自然资源领域科技发展。制定并实施自治区自然资源领域科技创新发展和人才培养战略、规划和计划。组织监督实施搜术标准、规程规范。组织实施自治区重大科技工程及创新能力建设，推进自然资源信息化和信息资料的公共服务。组织参与自然资源领域对外交流合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根据授权，对地（州、市）、县（市、区）政府落实党中央、国务院关于自然资源和国土空间规划的重大方针政策、决策部署和自治区党委、自治区人民政府工作要求及法律法规执行情况进行督察。查处自然资源开发利用和国土空间规划及测绘重大违法案件。指导地（州、市）、县（市、区）有关行政执法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（十五）统一领导和管理自治区林业和草原局。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（十六）完成自治区党委、自治区人民政府交办的其他任务。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七）职能转变。自治区自然资源厅要落实中央和自治区关于统一行使全民所有自然资源资产所有者职责，统一行使所有国土空间用途管制和生态保护修复职责的要求，强化顶层设计，发挥国土空间规划管控作用，为保护和合理开发利用自然资源提供科学指引。进一步加强自治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编制人数187人，其中：行政人员编制187人。实有在职人数173人，其中：行政在职173人。离退休人员200人，其中：退休人员197人、离休人员3人。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该项目年初预算数1875万元，全年预算数1875万元，实际总投入1875万元，该项目资金落实到位1875万元，资金来源为本级财政拨款。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初预算数1875万元，全年预算数1875万元，全年执行数1875万元，预算执行率100%，主要用于：矿产资源管理类项目经费763.00万元，自然资源法规建设项目经费86.94万元，自然资源基础工作类项目经费895.46万元，自然资源调查监测类项目经费129.60万元。</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（二）项目绩效目标。包括总体目标和阶段性目标。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建立完善自然资源管理制度体系，履行好全区自然资源管理职责，组织开展履行两统一职责机关专项。预计2023年公开出让探矿权80余个；同时评估30余个采矿权出让收益，加强自治区矿业权市场建设，规范矿业权出让评估管理，确保矿产资源国有权益不受损失。开展1处地表机制层分类细化调查等专项，加强自然资源基础工作。提高资源保障办能力，服务自治区经济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“评估出让探矿权数量”指标，预期指标值为≥80个；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“评估采矿权出让收益数量”指标，预期指标值为≥30个；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“地表基质层分类细化调查”指标，预期指标值为≥1处；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“人事年度考核覆盖地州个数”指标，预期指标值为≥14个；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“特色产业帮扶村数量”指标，预期指标值为≥3个；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“经济责任审计领导干部人数”指标，预期指标值为≥6个；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“开展法治讲座次数”指标，预期指标值为≥2次；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“卫星遥感数据收集与处理”指标，预期指标值为≥30个。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“探矿权项目评估合格率和采矿权项目评估合格率”指标，预期指标值为≥90%。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“评估出让探矿权及时率”指标，预期指标值为≥90%；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“评估采矿权出让收益及时率”指标，预期指标值为≥90%；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“地表基质层分类细化调查及时率”指标，预期指标值为≥90%；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“法治讲座按期完成率”指标，预期指标值为≥90%；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“卫星遥感数据收集与处理及时率”指标，预期指标值为≥90%。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“矿产资源管理类项目经费”指标，预期指标值为≤700万元；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“自然资源法规建设项目经费”指标，预期指标值为≤80.5万元；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“自然资源基础工作类项目经费”指标，预期指标值为≤829.6万元；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“自然资源调查监测类项目经费”指标，预期指标值为≤120万元。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“保障单位职工工作积极性”指标，预期指标值为有效保障；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“保障矿产资源国有权益不受损失”指标，预期指标值为有效保障。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二、</w:t>
      </w:r>
      <w:r>
        <w:rPr>
          <w:rStyle w:val="18"/>
          <w:rFonts w:hint="eastAsia"/>
          <w:b w:val="0"/>
          <w:bCs w:val="0"/>
          <w:spacing w:val="-4"/>
          <w:sz w:val="32"/>
          <w:szCs w:val="32"/>
        </w:rPr>
        <w:t>绩效评价工作开展情况</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（二）绩效评价原则、评价指标体系（附表说明）、评价方法、评价标准等。</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坚持定量优先、定量与定性相结合的方式，始终遵循科学规范、公正公开、分级分类、绩效相关的基本原则。通过对履行两统一职责机关专项项目资金进行绩效评价，旨在了解项目资金使用和项目管理情况、取得的成绩及效益，进而分析在政策执行、预算资金安排、项目实施等方面存在的问题并提出针对性建议。本次项目绩效评价遵循以下基本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（1）成本效益分析法，是指将一定时期内总成本与总效益进行对比分析，以评价绩效目标实现程度。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第一阶段：前期准备。认真学习相关要求与规定，成立绩效评价工作组，作为绩效评价工作具体实施机构。成员构成如下：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厅主要领导任评价组组长，绩效评价工作职责为负责全盘工作。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分管财务的厅领导任评价组副组长，绩效评价工作职责为对项目实施情况进行实地调查。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财务处全体人员任评价组成员，绩效评价工作职责为负责资料审核等工作。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第二阶段：组织实施。经评价组通过实地调研等方式，采用综合分析法对项目的决策、管理、绩效进行的综合评价分析。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hint="eastAsia" w:ascii="黑体" w:hAnsi="黑体" w:eastAsia="黑体"/>
          <w:b w:val="0"/>
          <w:bCs w:val="0"/>
          <w:spacing w:val="-4"/>
          <w:sz w:val="32"/>
          <w:szCs w:val="32"/>
        </w:rPr>
      </w:pPr>
      <w:r>
        <w:rPr>
          <w:rStyle w:val="18"/>
          <w:rFonts w:hint="eastAsia" w:ascii="黑体" w:hAnsi="黑体" w:eastAsia="黑体"/>
          <w:b w:val="0"/>
          <w:bCs w:val="0"/>
          <w:spacing w:val="-4"/>
          <w:sz w:val="32"/>
          <w:szCs w:val="32"/>
        </w:rPr>
        <w:t>三、</w:t>
      </w:r>
      <w:r>
        <w:rPr>
          <w:rStyle w:val="18"/>
          <w:rFonts w:hint="eastAsia"/>
          <w:b w:val="0"/>
          <w:bCs w:val="0"/>
          <w:spacing w:val="-4"/>
          <w:sz w:val="32"/>
          <w:szCs w:val="32"/>
        </w:rPr>
        <w:t>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评价组对照项目绩效评价指标体系，从决策、过程、产出和效益四个维度，通过数据采集、实地调研和问卷访谈等方式，对“履行两统一职责机关专项”项目绩效进行客观公正的评价，本项目总得分为98.66分，绩效评级属于“优”。其中，决策类指标得分20分，过程类指标得分20分，产出类指标得分38.66分，效益类指标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到了年初设立的绩效目标，在实施过程中取得了良好的成效，具体表现在：2023年公开出让探矿权41个；同时评估30个采矿权出让收益，加强自治区矿业权市场建设，规范矿业权出让评估管理，确保矿产资源国有权益不受损失。开展1处地表机制层分类细化调查等专项，加强自然资源基础工作。提高资源保障办能力，服务自治区经济高质量发展。</w:t>
      </w:r>
    </w:p>
    <w:p>
      <w:pPr>
        <w:spacing w:line="540" w:lineRule="exact"/>
        <w:ind w:firstLine="640"/>
        <w:rPr>
          <w:rStyle w:val="18"/>
          <w:rFonts w:ascii="黑体" w:hAnsi="黑体" w:eastAsia="黑体"/>
          <w:b w:val="0"/>
          <w:bCs w:val="0"/>
        </w:rPr>
      </w:pPr>
      <w:r>
        <w:rPr>
          <w:rStyle w:val="18"/>
          <w:rFonts w:hint="eastAsia" w:ascii="黑体" w:hAnsi="黑体" w:eastAsia="黑体"/>
          <w:b w:val="0"/>
          <w:bCs w:val="0"/>
          <w:spacing w:val="-4"/>
          <w:sz w:val="32"/>
          <w:szCs w:val="32"/>
        </w:rPr>
        <w:t>四、</w:t>
      </w:r>
      <w:r>
        <w:rPr>
          <w:rStyle w:val="18"/>
          <w:rFonts w:hint="eastAsia"/>
          <w:b w:val="0"/>
          <w:bCs w:val="0"/>
          <w:spacing w:val="-4"/>
          <w:sz w:val="32"/>
          <w:szCs w:val="32"/>
        </w:rPr>
        <w:t>绩效评价指标分析</w:t>
      </w:r>
      <w:r>
        <w:rPr>
          <w:rStyle w:val="18"/>
          <w:rFonts w:hint="eastAsia" w:ascii="黑体" w:hAnsi="黑体" w:eastAsia="黑体"/>
          <w:b w:val="0"/>
          <w:bCs w:val="0"/>
          <w:spacing w:val="-4"/>
          <w:sz w:val="32"/>
          <w:szCs w:val="32"/>
        </w:rPr>
        <w:t xml:space="preserve"> </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（一）项目决策情况。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根据《关于批复自治区本级2023年部门预算的通知》（新财预〔2023〕1号），并结合自治区自然资源厅机关职责组织实施。围绕自治区自然资源厅机关年度工作重点和工作计划制定经费预算，根据评分标准，该指标不扣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自治区自然资源厅机关财经领导小组进行沟通、筛选确定经费预算计划，上局务会研究确定最终预算方案，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（5）预算编制科学性：预算编制经过新财预〔2023〕1号下拨，实际完成内容与项目内容匹配，项目投资额与工作任务相匹配，根据评分标准，该指标不扣分，得5分。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（6）资金分配合理性：资金分配资金分配与实际相适应，根据评分标准，该指标不扣分，得5分。</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（二）项目过程情况。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5个三级指标构成，权重分为20分，实际得分20 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（1）资金到位率：该项目总投资1875万元，实际到位资金1875万元，其中当年财政拨款1875万元，财政资金足额拨付到位，根据评分标准，该指标不扣分，得5分。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（2）预算执行率：本项目申请预算金额为1875万元，预算批复实际下达金额为1875万元，截至 2023年 12 月 31日，资金执行1875万元，资金执行率100.00%。项目资金支出总体能够按照预算执行，根据评分标准，该指标不扣分，得5分。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（3）资金使用合规性：根据新财预〔2023〕1号文规定，符合预算批复规定用途，不存在截留、挤占、挪用、虚列支出等情况，未发现违规使用情况，根据评分标准，该指标不扣分，得5分。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（4）管理制度健全性：该项目严格按照《自治区自然资源厅机关财务制度》及专项资金相关的制度和管理规定实施，对财政专项资金进行严格管理，基本做到了专款专用，根据评分标准，该指标不扣分，得2分。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（三）项目产出情况。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项目产出类指标包括产出数量、产出质量、产出时效、产出成本四方面的内容，由4个三级指标构成，权重分为40分，实际得分38.57分，得分率为96.43%。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①对于“产出数量”：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评估出让探矿权数量，预期绩效目标≥80个，实际完成值为41个，偏差率为48.75% ，偏差原因：2023年，财政部 自然资源部 税务总局印发《矿业权出让收益征收办法》（财综〔2023〕10号），该办法实施后，探矿权出让起始价不再单独开展评估工作，因此评估出让探矿权数量明显减少。根据评分标准，该指标扣0.6分，得0.65分。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评估采矿权出让收益数量30个，与预期目标一致，根据评分标准，该指标不扣分，得1.25分；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地表基质层分类细化调查1处，与预期目标一致，根据评分标准，该指标不扣分，得1.25分；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人事年度考核覆盖地州个数14个，与预期目标一致，根据评分标准，该指标不扣分，得1.25分；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特色产业帮扶村数量3个，与预期目标一致，根据评分标准，该指标不扣分，得1.25分；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经济责任审计领导干部人数6个，与预期目标一致，根据评分标准，该指标不扣分，得1.25分；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开展法治讲座次数2次，与预期目标一致，根据评分标准，该指标不扣分，得1.25分；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卫星遥感数据收集与处理30个，与预期目标一致，根据评分标准，该指标不扣分，得1.25分。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合计得9.4分。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（2）对于“产出质量”：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探矿权项目评估合格率100%，与预期目标一致，根据评分标准，该指标不扣分，得5分；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采矿权项目评估合格率100%，与预期目标一致，根据评分标准，该指标不扣分，得5分。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合计得10分。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（3）对于“产出时效”：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评估出让探矿权及时率100%，与预期目标一致，根据评分标准，该指标不扣分，得2分；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评估采矿权出让收益及时率100%，与预期目标一致，根据评分标准，该指标不扣分，得2分；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地表基质层分类细化调查及时率100%，与预期目标一致，根据评分标准，该指标不扣分，得2分；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法治讲座按期完成率100%，与预期目标一致，根据评分标准，该指标不扣分，得2分；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卫星遥感数据收集与处理及时率100%，与预期目标一致，根据评分标准，该指标不扣分，得2分。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合计得10分。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（4）对于“产出成本”：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矿产资源管理类项目经费，预期绩效目标≤700万元，实际完成值为763万元，偏差率为9% 。根据评分标准，该指标扣0.23分，得2.27分。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自然资源法规建设项目经费，预期绩效目标≤80.5万元，实际完成值为86.94万元，偏差率为8%。根据评分标准，该指标扣0.2分，得2.3分。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自然资源基础工作类项目经费，存在偏差：预期绩效目标≤829.6万元，实际完成值为895.46万元。根据评分标准，该指标扣0.2分，得2.3分。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自然资源调查监测类项目经费,存在偏差：预期绩效目标≤120万元，实际完成值为129.60万元，偏差率为8% 。根据评分标准，该指标扣0.2分，得2.3分。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合计得9.17分。</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（四）项目效益情况。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项目效益类指标包括项目效益1个方面的内容，由1个三级指标构成，权重分为20分，实际得分20分，得分率为100%。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①对于“经济效益指标”：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有效保障单位职工工作积极性，与预期目标一致，根据评分标准，该指标不扣分，得10分；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有效保障矿产资源国有权益不受损失，与预期目标一致，根据评分标准，该指标不扣分，得10分。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②对于“社会效益指标”：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③对于“生态效益指标”：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实施效益指标合计得20分。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对于满意度指标：无</w:t>
      </w: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lang w:eastAsia="zh-CN"/>
        </w:rPr>
        <w:t>五</w:t>
      </w:r>
      <w:r>
        <w:rPr>
          <w:rStyle w:val="18"/>
          <w:rFonts w:hint="eastAsia" w:ascii="黑体" w:hAnsi="黑体" w:eastAsia="黑体"/>
          <w:b w:val="0"/>
          <w:bCs w:val="0"/>
          <w:spacing w:val="-4"/>
          <w:sz w:val="32"/>
          <w:szCs w:val="32"/>
        </w:rPr>
        <w:t>、</w:t>
      </w:r>
      <w:r>
        <w:rPr>
          <w:rStyle w:val="18"/>
          <w:rFonts w:ascii="黑体" w:hAnsi="黑体" w:eastAsia="黑体"/>
          <w:b w:val="0"/>
          <w:bCs w:val="0"/>
          <w:spacing w:val="-4"/>
          <w:sz w:val="32"/>
          <w:szCs w:val="32"/>
        </w:rPr>
        <w:t>主要经验及做法、存在的问题及原因分析</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满意度调查及项目防范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加强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我厅预算绩效管理工作虽取得一定成绩，但预算绩效管理工作有待进一步改进，一是人事年度考核地州个数指标，由于工作性质原因集中在年末进行，在规定监控节点上不能很好反映。二是对项目绩效评价结果分析、运用不够。今后，我厅将进一步深入分析研究，最大限度实现预算和绩效管理一体化，着力提高财政资源配置效率和使用效益。</w:t>
      </w:r>
    </w:p>
    <w:p>
      <w:pPr>
        <w:ind w:firstLine="624" w:firstLineChars="20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lang w:eastAsia="zh-CN"/>
        </w:rPr>
        <w:t>六</w:t>
      </w:r>
      <w:r>
        <w:rPr>
          <w:rStyle w:val="18"/>
          <w:rFonts w:ascii="黑体" w:hAnsi="黑体" w:eastAsia="黑体"/>
          <w:b w:val="0"/>
          <w:bCs w:val="0"/>
          <w:spacing w:val="-4"/>
          <w:sz w:val="32"/>
          <w:szCs w:val="32"/>
        </w:rPr>
        <w:t>、有关建议</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 完善绩效管理制度体系。以“预算编制有目标、预算执行有监控、预算完成有评价、评价结果有反馈、反馈结果有应用”为主要目标，继续完善预算绩效管理流程，提高绩效管理质量，建立健全“全方位、全过程、全覆盖”的预算绩效管理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 实现全覆盖、双监督。进一步加强预算绩效管理，扩大绩效目标管理范围，按照横向到边、纵向到底，推进预算绩效管理全覆盖。完善立项评估决策机制，推动事前评估关口前移，建立随报、随评、随入库的管理机制，为年度纳入项目预算编制奠定基础。建立预算绩效执行管理制度，推进绩效跟踪与预算执行相结合，对目标实现程度和资金执行进度实行“双监控”，绩效监控结果与纳入下一年预算水平相挂钩，最大限度发挥项目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强化预算绩效考核。进一步强化绩效管理日常监督，采取重点督查、随机抽查等方式，着力推进项目绩效管理扎实推进，将预算绩效结果纳入单位年度绩效和干部政绩考核体系，作为领导干部选拔任用、年度考核的重要参考。坚持问题导向，强化整改落实，切实发挥预算绩效管理在优化财政资源配置和提升资金使用效益上的作用，逐步提高单位预算管理水平和政策实施效果。</w:t>
      </w:r>
    </w:p>
    <w:p>
      <w:pPr>
        <w:spacing w:line="540" w:lineRule="exact"/>
        <w:ind w:firstLine="567"/>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lang w:eastAsia="zh-CN"/>
        </w:rPr>
        <w:t>七</w:t>
      </w:r>
      <w:r>
        <w:rPr>
          <w:rStyle w:val="18"/>
          <w:rFonts w:hint="eastAsia" w:ascii="黑体" w:hAnsi="黑体" w:eastAsia="黑体"/>
          <w:b w:val="0"/>
          <w:bCs w:val="0"/>
          <w:spacing w:val="-4"/>
          <w:sz w:val="32"/>
          <w:szCs w:val="32"/>
        </w:rPr>
        <w:t>、其他需要说明的问题</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我单位对上述项目支出绩效评价报告内反映内容的真实性、完整性负责，接受上级部门及社会监督。</w:t>
      </w: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2410507"/>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2024-08-19T04:47:48Z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y fmtid="{D5CDD505-2E9C-101B-9397-08002B2CF9AE}" pid="3" name="ICV">
    <vt:lpwstr>160D1BA1944349B08C48068401F6E698</vt:lpwstr>
  </property>
</Properties>
</file>