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2592">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AD4E6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DA651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新疆维吾尔自治区第一测绘院</w:t>
      </w:r>
    </w:p>
    <w:p w14:paraId="60B8FE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A2610F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E0E8ED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B627AE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C39C8E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B84B4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57BE9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667FA1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D808D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CAF1C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97DBD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1EE63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7C14A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6F3B2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E9024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4910C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CF9C52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28C33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D410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49DF7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7166E9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E3204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A4D72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7511F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9DA6EC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A3E94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69E49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54B02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DE58B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6FA63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5ECE2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19AD0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B6341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BF388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66249D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D57445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3A623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7A8F0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23FF693">
      <w:pPr>
        <w:ind w:firstLine="640" w:firstLineChars="200"/>
        <w:rPr>
          <w:rFonts w:ascii="黑体" w:hAnsi="黑体" w:eastAsia="黑体" w:cs="宋体"/>
          <w:bCs/>
          <w:kern w:val="0"/>
          <w:sz w:val="32"/>
          <w:szCs w:val="32"/>
        </w:rPr>
      </w:pPr>
      <w:r>
        <w:rPr>
          <w:rFonts w:ascii="仿宋_GB2312" w:eastAsia="仿宋_GB2312"/>
          <w:sz w:val="32"/>
          <w:szCs w:val="32"/>
        </w:rPr>
        <w:t>新疆维吾尔自治区第一测绘院成立于1975年3月，隶属于自治区自然资源厅，系具有独立法人资格的正县级、公益一类事业单位和首批综合性甲级测绘单位，并通过了GB/T19001-2016/ISO9001：2015国际质量管理体系认证。主要职责任务是:</w:t>
      </w:r>
      <w:r>
        <w:rPr>
          <w:rFonts w:ascii="仿宋_GB2312" w:eastAsia="仿宋_GB2312"/>
          <w:sz w:val="32"/>
          <w:szCs w:val="32"/>
        </w:rPr>
        <w:br w:type="textWrapping"/>
      </w:r>
      <w:r>
        <w:rPr>
          <w:rFonts w:ascii="仿宋_GB2312" w:eastAsia="仿宋_GB2312"/>
          <w:sz w:val="32"/>
          <w:szCs w:val="32"/>
        </w:rPr>
        <w:t>　　(1)承担自治区自然资源基础调查、专项调查和监测、统一确权登记任务</w:t>
      </w:r>
      <w:r>
        <w:rPr>
          <w:rFonts w:ascii="仿宋_GB2312" w:eastAsia="仿宋_GB2312"/>
          <w:sz w:val="32"/>
          <w:szCs w:val="32"/>
        </w:rPr>
        <w:br w:type="textWrapping"/>
      </w:r>
      <w:r>
        <w:rPr>
          <w:rFonts w:ascii="仿宋_GB2312" w:eastAsia="仿宋_GB2312"/>
          <w:sz w:val="32"/>
          <w:szCs w:val="32"/>
        </w:rPr>
        <w:t>　　①基础调查监测:承担自治区自然资源基础性普查和监测任务。包括内业数据采集、外业核查、数据建库、基础性统计分析、基础性图件编制等工作。</w:t>
      </w:r>
      <w:r>
        <w:rPr>
          <w:rFonts w:ascii="仿宋_GB2312" w:eastAsia="仿宋_GB2312"/>
          <w:sz w:val="32"/>
          <w:szCs w:val="32"/>
        </w:rPr>
        <w:br w:type="textWrapping"/>
      </w:r>
      <w:r>
        <w:rPr>
          <w:rFonts w:ascii="仿宋_GB2312" w:eastAsia="仿宋_GB2312"/>
          <w:sz w:val="32"/>
          <w:szCs w:val="32"/>
        </w:rPr>
        <w:t>　　②专项调查与监测:承担自治区土地、森林、草原、湿地、水利等的普查和监测任务。</w:t>
      </w:r>
      <w:r>
        <w:rPr>
          <w:rFonts w:ascii="仿宋_GB2312" w:eastAsia="仿宋_GB2312"/>
          <w:sz w:val="32"/>
          <w:szCs w:val="32"/>
        </w:rPr>
        <w:br w:type="textWrapping"/>
      </w:r>
      <w:r>
        <w:rPr>
          <w:rFonts w:ascii="仿宋_GB2312" w:eastAsia="仿宋_GB2312"/>
          <w:sz w:val="32"/>
          <w:szCs w:val="32"/>
        </w:rPr>
        <w:t>　　③统一确权登记:承担自治区权籍调查、不动产测绘及成果应用开发。包括国土调查、耕地、农村宅基地、国有、集体土地、农牧场等确权任务。</w:t>
      </w:r>
      <w:r>
        <w:rPr>
          <w:rFonts w:ascii="仿宋_GB2312" w:eastAsia="仿宋_GB2312"/>
          <w:sz w:val="32"/>
          <w:szCs w:val="32"/>
        </w:rPr>
        <w:br w:type="textWrapping"/>
      </w:r>
      <w:r>
        <w:rPr>
          <w:rFonts w:ascii="仿宋_GB2312" w:eastAsia="仿宋_GB2312"/>
          <w:sz w:val="32"/>
          <w:szCs w:val="32"/>
        </w:rPr>
        <w:t>　　(2)承担自治区测绘有关任务</w:t>
      </w:r>
      <w:r>
        <w:rPr>
          <w:rFonts w:ascii="仿宋_GB2312" w:eastAsia="仿宋_GB2312"/>
          <w:sz w:val="32"/>
          <w:szCs w:val="32"/>
        </w:rPr>
        <w:br w:type="textWrapping"/>
      </w:r>
      <w:r>
        <w:rPr>
          <w:rFonts w:ascii="仿宋_GB2312" w:eastAsia="仿宋_GB2312"/>
          <w:sz w:val="32"/>
          <w:szCs w:val="32"/>
        </w:rPr>
        <w:t>　　①承担自治区范围大地基准建设与维护任务，包括测量标志普查、高等级水准测量、重力测量、高等级GPS测量、大地水准面精化等任务。</w:t>
      </w:r>
      <w:r>
        <w:rPr>
          <w:rFonts w:ascii="仿宋_GB2312" w:eastAsia="仿宋_GB2312"/>
          <w:sz w:val="32"/>
          <w:szCs w:val="32"/>
        </w:rPr>
        <w:br w:type="textWrapping"/>
      </w:r>
      <w:r>
        <w:rPr>
          <w:rFonts w:ascii="仿宋_GB2312" w:eastAsia="仿宋_GB2312"/>
          <w:sz w:val="32"/>
          <w:szCs w:val="32"/>
        </w:rPr>
        <w:t>　　②承担自治区航空影像统筹获取与应用任务，获取不同分辨率的航空影像、机载雷达数据、倾斜影像数据，并按照有关规范进行影像、点云、三维建模成果的制作与分发。</w:t>
      </w:r>
      <w:r>
        <w:rPr>
          <w:rFonts w:ascii="仿宋_GB2312" w:eastAsia="仿宋_GB2312"/>
          <w:sz w:val="32"/>
          <w:szCs w:val="32"/>
        </w:rPr>
        <w:br w:type="textWrapping"/>
      </w:r>
      <w:r>
        <w:rPr>
          <w:rFonts w:ascii="仿宋_GB2312" w:eastAsia="仿宋_GB2312"/>
          <w:sz w:val="32"/>
          <w:szCs w:val="32"/>
        </w:rPr>
        <w:t>　　③承担自治区基础测绘任务，开展新型基础测绘试点，推动新型基础测绘体系建设。</w:t>
      </w:r>
      <w:r>
        <w:rPr>
          <w:rFonts w:ascii="仿宋_GB2312" w:eastAsia="仿宋_GB2312"/>
          <w:sz w:val="32"/>
          <w:szCs w:val="32"/>
        </w:rPr>
        <w:br w:type="textWrapping"/>
      </w:r>
      <w:r>
        <w:rPr>
          <w:rFonts w:ascii="仿宋_GB2312" w:eastAsia="仿宋_GB2312"/>
          <w:sz w:val="32"/>
          <w:szCs w:val="32"/>
        </w:rPr>
        <w:t>　　④承担自治区重点测绘工程项目，包括各种类型的工程测量和形变监测任务</w:t>
      </w:r>
      <w:r>
        <w:rPr>
          <w:rFonts w:hint="eastAsia" w:ascii="仿宋_GB2312" w:eastAsia="仿宋_GB2312"/>
          <w:sz w:val="32"/>
          <w:szCs w:val="32"/>
        </w:rPr>
        <w:t>。</w:t>
      </w:r>
    </w:p>
    <w:p w14:paraId="7C3D0A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667B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新疆维吾尔自治区第一测绘院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193</w:t>
      </w:r>
      <w:r>
        <w:rPr>
          <w:rFonts w:hint="eastAsia" w:ascii="仿宋_GB2312" w:eastAsia="仿宋_GB2312"/>
          <w:color w:val="auto"/>
          <w:sz w:val="32"/>
          <w:szCs w:val="32"/>
          <w:highlight w:val="none"/>
        </w:rPr>
        <w:t>人。</w:t>
      </w:r>
    </w:p>
    <w:p w14:paraId="6C2EAB1D">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17</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人事教育科、财务科、生产管理科、技术管理科、质量管理科、设备管理科、离退休人员管理科、办公室、第一测绘生产分院、第二测绘生产分院、第三测绘生产分院、第四测绘生产分院、第五测绘生产分院、第六测绘生产分院、后勤服务部、遥感影像获取中心、地图制图室</w:t>
      </w:r>
      <w:r>
        <w:rPr>
          <w:rFonts w:hint="eastAsia" w:ascii="仿宋_GB2312" w:hAnsi="宋体" w:eastAsia="仿宋_GB2312" w:cs="宋体"/>
          <w:kern w:val="0"/>
          <w:sz w:val="32"/>
          <w:szCs w:val="32"/>
        </w:rPr>
        <w:t>。</w:t>
      </w:r>
    </w:p>
    <w:p w14:paraId="2A726597">
      <w:pPr>
        <w:ind w:firstLine="640" w:firstLineChars="200"/>
        <w:rPr>
          <w:rFonts w:hint="eastAsia" w:ascii="仿宋_GB2312" w:hAnsi="宋体" w:eastAsia="仿宋_GB2312" w:cs="宋体"/>
          <w:kern w:val="0"/>
          <w:sz w:val="32"/>
          <w:szCs w:val="32"/>
        </w:rPr>
      </w:pPr>
    </w:p>
    <w:p w14:paraId="72FA9985">
      <w:pPr>
        <w:ind w:firstLine="640" w:firstLineChars="200"/>
        <w:rPr>
          <w:rFonts w:hint="eastAsia" w:ascii="仿宋_GB2312" w:hAnsi="宋体" w:eastAsia="仿宋_GB2312" w:cs="宋体"/>
          <w:kern w:val="0"/>
          <w:sz w:val="32"/>
          <w:szCs w:val="32"/>
        </w:rPr>
      </w:pPr>
    </w:p>
    <w:p w14:paraId="330ECC45">
      <w:pPr>
        <w:ind w:firstLine="640" w:firstLineChars="200"/>
        <w:rPr>
          <w:rFonts w:hint="eastAsia" w:ascii="仿宋_GB2312" w:hAnsi="宋体" w:eastAsia="仿宋_GB2312" w:cs="宋体"/>
          <w:kern w:val="0"/>
          <w:sz w:val="32"/>
          <w:szCs w:val="32"/>
        </w:rPr>
      </w:pPr>
    </w:p>
    <w:p w14:paraId="4A995E6A">
      <w:pPr>
        <w:ind w:firstLine="640" w:firstLineChars="200"/>
        <w:rPr>
          <w:rFonts w:hint="eastAsia" w:ascii="仿宋_GB2312" w:hAnsi="宋体" w:eastAsia="仿宋_GB2312" w:cs="宋体"/>
          <w:kern w:val="0"/>
          <w:sz w:val="32"/>
          <w:szCs w:val="32"/>
        </w:rPr>
      </w:pPr>
    </w:p>
    <w:p w14:paraId="3E75E8F0">
      <w:pPr>
        <w:ind w:firstLine="640" w:firstLineChars="200"/>
        <w:rPr>
          <w:rFonts w:hint="eastAsia" w:ascii="仿宋_GB2312" w:hAnsi="宋体" w:eastAsia="仿宋_GB2312" w:cs="宋体"/>
          <w:kern w:val="0"/>
          <w:sz w:val="32"/>
          <w:szCs w:val="32"/>
        </w:rPr>
      </w:pPr>
    </w:p>
    <w:p w14:paraId="4579354A">
      <w:pPr>
        <w:ind w:firstLine="640" w:firstLineChars="200"/>
        <w:rPr>
          <w:rFonts w:hint="eastAsia" w:ascii="仿宋_GB2312" w:hAnsi="宋体" w:eastAsia="仿宋_GB2312" w:cs="宋体"/>
          <w:kern w:val="0"/>
          <w:sz w:val="32"/>
          <w:szCs w:val="32"/>
        </w:rPr>
      </w:pPr>
    </w:p>
    <w:p w14:paraId="0E635B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0FB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A7AD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6,930.33万元，使用非财政拨款结余0.00万元，年初结转和结余0.00万元。</w:t>
      </w:r>
    </w:p>
    <w:p w14:paraId="1FD59E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6,581.75万元，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348.58万元，年末结转和结余0.00万元。</w:t>
      </w:r>
    </w:p>
    <w:p w14:paraId="33D396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增加436.73万元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人员</w:t>
      </w:r>
      <w:r>
        <w:rPr>
          <w:rFonts w:hint="eastAsia" w:ascii="仿宋_GB2312" w:eastAsia="仿宋_GB2312"/>
          <w:sz w:val="32"/>
          <w:szCs w:val="32"/>
        </w:rPr>
        <w:t>正常增资</w:t>
      </w:r>
      <w:r>
        <w:rPr>
          <w:rFonts w:hint="eastAsia" w:ascii="仿宋_GB2312" w:eastAsia="仿宋_GB2312"/>
          <w:sz w:val="32"/>
          <w:szCs w:val="32"/>
          <w:lang w:eastAsia="zh-CN"/>
        </w:rPr>
        <w:t>及基础绩效奖</w:t>
      </w:r>
      <w:r>
        <w:rPr>
          <w:rFonts w:hint="eastAsia" w:ascii="仿宋_GB2312" w:eastAsia="仿宋_GB2312"/>
          <w:sz w:val="32"/>
          <w:szCs w:val="32"/>
        </w:rPr>
        <w:t>增加</w:t>
      </w:r>
      <w:r>
        <w:rPr>
          <w:rFonts w:hint="eastAsia" w:ascii="仿宋_GB2312" w:eastAsia="仿宋_GB2312"/>
          <w:sz w:val="32"/>
          <w:szCs w:val="32"/>
          <w:lang w:eastAsia="zh-CN"/>
        </w:rPr>
        <w:t>使得</w:t>
      </w:r>
      <w:r>
        <w:rPr>
          <w:rFonts w:hint="eastAsia" w:ascii="仿宋_GB2312" w:eastAsia="仿宋_GB2312"/>
          <w:sz w:val="32"/>
          <w:szCs w:val="32"/>
        </w:rPr>
        <w:t>财政拨款收入</w:t>
      </w:r>
      <w:r>
        <w:rPr>
          <w:rFonts w:hint="eastAsia" w:ascii="仿宋_GB2312" w:eastAsia="仿宋_GB2312"/>
          <w:sz w:val="32"/>
          <w:szCs w:val="32"/>
          <w:lang w:eastAsia="zh-CN"/>
        </w:rPr>
        <w:t>总体增加</w:t>
      </w:r>
      <w:r>
        <w:rPr>
          <w:rFonts w:hint="eastAsia" w:ascii="仿宋_GB2312" w:eastAsia="仿宋_GB2312"/>
          <w:sz w:val="32"/>
          <w:szCs w:val="32"/>
          <w:lang w:val="en-US" w:eastAsia="zh-CN"/>
        </w:rPr>
        <w:t>；</w:t>
      </w:r>
      <w:r>
        <w:rPr>
          <w:rFonts w:hint="eastAsia" w:ascii="仿宋_GB2312" w:eastAsia="仿宋_GB2312"/>
          <w:sz w:val="32"/>
          <w:szCs w:val="32"/>
        </w:rPr>
        <w:t>同时一般公共预算基本支出增加</w:t>
      </w:r>
      <w:r>
        <w:rPr>
          <w:rFonts w:hint="eastAsia" w:ascii="仿宋_GB2312" w:eastAsia="仿宋_GB2312"/>
          <w:sz w:val="32"/>
          <w:szCs w:val="32"/>
          <w:lang w:eastAsia="zh-CN"/>
        </w:rPr>
        <w:t>用于支付增加的人员工资，支出总体增加</w:t>
      </w:r>
      <w:r>
        <w:rPr>
          <w:rFonts w:hint="eastAsia" w:ascii="仿宋_GB2312" w:eastAsia="仿宋_GB2312"/>
          <w:color w:val="auto"/>
          <w:spacing w:val="0"/>
          <w:sz w:val="32"/>
          <w:szCs w:val="32"/>
          <w:highlight w:val="none"/>
          <w:lang w:eastAsia="zh-CN"/>
        </w:rPr>
        <w:t>。</w:t>
      </w:r>
    </w:p>
    <w:p w14:paraId="7E19FD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0970D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6,930.33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5,636.22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81.33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1,293.36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18.66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8537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8FAC4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本年支出6,581.75万元，其中：基本支出4,236.97万元，占64.37%；项目支出1,400.00万元，占21.27%；上缴上级支出0.00万元，占0.00%；经营支出944.78万元，占14.35%；对附属单位补助支出0.00万元，占0.00%。</w:t>
      </w:r>
    </w:p>
    <w:p w14:paraId="5DFB21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5A9E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p>
    <w:p w14:paraId="412043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主要原因是：人员工资奖励性绩效增资及人员正常增资。与年初预算相比，年初预算数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万元，预决算差异率6.98%，主要原因是：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1D0A8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994E0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33EDF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2023年度一般公共预算财政拨款支出5,636.22万元，占本年支出合计的</w:t>
      </w:r>
      <w:r>
        <w:rPr>
          <w:rFonts w:hint="eastAsia" w:ascii="仿宋_GB2312" w:eastAsia="仿宋_GB2312"/>
          <w:color w:val="auto"/>
          <w:spacing w:val="0"/>
          <w:sz w:val="32"/>
          <w:szCs w:val="32"/>
          <w:highlight w:val="none"/>
          <w:lang w:val="zh-CN" w:eastAsia="zh-CN"/>
        </w:rPr>
        <w:t>85.63%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主要原因是：人员工资奖励性绩效增资，发放</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21A0639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047CA2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723.38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12.83</w:t>
      </w:r>
      <w:r>
        <w:rPr>
          <w:rFonts w:hint="default" w:ascii="仿宋_GB2312" w:hAnsi="Times New Roman" w:eastAsia="仿宋_GB2312" w:cs="Times New Roman"/>
          <w:color w:val="auto"/>
          <w:spacing w:val="0"/>
          <w:kern w:val="2"/>
          <w:sz w:val="32"/>
          <w:szCs w:val="32"/>
          <w:highlight w:val="none"/>
          <w:lang w:val="zh-CN" w:eastAsia="zh-CN" w:bidi="ar-SA"/>
        </w:rPr>
        <w:t>%；</w:t>
      </w:r>
    </w:p>
    <w:p w14:paraId="1B077E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163.13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2.89</w:t>
      </w:r>
      <w:r>
        <w:rPr>
          <w:rFonts w:hint="default" w:ascii="仿宋_GB2312" w:hAnsi="Times New Roman" w:eastAsia="仿宋_GB2312" w:cs="Times New Roman"/>
          <w:color w:val="auto"/>
          <w:spacing w:val="0"/>
          <w:kern w:val="2"/>
          <w:sz w:val="32"/>
          <w:szCs w:val="32"/>
          <w:highlight w:val="none"/>
          <w:lang w:val="zh-CN" w:eastAsia="zh-CN" w:bidi="ar-SA"/>
        </w:rPr>
        <w:t>%；</w:t>
      </w:r>
    </w:p>
    <w:p w14:paraId="5D073E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4,503.98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79.91</w:t>
      </w:r>
      <w:r>
        <w:rPr>
          <w:rFonts w:hint="default" w:ascii="仿宋_GB2312" w:hAnsi="Times New Roman" w:eastAsia="仿宋_GB2312" w:cs="Times New Roman"/>
          <w:color w:val="auto"/>
          <w:spacing w:val="0"/>
          <w:kern w:val="2"/>
          <w:sz w:val="32"/>
          <w:szCs w:val="32"/>
          <w:highlight w:val="none"/>
          <w:lang w:val="zh-CN" w:eastAsia="zh-CN" w:bidi="ar-SA"/>
        </w:rPr>
        <w:t>%；</w:t>
      </w:r>
    </w:p>
    <w:p w14:paraId="3A34CE8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245.73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4.36</w:t>
      </w:r>
      <w:r>
        <w:rPr>
          <w:rFonts w:hint="default" w:ascii="仿宋_GB2312" w:hAnsi="Times New Roman" w:eastAsia="仿宋_GB2312" w:cs="Times New Roman"/>
          <w:color w:val="auto"/>
          <w:spacing w:val="0"/>
          <w:kern w:val="2"/>
          <w:sz w:val="32"/>
          <w:szCs w:val="32"/>
          <w:highlight w:val="none"/>
          <w:lang w:val="zh-CN" w:eastAsia="zh-CN" w:bidi="ar-SA"/>
        </w:rPr>
        <w:t>%；</w:t>
      </w:r>
    </w:p>
    <w:p w14:paraId="44D994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13213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1.卫生健康支出（类）行政事业单位医疗（款）事业单位医疗（项）:支出决算数为153.08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w:t>
      </w:r>
      <w:r>
        <w:rPr>
          <w:rFonts w:hint="eastAsia" w:eastAsia="仿宋_GB2312" w:cs="Times New Roman"/>
          <w:color w:val="auto"/>
          <w:kern w:val="2"/>
          <w:sz w:val="32"/>
          <w:szCs w:val="32"/>
          <w:highlight w:val="none"/>
          <w:lang w:val="en-US" w:eastAsia="zh-CN" w:bidi="ar-SA"/>
        </w:rPr>
        <w:t>本年度在职人员减少4人，</w:t>
      </w:r>
      <w:r>
        <w:rPr>
          <w:rFonts w:hint="eastAsia" w:ascii="仿宋_GB2312" w:eastAsia="仿宋_GB2312"/>
          <w:sz w:val="32"/>
          <w:szCs w:val="32"/>
        </w:rPr>
        <w:t>缴纳医疗保险</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1A569D19">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62.08%，主要原因是：</w:t>
      </w:r>
      <w:r>
        <w:rPr>
          <w:rFonts w:hint="eastAsia" w:ascii="仿宋_GB2312" w:eastAsia="仿宋_GB2312"/>
          <w:sz w:val="32"/>
          <w:szCs w:val="32"/>
        </w:rPr>
        <w:t>根据《关于调整自治州公务员医疗补助相关政策的通知》（昌州医保发【2022】1号），阶段性分类调整公务员医疗补助缴费标准，统一确定三挡缴费比例，逐步平衡各县市资金结余差距。即：州本级、吉木萨尔县缴费比例为0.5%；昌吉市缴费比例为1%；呼图壁县、玛纳斯县、阜康市、奇台县、木垒县缴费比例为2.2%。我单位根据州社保局在系统中设定好的州本级缴费比例为0.5%调整公务员医疗补助缴费标准，缴纳的公务员医疗补助降低。</w:t>
      </w:r>
    </w:p>
    <w:p w14:paraId="010B6D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3.自然资源海洋气象等支出（类）自然资源事务（款）其他自然资源事务支出（项）:支出决算数为1,400.00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9.27%，主要原因是：</w:t>
      </w:r>
      <w:r>
        <w:rPr>
          <w:rFonts w:hint="eastAsia" w:ascii="仿宋_GB2312" w:eastAsia="仿宋_GB2312"/>
          <w:sz w:val="32"/>
          <w:szCs w:val="32"/>
        </w:rPr>
        <w:t>年初预算数比上年减少200万元，</w:t>
      </w:r>
      <w:r>
        <w:rPr>
          <w:rFonts w:hint="eastAsia" w:ascii="仿宋_GB2312" w:eastAsia="仿宋_GB2312"/>
          <w:sz w:val="32"/>
          <w:szCs w:val="32"/>
          <w:lang w:eastAsia="zh-CN"/>
        </w:rPr>
        <w:t>上年度因为疫情未完成</w:t>
      </w:r>
      <w:r>
        <w:rPr>
          <w:rFonts w:hint="eastAsia" w:ascii="仿宋_GB2312" w:eastAsia="仿宋_GB2312"/>
          <w:sz w:val="32"/>
          <w:szCs w:val="32"/>
          <w:lang w:val="en-US" w:eastAsia="zh-CN"/>
        </w:rPr>
        <w:t>57万元，而本年度全部完成，因此差值143万元</w:t>
      </w:r>
      <w:r>
        <w:rPr>
          <w:rFonts w:hint="eastAsia" w:eastAsia="仿宋_GB2312" w:cs="Times New Roman"/>
          <w:color w:val="auto"/>
          <w:kern w:val="2"/>
          <w:sz w:val="32"/>
          <w:szCs w:val="32"/>
          <w:highlight w:val="none"/>
          <w:lang w:val="zh-CN" w:eastAsia="zh-CN" w:bidi="ar-SA"/>
        </w:rPr>
        <w:t>。</w:t>
      </w:r>
    </w:p>
    <w:p w14:paraId="53EA99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4.住房保障支出（类）住房改革支出（款）住房公积金（项）:支出决算数为245.73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13.71%，主要原因是：</w:t>
      </w:r>
      <w:r>
        <w:rPr>
          <w:rFonts w:hint="eastAsia" w:ascii="仿宋_GB2312" w:eastAsia="仿宋_GB2312"/>
          <w:sz w:val="32"/>
          <w:szCs w:val="32"/>
        </w:rPr>
        <w:t>人员增资后按比例在规定范围缴纳的公积金也增加</w:t>
      </w:r>
      <w:r>
        <w:rPr>
          <w:rFonts w:hint="eastAsia" w:eastAsia="仿宋_GB2312" w:cs="Times New Roman"/>
          <w:color w:val="auto"/>
          <w:kern w:val="2"/>
          <w:sz w:val="32"/>
          <w:szCs w:val="32"/>
          <w:highlight w:val="none"/>
          <w:lang w:val="zh-CN" w:eastAsia="zh-CN" w:bidi="ar-SA"/>
        </w:rPr>
        <w:t>。</w:t>
      </w:r>
    </w:p>
    <w:p w14:paraId="57872A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5.自然资源海洋气象等支出（类）自然资源事务（款）事业运行（项）:支出决算数为3,103.98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13.12%，主要原因是：</w:t>
      </w:r>
      <w:r>
        <w:rPr>
          <w:rFonts w:hint="eastAsia" w:ascii="仿宋_GB2312" w:eastAsia="仿宋_GB2312"/>
          <w:sz w:val="32"/>
          <w:szCs w:val="32"/>
        </w:rPr>
        <w:t>基础绩效奖增加，人员工资正常增资</w:t>
      </w:r>
      <w:r>
        <w:rPr>
          <w:rFonts w:hint="eastAsia" w:eastAsia="仿宋_GB2312" w:cs="Times New Roman"/>
          <w:color w:val="auto"/>
          <w:kern w:val="2"/>
          <w:sz w:val="32"/>
          <w:szCs w:val="32"/>
          <w:highlight w:val="none"/>
          <w:lang w:val="zh-CN" w:eastAsia="zh-CN" w:bidi="ar-SA"/>
        </w:rPr>
        <w:t>。</w:t>
      </w:r>
    </w:p>
    <w:p w14:paraId="106C30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6.社会保障和就业支出（类）行政事业单位养老支出（款）事业单位离退休（项）:支出决算数为378.32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16.57%，主要原因是：</w:t>
      </w:r>
      <w:r>
        <w:rPr>
          <w:rFonts w:hint="eastAsia" w:ascii="仿宋_GB2312" w:eastAsia="仿宋_GB2312"/>
          <w:sz w:val="32"/>
          <w:szCs w:val="32"/>
        </w:rPr>
        <w:t>离退休人员人数因自然死亡而减少，承担的绩效</w:t>
      </w:r>
      <w:r>
        <w:rPr>
          <w:rFonts w:hint="eastAsia" w:ascii="仿宋_GB2312" w:eastAsia="仿宋_GB2312"/>
          <w:sz w:val="32"/>
          <w:szCs w:val="32"/>
          <w:lang w:eastAsia="zh-CN"/>
        </w:rPr>
        <w:t>、取暖费</w:t>
      </w:r>
      <w:r>
        <w:rPr>
          <w:rFonts w:hint="eastAsia" w:ascii="仿宋_GB2312" w:eastAsia="仿宋_GB2312"/>
          <w:sz w:val="32"/>
          <w:szCs w:val="32"/>
        </w:rPr>
        <w:t>等都减少</w:t>
      </w:r>
      <w:r>
        <w:rPr>
          <w:rFonts w:hint="eastAsia" w:ascii="仿宋_GB2312" w:eastAsia="仿宋_GB2312"/>
          <w:sz w:val="32"/>
          <w:szCs w:val="32"/>
          <w:lang w:eastAsia="zh-CN"/>
        </w:rPr>
        <w:t>，以及不再承担退休人员医疗补助</w:t>
      </w:r>
      <w:r>
        <w:rPr>
          <w:rFonts w:hint="eastAsia" w:eastAsia="仿宋_GB2312" w:cs="Times New Roman"/>
          <w:color w:val="auto"/>
          <w:kern w:val="2"/>
          <w:sz w:val="32"/>
          <w:szCs w:val="32"/>
          <w:highlight w:val="none"/>
          <w:lang w:val="zh-CN" w:eastAsia="zh-CN" w:bidi="ar-SA"/>
        </w:rPr>
        <w:t>。</w:t>
      </w:r>
    </w:p>
    <w:p w14:paraId="68619B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7.社会保障和就业支出（类）行政事业单位养老支出（款）机关事业单位职业年金缴费支出（项）:支出决算数为22.30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282.05%，主要原因是：</w:t>
      </w:r>
      <w:r>
        <w:rPr>
          <w:rFonts w:hint="eastAsia" w:ascii="仿宋_GB2312" w:eastAsia="仿宋_GB2312"/>
          <w:sz w:val="32"/>
          <w:szCs w:val="32"/>
        </w:rPr>
        <w:t>2022年只退休一人，</w:t>
      </w:r>
      <w:r>
        <w:rPr>
          <w:rFonts w:hint="eastAsia" w:ascii="仿宋_GB2312" w:eastAsia="仿宋_GB2312"/>
          <w:sz w:val="32"/>
          <w:szCs w:val="32"/>
          <w:lang w:val="en-US" w:eastAsia="zh-CN"/>
        </w:rPr>
        <w:t>2023年在职去世2人，离职2人，</w:t>
      </w:r>
      <w:r>
        <w:rPr>
          <w:rFonts w:hint="eastAsia" w:ascii="仿宋_GB2312" w:eastAsia="仿宋_GB2312"/>
          <w:sz w:val="32"/>
          <w:szCs w:val="32"/>
        </w:rPr>
        <w:t>向社保缴纳清算的职业年金</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E427C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8.社会保障和就业支出（类）行政事业单位养老支出（款）机关事业单位基本养老保险缴费支出（项）:支出决算数为322.77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12.02%，主要原因是：</w:t>
      </w:r>
      <w:r>
        <w:rPr>
          <w:rFonts w:hint="eastAsia" w:ascii="仿宋_GB2312" w:eastAsia="仿宋_GB2312"/>
          <w:sz w:val="32"/>
          <w:szCs w:val="32"/>
        </w:rPr>
        <w:t>人员正常增资，同时社保基数调整，缴纳养老保险增加</w:t>
      </w:r>
      <w:r>
        <w:rPr>
          <w:rFonts w:hint="eastAsia" w:eastAsia="仿宋_GB2312" w:cs="Times New Roman"/>
          <w:color w:val="auto"/>
          <w:kern w:val="2"/>
          <w:sz w:val="32"/>
          <w:szCs w:val="32"/>
          <w:highlight w:val="none"/>
          <w:lang w:val="zh-CN" w:eastAsia="zh-CN" w:bidi="ar-SA"/>
        </w:rPr>
        <w:t>。</w:t>
      </w:r>
    </w:p>
    <w:p w14:paraId="3503A1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9ACFF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4,236.22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4,002.34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6A5C72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233.88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办公费、手续费、水费、电费、邮电费、取暖费、物业管理费、差旅费、维修（护）费、培训费、委托业务费、工会经费、福利费、公务用车运行维护费、其他商品和服务支出</w:t>
      </w:r>
      <w:r>
        <w:rPr>
          <w:rFonts w:hint="eastAsia" w:ascii="仿宋_GB2312" w:eastAsia="仿宋_GB2312"/>
          <w:color w:val="auto"/>
          <w:sz w:val="32"/>
          <w:szCs w:val="32"/>
          <w:highlight w:val="none"/>
          <w:lang w:eastAsia="zh-CN"/>
        </w:rPr>
        <w:t>。</w:t>
      </w:r>
    </w:p>
    <w:p w14:paraId="2BD61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27698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；公务用车购置及运行维护费支出15.99万元，占100.00%，比上年增加3.71万元，增长30.18%，主要原因是：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8156C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BD5E8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E6BF0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公务用车购置及运行维护费15.99万元，其中：公务用车购置费0.00万元，公务用车运行维护费15.99万元。公务用车运行维护费开支内容包括</w:t>
      </w:r>
      <w:r>
        <w:rPr>
          <w:rFonts w:hint="eastAsia" w:ascii="仿宋_GB2312" w:eastAsia="仿宋_GB2312"/>
          <w:sz w:val="32"/>
          <w:szCs w:val="32"/>
        </w:rPr>
        <w:t>车辆保险费，车辆维修费，</w:t>
      </w:r>
      <w:r>
        <w:rPr>
          <w:rFonts w:hint="eastAsia" w:ascii="仿宋_GB2312" w:eastAsia="仿宋_GB2312"/>
          <w:sz w:val="32"/>
          <w:szCs w:val="32"/>
          <w:lang w:eastAsia="zh-CN"/>
        </w:rPr>
        <w:t>车辆燃油费，</w:t>
      </w:r>
      <w:r>
        <w:rPr>
          <w:rFonts w:hint="eastAsia" w:ascii="仿宋_GB2312" w:eastAsia="仿宋_GB2312"/>
          <w:sz w:val="32"/>
          <w:szCs w:val="32"/>
        </w:rPr>
        <w:t>过桥过路费，停车费等</w:t>
      </w:r>
      <w:r>
        <w:rPr>
          <w:rFonts w:hint="eastAsia" w:ascii="仿宋_GB2312" w:eastAsia="仿宋_GB2312"/>
          <w:color w:val="auto"/>
          <w:sz w:val="32"/>
          <w:szCs w:val="32"/>
          <w:highlight w:val="none"/>
          <w:lang w:val="zh-CN" w:eastAsia="zh-CN"/>
        </w:rPr>
        <w:t>。公务用车购置数0辆，公务用车保有量15辆。国有资产占用情况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原因是：我单位无差异。</w:t>
      </w:r>
    </w:p>
    <w:p w14:paraId="1836AAC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33E6A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预算数16.40万元，决算数15.99万元，预决算差异率-2.50%，主要原因是：我单位严格支出，厉行节约，不超支“三公”经费支出预算数。其中：因公出国（境）费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预算数16.00万元，决算数15.99万元，预决算差异率-0.06%，主要原因是：我单位严格支出，厉行节约，不超支公务用车运行费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预算数0.40万元，决算数0.00万元，预决算差异率-100.00%，主要原因是：</w:t>
      </w:r>
      <w:r>
        <w:rPr>
          <w:rFonts w:hint="eastAsia" w:ascii="仿宋_GB2312" w:eastAsia="仿宋_GB2312"/>
          <w:sz w:val="32"/>
          <w:szCs w:val="32"/>
        </w:rPr>
        <w:t>我单位无公务接待费</w:t>
      </w:r>
      <w:r>
        <w:rPr>
          <w:rFonts w:hint="eastAsia" w:ascii="仿宋_GB2312" w:eastAsia="仿宋_GB2312"/>
          <w:sz w:val="32"/>
          <w:szCs w:val="32"/>
          <w:lang w:eastAsia="zh-CN"/>
        </w:rPr>
        <w:t>支出</w:t>
      </w:r>
      <w:r>
        <w:rPr>
          <w:rFonts w:hint="eastAsia" w:ascii="仿宋_GB2312" w:eastAsia="仿宋_GB2312"/>
          <w:color w:val="auto"/>
          <w:sz w:val="32"/>
          <w:szCs w:val="32"/>
          <w:highlight w:val="none"/>
          <w:lang w:val="zh-CN" w:eastAsia="zh-CN"/>
        </w:rPr>
        <w:t>。</w:t>
      </w:r>
    </w:p>
    <w:p w14:paraId="3B039B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762FA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0A43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84DD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6A7EC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EDC02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923629A">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新疆维吾尔自治区第一测绘院</w:t>
      </w:r>
      <w:r>
        <w:rPr>
          <w:rFonts w:hint="eastAsia" w:ascii="Times New Roman" w:hAnsi="Times New Roman" w:eastAsia="仿宋_GB2312" w:cs="Times New Roman"/>
          <w:color w:val="auto"/>
          <w:sz w:val="32"/>
          <w:szCs w:val="32"/>
          <w:highlight w:val="none"/>
          <w:lang w:val="zh-CN" w:eastAsia="zh-CN"/>
        </w:rPr>
        <w:t>（事业单位）公用经费支出233.88万元，比上年减少8.73万元，下降3.60%，主要原因是：</w:t>
      </w:r>
      <w:r>
        <w:rPr>
          <w:rFonts w:hint="eastAsia" w:ascii="仿宋_GB2312" w:eastAsia="仿宋_GB2312"/>
          <w:sz w:val="32"/>
          <w:szCs w:val="32"/>
        </w:rPr>
        <w:t>单位厉行节约</w:t>
      </w:r>
      <w:r>
        <w:rPr>
          <w:rFonts w:hint="eastAsia" w:ascii="仿宋_GB2312" w:eastAsia="仿宋_GB2312"/>
          <w:sz w:val="32"/>
          <w:szCs w:val="32"/>
          <w:lang w:eastAsia="zh-CN"/>
        </w:rPr>
        <w:t>，公用经费</w:t>
      </w:r>
      <w:r>
        <w:rPr>
          <w:rFonts w:hint="eastAsia" w:ascii="仿宋_GB2312" w:eastAsia="仿宋_GB2312"/>
          <w:sz w:val="32"/>
          <w:szCs w:val="32"/>
        </w:rPr>
        <w:t>支出</w:t>
      </w:r>
      <w:r>
        <w:rPr>
          <w:rFonts w:hint="eastAsia" w:ascii="仿宋_GB2312" w:eastAsia="仿宋_GB2312"/>
          <w:sz w:val="32"/>
          <w:szCs w:val="32"/>
          <w:lang w:eastAsia="zh-CN"/>
        </w:rPr>
        <w:t>减少</w:t>
      </w:r>
      <w:r>
        <w:rPr>
          <w:rFonts w:hint="eastAsia" w:ascii="Times New Roman" w:hAnsi="Times New Roman" w:eastAsia="仿宋_GB2312" w:cs="Times New Roman"/>
          <w:color w:val="auto"/>
          <w:sz w:val="32"/>
          <w:szCs w:val="32"/>
          <w:highlight w:val="none"/>
          <w:lang w:val="zh-CN" w:eastAsia="zh-CN"/>
        </w:rPr>
        <w:t>。</w:t>
      </w:r>
    </w:p>
    <w:p w14:paraId="67BB13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2242E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593.81万元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其中：政府采购货物支出289.08万元、政府采购工程支出0.00万元、政府采购服务支出304.74万元。</w:t>
      </w:r>
    </w:p>
    <w:p w14:paraId="4F98C3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授予中小企业合同金额297.72万元，占政府采购支出总额的50.14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，其中：授予小微企业合同金额276.45万元，占政府采购支出总额的46.55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E3DF0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55D2E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8,243.52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屋7278.0平方米，价值1,274.28万元。车辆15辆，价值389.52万元，其中：副部（省）级及以上领导用车0辆、主要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用车0辆、其他用车15辆，其他用车主要是：</w:t>
      </w:r>
      <w:r>
        <w:rPr>
          <w:rFonts w:hint="eastAsia" w:ascii="仿宋_GB2312" w:eastAsia="仿宋_GB2312"/>
          <w:sz w:val="32"/>
          <w:szCs w:val="32"/>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；单价100万元（含）以上设备（不含车辆）11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B3048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48156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全年预算数2344.78</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全年执行数2344.78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初步树立了绩效理念。通过开展绩效评价，我单位牢固树立“讲绩效、重绩效、用绩效”、”花钱必问效、无效必问责”的绩效管理理念，进一步增强支出责任和效率意识，全面加强预算管理，优化资源配置提高财政资金使用绩效和科学精细化管理水平</w:t>
      </w:r>
      <w:r>
        <w:rPr>
          <w:rFonts w:hint="eastAsia" w:ascii="仿宋_GB2312" w:eastAsia="仿宋_GB2312"/>
          <w:color w:val="auto"/>
          <w:sz w:val="32"/>
          <w:szCs w:val="32"/>
          <w:highlight w:val="none"/>
          <w:lang w:eastAsia="zh-CN"/>
        </w:rPr>
        <w:t>；二是</w:t>
      </w:r>
      <w:r>
        <w:rPr>
          <w:rFonts w:ascii="仿宋_GB2312" w:eastAsia="仿宋_GB2312"/>
          <w:sz w:val="32"/>
          <w:szCs w:val="32"/>
        </w:rPr>
        <w:t>强化了责任意识。通过设定明确可衡量的绩效目标，单位和各部门更清楚地了解财政支出所要取得的社会和经济效益，其职能和目标得到进一步明确；用财要问效，无效要问责，在一定程度上强化了单位整体和各部门的自我约束意识和责任意识</w:t>
      </w:r>
      <w:r>
        <w:rPr>
          <w:rFonts w:hint="eastAsia" w:ascii="仿宋_GB2312" w:eastAsia="仿宋_GB2312"/>
          <w:sz w:val="32"/>
          <w:szCs w:val="32"/>
          <w:lang w:val="en-US" w:eastAsia="zh-CN"/>
        </w:rPr>
        <w:t>;</w:t>
      </w:r>
      <w:r>
        <w:rPr>
          <w:rFonts w:ascii="仿宋_GB2312" w:eastAsia="仿宋_GB2312"/>
          <w:sz w:val="32"/>
          <w:szCs w:val="32"/>
        </w:rPr>
        <w:t>三是提高了财政资金的使用效益。将各科室的年度工作计划进行跟踪问效，有利于优化财政资金的使用，减少财政资金支出的随意性和盲目性</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评价指标需要进步完善。项目人员、财务人员对项目绩效考核各项指标设置不全面，沟通不及时。编制绩效工作人员经验不足，对绩效指标内容把握不准</w:t>
      </w:r>
      <w:r>
        <w:rPr>
          <w:rFonts w:hint="eastAsia" w:ascii="仿宋_GB2312" w:eastAsia="仿宋_GB2312"/>
          <w:color w:val="auto"/>
          <w:sz w:val="32"/>
          <w:szCs w:val="32"/>
          <w:highlight w:val="none"/>
          <w:lang w:eastAsia="zh-CN"/>
        </w:rPr>
        <w:t>；二是</w:t>
      </w:r>
      <w:r>
        <w:rPr>
          <w:rFonts w:ascii="仿宋_GB2312" w:eastAsia="仿宋_GB2312"/>
          <w:sz w:val="32"/>
          <w:szCs w:val="32"/>
        </w:rPr>
        <w:t>工作人员职业技能有待进一步提高。预算绩效管理工作开展时间较短，加上缺乏系统的培训，负责预算绩效管理工作的人员对预算绩效管理认识不到位、理解不充分，对预算绩效管理业务不了解、不熟悉，对工作重点把握不到位</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进一步完善评价指标，项目人员、财务人员对项目绩效考核各项指标进行及时充分的沟通，将绩效评价指标设置的尽可能完善</w:t>
      </w:r>
      <w:r>
        <w:rPr>
          <w:rFonts w:hint="eastAsia" w:ascii="仿宋_GB2312" w:eastAsia="仿宋_GB2312"/>
          <w:color w:val="auto"/>
          <w:sz w:val="32"/>
          <w:szCs w:val="32"/>
          <w:highlight w:val="none"/>
          <w:lang w:eastAsia="zh-CN"/>
        </w:rPr>
        <w:t>；二是</w:t>
      </w:r>
      <w:r>
        <w:rPr>
          <w:rFonts w:ascii="仿宋_GB2312" w:eastAsia="仿宋_GB2312"/>
          <w:sz w:val="32"/>
          <w:szCs w:val="32"/>
        </w:rPr>
        <w:t>加强培训和指导。采取集中学习、讲座、专题会议等方式，加大对我单位绩效评价管理工作参与人员的培训力度，进一步充实业务知识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14:paraId="3DF42B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E6B37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60555A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F4366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8C4B4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AF3EC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5E5F6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45079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A8891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22EBB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B799B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21C1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26304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86CCA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64A75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DAC57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24B250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B67C2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070B8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0E931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98C43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42B49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E271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F9732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1785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19B14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F467B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52A28F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7C6A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19B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633C"/>
    <w:rsid w:val="0D4903E8"/>
    <w:rsid w:val="0D7A4A46"/>
    <w:rsid w:val="0E640559"/>
    <w:rsid w:val="0F1113DA"/>
    <w:rsid w:val="0F78534A"/>
    <w:rsid w:val="0F89358A"/>
    <w:rsid w:val="0F8C6D51"/>
    <w:rsid w:val="105B0B5E"/>
    <w:rsid w:val="10D14732"/>
    <w:rsid w:val="112E58D0"/>
    <w:rsid w:val="11731CAC"/>
    <w:rsid w:val="119500A0"/>
    <w:rsid w:val="11C0733B"/>
    <w:rsid w:val="11D50D17"/>
    <w:rsid w:val="120E0809"/>
    <w:rsid w:val="127F665A"/>
    <w:rsid w:val="12F7068C"/>
    <w:rsid w:val="14207DC0"/>
    <w:rsid w:val="14B932DA"/>
    <w:rsid w:val="150A66AF"/>
    <w:rsid w:val="154C1139"/>
    <w:rsid w:val="15717D54"/>
    <w:rsid w:val="158C5B77"/>
    <w:rsid w:val="160D1149"/>
    <w:rsid w:val="163563C0"/>
    <w:rsid w:val="164315EF"/>
    <w:rsid w:val="16557DFE"/>
    <w:rsid w:val="167268FB"/>
    <w:rsid w:val="16D50C50"/>
    <w:rsid w:val="16E120E1"/>
    <w:rsid w:val="17385A05"/>
    <w:rsid w:val="173B3901"/>
    <w:rsid w:val="175C39B7"/>
    <w:rsid w:val="176747F9"/>
    <w:rsid w:val="17954A6E"/>
    <w:rsid w:val="180059E9"/>
    <w:rsid w:val="184510FD"/>
    <w:rsid w:val="190648B0"/>
    <w:rsid w:val="19071D6C"/>
    <w:rsid w:val="190E392E"/>
    <w:rsid w:val="19D26CD4"/>
    <w:rsid w:val="19E60D19"/>
    <w:rsid w:val="1A3E3450"/>
    <w:rsid w:val="1A806190"/>
    <w:rsid w:val="1AD807E5"/>
    <w:rsid w:val="1B39345B"/>
    <w:rsid w:val="1BE71F02"/>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B4445D"/>
    <w:rsid w:val="20DC1AB9"/>
    <w:rsid w:val="20DD6197"/>
    <w:rsid w:val="212631E0"/>
    <w:rsid w:val="21A53757"/>
    <w:rsid w:val="221236C6"/>
    <w:rsid w:val="22D7662C"/>
    <w:rsid w:val="23326B7F"/>
    <w:rsid w:val="2380045B"/>
    <w:rsid w:val="23BC04D2"/>
    <w:rsid w:val="23EF1892"/>
    <w:rsid w:val="24352224"/>
    <w:rsid w:val="246D5777"/>
    <w:rsid w:val="2483647E"/>
    <w:rsid w:val="24A32D55"/>
    <w:rsid w:val="25292727"/>
    <w:rsid w:val="252E5CA9"/>
    <w:rsid w:val="256F7692"/>
    <w:rsid w:val="25BA2154"/>
    <w:rsid w:val="25C8773F"/>
    <w:rsid w:val="264A7253"/>
    <w:rsid w:val="2690424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2B1E76"/>
    <w:rsid w:val="2BB94DBF"/>
    <w:rsid w:val="2C6F314E"/>
    <w:rsid w:val="2CC206BE"/>
    <w:rsid w:val="2D1136DF"/>
    <w:rsid w:val="2D20606D"/>
    <w:rsid w:val="2D38046B"/>
    <w:rsid w:val="2DB87198"/>
    <w:rsid w:val="2DB93C54"/>
    <w:rsid w:val="2E2B2AE2"/>
    <w:rsid w:val="2E3D144C"/>
    <w:rsid w:val="2E891204"/>
    <w:rsid w:val="2F3F0A28"/>
    <w:rsid w:val="2FBF7029"/>
    <w:rsid w:val="2FD0187F"/>
    <w:rsid w:val="2FD27414"/>
    <w:rsid w:val="2FFE4BB0"/>
    <w:rsid w:val="300E7B60"/>
    <w:rsid w:val="300F6E18"/>
    <w:rsid w:val="30862F5F"/>
    <w:rsid w:val="314029C9"/>
    <w:rsid w:val="31C63837"/>
    <w:rsid w:val="31C82E39"/>
    <w:rsid w:val="31F70837"/>
    <w:rsid w:val="32601BAD"/>
    <w:rsid w:val="329F6389"/>
    <w:rsid w:val="3389023A"/>
    <w:rsid w:val="33CB74FA"/>
    <w:rsid w:val="33E13D85"/>
    <w:rsid w:val="343642F2"/>
    <w:rsid w:val="343F3010"/>
    <w:rsid w:val="345D0A00"/>
    <w:rsid w:val="34713BFD"/>
    <w:rsid w:val="34C13589"/>
    <w:rsid w:val="35163D90"/>
    <w:rsid w:val="353369E3"/>
    <w:rsid w:val="35E00D72"/>
    <w:rsid w:val="36965B9D"/>
    <w:rsid w:val="36C549FD"/>
    <w:rsid w:val="37A755DD"/>
    <w:rsid w:val="37F94FA0"/>
    <w:rsid w:val="380D3381"/>
    <w:rsid w:val="38115B1F"/>
    <w:rsid w:val="381F4690"/>
    <w:rsid w:val="385E3AC3"/>
    <w:rsid w:val="387D6B9E"/>
    <w:rsid w:val="38B75FF0"/>
    <w:rsid w:val="38D45016"/>
    <w:rsid w:val="38D90432"/>
    <w:rsid w:val="3914510A"/>
    <w:rsid w:val="3926770B"/>
    <w:rsid w:val="398D3668"/>
    <w:rsid w:val="39DA0497"/>
    <w:rsid w:val="3A893816"/>
    <w:rsid w:val="3A893B6D"/>
    <w:rsid w:val="3AD1763A"/>
    <w:rsid w:val="3B6716E3"/>
    <w:rsid w:val="3B6C6B2D"/>
    <w:rsid w:val="3BEC377A"/>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092C8F"/>
    <w:rsid w:val="42171FB1"/>
    <w:rsid w:val="423E51AE"/>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A6316B"/>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26307D"/>
    <w:rsid w:val="4B4C0111"/>
    <w:rsid w:val="4B8553A9"/>
    <w:rsid w:val="4BDB3730"/>
    <w:rsid w:val="4C200F7A"/>
    <w:rsid w:val="4CEE3180"/>
    <w:rsid w:val="4D065A1A"/>
    <w:rsid w:val="4D0F4AF6"/>
    <w:rsid w:val="4D7C1EE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B52F4C"/>
    <w:rsid w:val="52F647F7"/>
    <w:rsid w:val="52F92565"/>
    <w:rsid w:val="53D03877"/>
    <w:rsid w:val="542F73CA"/>
    <w:rsid w:val="5430786D"/>
    <w:rsid w:val="54C811C0"/>
    <w:rsid w:val="556A442D"/>
    <w:rsid w:val="55DA564E"/>
    <w:rsid w:val="5604127D"/>
    <w:rsid w:val="56166703"/>
    <w:rsid w:val="56345CC5"/>
    <w:rsid w:val="56416E1F"/>
    <w:rsid w:val="56510474"/>
    <w:rsid w:val="56861525"/>
    <w:rsid w:val="56A93273"/>
    <w:rsid w:val="56BD550C"/>
    <w:rsid w:val="56E07045"/>
    <w:rsid w:val="56FF28AF"/>
    <w:rsid w:val="57540E7D"/>
    <w:rsid w:val="5778646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BFD51C8"/>
    <w:rsid w:val="5C0D1F49"/>
    <w:rsid w:val="5CBB0CE2"/>
    <w:rsid w:val="5CC17177"/>
    <w:rsid w:val="5CF306BC"/>
    <w:rsid w:val="5D3F3D64"/>
    <w:rsid w:val="5D833043"/>
    <w:rsid w:val="5DA1781D"/>
    <w:rsid w:val="5DD92690"/>
    <w:rsid w:val="5DDB1CFD"/>
    <w:rsid w:val="5E7E6D93"/>
    <w:rsid w:val="5ED44800"/>
    <w:rsid w:val="5F350BDE"/>
    <w:rsid w:val="5F61632C"/>
    <w:rsid w:val="5FA17648"/>
    <w:rsid w:val="5FE705CB"/>
    <w:rsid w:val="603D5080"/>
    <w:rsid w:val="6069719B"/>
    <w:rsid w:val="606D241C"/>
    <w:rsid w:val="60705B03"/>
    <w:rsid w:val="60D0261B"/>
    <w:rsid w:val="618E3791"/>
    <w:rsid w:val="61947DCA"/>
    <w:rsid w:val="61A46A97"/>
    <w:rsid w:val="61D1382F"/>
    <w:rsid w:val="61F114A2"/>
    <w:rsid w:val="62512BB4"/>
    <w:rsid w:val="625D7D1A"/>
    <w:rsid w:val="62DD7D21"/>
    <w:rsid w:val="63695BAF"/>
    <w:rsid w:val="637D586B"/>
    <w:rsid w:val="63A5560B"/>
    <w:rsid w:val="63E9091F"/>
    <w:rsid w:val="64322AF9"/>
    <w:rsid w:val="64D6010D"/>
    <w:rsid w:val="64D75F5A"/>
    <w:rsid w:val="64D82665"/>
    <w:rsid w:val="64E47C96"/>
    <w:rsid w:val="651E5741"/>
    <w:rsid w:val="658A4877"/>
    <w:rsid w:val="65A00902"/>
    <w:rsid w:val="65AC6EDD"/>
    <w:rsid w:val="65D97752"/>
    <w:rsid w:val="6607466A"/>
    <w:rsid w:val="66085536"/>
    <w:rsid w:val="66105BF7"/>
    <w:rsid w:val="66150023"/>
    <w:rsid w:val="6628010D"/>
    <w:rsid w:val="6653589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C558E"/>
    <w:rsid w:val="6B68175F"/>
    <w:rsid w:val="6BFD799F"/>
    <w:rsid w:val="6C4A2E5A"/>
    <w:rsid w:val="6C8138D0"/>
    <w:rsid w:val="6CEF0725"/>
    <w:rsid w:val="6D4B2604"/>
    <w:rsid w:val="6D5E5D83"/>
    <w:rsid w:val="6D8030E4"/>
    <w:rsid w:val="6DFF0E7A"/>
    <w:rsid w:val="6E0E35C4"/>
    <w:rsid w:val="6E0F7A08"/>
    <w:rsid w:val="6E3947F5"/>
    <w:rsid w:val="6E9C74ED"/>
    <w:rsid w:val="6EF72976"/>
    <w:rsid w:val="6F5E5BD2"/>
    <w:rsid w:val="6F795A80"/>
    <w:rsid w:val="6F7C1D2E"/>
    <w:rsid w:val="6F8E0407"/>
    <w:rsid w:val="6FDD069F"/>
    <w:rsid w:val="6FDE723D"/>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C35F27"/>
    <w:rsid w:val="75DB5477"/>
    <w:rsid w:val="75FC6AC3"/>
    <w:rsid w:val="7616619B"/>
    <w:rsid w:val="76660D7C"/>
    <w:rsid w:val="766C5968"/>
    <w:rsid w:val="76BE0C8F"/>
    <w:rsid w:val="76CD53B2"/>
    <w:rsid w:val="770719AC"/>
    <w:rsid w:val="776526CC"/>
    <w:rsid w:val="77A262E1"/>
    <w:rsid w:val="77B13C33"/>
    <w:rsid w:val="77ED6F44"/>
    <w:rsid w:val="77F45548"/>
    <w:rsid w:val="784448AB"/>
    <w:rsid w:val="784E7CA6"/>
    <w:rsid w:val="78574801"/>
    <w:rsid w:val="78604D6B"/>
    <w:rsid w:val="7873527F"/>
    <w:rsid w:val="790A6425"/>
    <w:rsid w:val="790E2D96"/>
    <w:rsid w:val="791B54B2"/>
    <w:rsid w:val="795A0A34"/>
    <w:rsid w:val="797339C3"/>
    <w:rsid w:val="79CB5771"/>
    <w:rsid w:val="79D57D57"/>
    <w:rsid w:val="79F00650"/>
    <w:rsid w:val="7A6242BF"/>
    <w:rsid w:val="7A794513"/>
    <w:rsid w:val="7AE952D2"/>
    <w:rsid w:val="7B9464E3"/>
    <w:rsid w:val="7C976D69"/>
    <w:rsid w:val="7CB563D9"/>
    <w:rsid w:val="7CD752DA"/>
    <w:rsid w:val="7CDE40AB"/>
    <w:rsid w:val="7CF057E2"/>
    <w:rsid w:val="7D1548B5"/>
    <w:rsid w:val="7DA030F0"/>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6513</Words>
  <Characters>7359</Characters>
  <Lines>0</Lines>
  <Paragraphs>0</Paragraphs>
  <TotalTime>0</TotalTime>
  <ScaleCrop>false</ScaleCrop>
  <LinksUpToDate>false</LinksUpToDate>
  <CharactersWithSpaces>7388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2024-09-09T03:09:39Z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