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新疆维吾尔自治区测绘科学研究院</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auto"/>
          <w:sz w:val="32"/>
          <w:szCs w:val="32"/>
          <w:highlight w:val="none"/>
        </w:rPr>
      </w:pPr>
      <w:r>
        <w:rPr>
          <w:rFonts w:ascii="仿宋_GB2312" w:eastAsia="仿宋_GB2312"/>
          <w:sz w:val="32"/>
          <w:szCs w:val="32"/>
        </w:rPr>
        <w:t>新疆维吾尔自治区测绘科学研究院为新疆维吾尔自治区自然资源厅所属正县级、全额预算管理的事业单位。主要承担测绘基础学科应用、地理国情监测、信息化测绘体系建设、地理信息产业发展、测绘与地理信息发展规划等方面的科学技术研究；承担测绘与地理信息重大项目的方案编制、技术设计、研究开发等工作；委托承担自治区测绘地理信息重大项目管理职责；对自治区境内公开出版、展示的地图以及在生产加工的产品上附加的地图地形进行技术审查；承担自治区现代测绘与地理信息基准体系和综合导航系统的建设、管理与服务工作；承担国家和地方测绘与地理信息技术科研任务；开展国家和地方测绘与地理信息标准研究和起草工作；开展测绘与地理信息科技国际交流与合作，带动自治区测绘科技创新；承担测绘与地理信息的技术标准、事业发展规划、基础测绘规划、地理信息产业发展规划及其他测绘专项规划的编制研究工作；承担测绘与地理信息的科技培训、国际交流与合作的相关工作；承担自治区地理信息产业发展中基础性、关键性技术的研发，负责将最新科研与技术成果转化为实用技术和测绘新成果，并推广应用；承担全区测绘地理信息从业人员继续教育培训和新疆测绘学会的日常工作；承担中国测绘科学研究院在自治区的研究生教育基地、硕士生教育点、博士后工作分站建设和管理工作；承担测绘与地理信息技术培训和科技咨询工作。目前单位已通过 IS9001：2000Z 质量管理体系认证</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新疆维吾尔自治区测绘科学研究院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53</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44</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p>
    <w:p>
      <w:pPr>
        <w:ind w:firstLine="640" w:firstLineChars="200"/>
        <w:rPr>
          <w:rFonts w:hint="eastAsia" w:ascii="黑体" w:hAnsi="黑体" w:eastAsia="黑体"/>
          <w:color w:val="auto"/>
          <w:sz w:val="32"/>
          <w:szCs w:val="32"/>
          <w:highlight w:val="none"/>
        </w:rPr>
      </w:pPr>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7</w:t>
      </w:r>
      <w:r>
        <w:rPr>
          <w:rFonts w:hint="eastAsia" w:ascii="仿宋_GB2312" w:hAnsi="黑体" w:eastAsia="仿宋_GB2312" w:cs="宋体"/>
          <w:bCs/>
          <w:kern w:val="0"/>
          <w:sz w:val="32"/>
          <w:szCs w:val="32"/>
        </w:rPr>
        <w:t>个处室，分别是：综合办公室、总工办、</w:t>
      </w:r>
      <w:r>
        <w:rPr>
          <w:rFonts w:hint="eastAsia" w:ascii="仿宋_GB2312" w:hAnsi="黑体" w:eastAsia="仿宋_GB2312" w:cs="宋体"/>
          <w:bCs/>
          <w:kern w:val="0"/>
          <w:sz w:val="32"/>
          <w:szCs w:val="32"/>
          <w:lang w:val="en-US" w:eastAsia="zh-CN"/>
        </w:rPr>
        <w:t>财务室、新型</w:t>
      </w:r>
      <w:r>
        <w:rPr>
          <w:rFonts w:hint="eastAsia" w:ascii="仿宋_GB2312" w:hAnsi="黑体" w:eastAsia="仿宋_GB2312" w:cs="宋体"/>
          <w:bCs/>
          <w:kern w:val="0"/>
          <w:sz w:val="32"/>
          <w:szCs w:val="32"/>
        </w:rPr>
        <w:t>基础测绘</w:t>
      </w:r>
      <w:r>
        <w:rPr>
          <w:rFonts w:hint="eastAsia" w:ascii="仿宋_GB2312" w:hAnsi="黑体" w:eastAsia="仿宋_GB2312" w:cs="宋体"/>
          <w:bCs/>
          <w:kern w:val="0"/>
          <w:sz w:val="32"/>
          <w:szCs w:val="32"/>
          <w:lang w:val="en-US" w:eastAsia="zh-CN"/>
        </w:rPr>
        <w:t>研究室</w:t>
      </w:r>
      <w:r>
        <w:rPr>
          <w:rFonts w:hint="eastAsia" w:ascii="仿宋_GB2312" w:hAnsi="黑体" w:eastAsia="仿宋_GB2312" w:cs="宋体"/>
          <w:bCs/>
          <w:kern w:val="0"/>
          <w:sz w:val="32"/>
          <w:szCs w:val="32"/>
        </w:rPr>
        <w:t>、摄影测量与遥感研究室、GIS与地图研究室、大地与导航研究室</w:t>
      </w:r>
      <w:r>
        <w:rPr>
          <w:rFonts w:hint="eastAsia" w:ascii="仿宋_GB2312" w:hAnsi="宋体" w:eastAsia="仿宋_GB2312" w:cs="宋体"/>
          <w:kern w:val="0"/>
          <w:sz w:val="32"/>
          <w:szCs w:val="32"/>
        </w:rPr>
        <w:t>。</w:t>
      </w: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2,432.05万元，使用非财政拨款结余0.00万元，年初结转和结余0.00万元。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2,432.05万元，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2,337.78万元，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37.91万元，年末结转和结余56.36万元。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增加541.79万元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增长28.66%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2023年较上一年度财政项目任务量增加相应预算资金增加、单位市场经营项目任务量加大相应收入总额增加</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2,432.05</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1,887.20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77.60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470.11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19.33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74.74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3.07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本年支出2,337.78万元，其中：基本支出967.20万元，占41.37%；项目支出938.38万元，占40.14%；上缴上级支出0.00万元，占0.00%；经营支出432.20万元，占18.49%；对附属单位补助支出0.00万元，占0.00%。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bookmarkStart w:id="16" w:name="OLE_LINK1"/>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bookmarkEnd w:id="16"/>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万元，预决算差异率6.46%，主要原因是：</w:t>
      </w:r>
      <w:bookmarkStart w:id="17" w:name="OLE_LINK2"/>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bookmarkEnd w:id="17"/>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13833"/>
      <w:bookmarkStart w:id="19"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2023年度一般公共预算财政拨款支出1,887.20万元，占本年支出合计的</w:t>
      </w:r>
      <w:r>
        <w:rPr>
          <w:rFonts w:hint="eastAsia" w:ascii="仿宋_GB2312" w:eastAsia="仿宋_GB2312"/>
          <w:color w:val="auto"/>
          <w:spacing w:val="0"/>
          <w:sz w:val="32"/>
          <w:szCs w:val="32"/>
          <w:highlight w:val="none"/>
          <w:lang w:val="zh-CN" w:eastAsia="zh-CN"/>
        </w:rPr>
        <w:t>80.73%</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增加388.37万元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增长25.91%，</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人员保障工资较上年度相应增加、公用运转保障类项目较上年度金额相应增加、财政特定目标类项目较上年度量加大相应资金预算增加</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1,772.66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1,887.20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年中追加天山英才项目资金、追加南疆驻村干部补贴资金等</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126.48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81.15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1,615.93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85.63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黑体" w:hAnsi="黑体" w:eastAsia="黑体"/>
          <w:color w:val="auto"/>
          <w:sz w:val="32"/>
          <w:szCs w:val="32"/>
          <w:highlight w:val="none"/>
          <w:lang w:eastAsia="zh-CN"/>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63.64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3.37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1.卫生健康支出（类）行政事业单位医疗（款）事业单位医疗（项）:支出决算数为44.02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13.11%，主要原因是：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w:t>
      </w:r>
      <w:r>
        <w:rPr>
          <w:rFonts w:hint="eastAsia" w:ascii="仿宋_GB2312" w:eastAsia="仿宋_GB2312"/>
          <w:sz w:val="32"/>
          <w:szCs w:val="32"/>
          <w:highlight w:val="none"/>
          <w:lang w:val="en-US" w:eastAsia="zh-CN"/>
        </w:rPr>
        <w:t>导致</w:t>
      </w:r>
      <w:r>
        <w:rPr>
          <w:rFonts w:hint="eastAsia" w:ascii="仿宋_GB2312" w:eastAsia="仿宋_GB2312"/>
          <w:sz w:val="32"/>
          <w:szCs w:val="32"/>
          <w:highlight w:val="none"/>
        </w:rPr>
        <w:t>人员经费</w:t>
      </w:r>
      <w:r>
        <w:rPr>
          <w:rFonts w:hint="eastAsia" w:ascii="仿宋_GB2312" w:eastAsia="仿宋_GB2312"/>
          <w:sz w:val="32"/>
          <w:szCs w:val="32"/>
          <w:highlight w:val="none"/>
          <w:lang w:val="en-US" w:eastAsia="zh-CN"/>
        </w:rPr>
        <w:t>相应</w:t>
      </w:r>
      <w:r>
        <w:rPr>
          <w:rFonts w:hint="eastAsia" w:ascii="仿宋_GB2312" w:eastAsia="仿宋_GB2312"/>
          <w:sz w:val="32"/>
          <w:szCs w:val="32"/>
          <w:highlight w:val="none"/>
        </w:rPr>
        <w:t>增加。</w:t>
      </w:r>
    </w:p>
    <w:p>
      <w:pPr>
        <w:ind w:firstLine="640" w:firstLineChars="200"/>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6.85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22.65%，主要原因是：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w:t>
      </w:r>
      <w:r>
        <w:rPr>
          <w:rFonts w:hint="eastAsia" w:ascii="仿宋_GB2312" w:eastAsia="仿宋_GB2312"/>
          <w:sz w:val="32"/>
          <w:szCs w:val="32"/>
          <w:highlight w:val="none"/>
          <w:lang w:val="en-US" w:eastAsia="zh-CN"/>
        </w:rPr>
        <w:t>加</w:t>
      </w:r>
      <w:r>
        <w:rPr>
          <w:rFonts w:hint="eastAsia" w:ascii="仿宋_GB2312" w:eastAsia="仿宋_GB2312"/>
          <w:sz w:val="32"/>
          <w:szCs w:val="32"/>
          <w:highlight w:val="none"/>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w:t>
      </w:r>
      <w:bookmarkStart w:id="20" w:name="OLE_LINK3"/>
      <w:r>
        <w:rPr>
          <w:rFonts w:hint="eastAsia" w:ascii="Times New Roman" w:hAnsi="Times New Roman" w:eastAsia="仿宋_GB2312" w:cs="Times New Roman"/>
          <w:color w:val="auto"/>
          <w:kern w:val="2"/>
          <w:sz w:val="32"/>
          <w:szCs w:val="32"/>
          <w:highlight w:val="none"/>
          <w:lang w:val="en-US" w:eastAsia="zh-CN" w:bidi="ar-SA"/>
        </w:rPr>
        <w:t>其他自然资源事务支出</w:t>
      </w:r>
      <w:bookmarkEnd w:id="20"/>
      <w:r>
        <w:rPr>
          <w:rFonts w:hint="eastAsia" w:ascii="Times New Roman" w:hAnsi="Times New Roman" w:eastAsia="仿宋_GB2312" w:cs="Times New Roman"/>
          <w:color w:val="auto"/>
          <w:kern w:val="2"/>
          <w:sz w:val="32"/>
          <w:szCs w:val="32"/>
          <w:highlight w:val="none"/>
          <w:lang w:val="en-US" w:eastAsia="zh-CN" w:bidi="ar-SA"/>
        </w:rPr>
        <w:t>（项）:支出决算数为900.00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321.24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55.50%，主要原因是：</w:t>
      </w:r>
      <w:r>
        <w:rPr>
          <w:rFonts w:hint="eastAsia" w:ascii="仿宋_GB2312" w:eastAsia="仿宋_GB2312"/>
          <w:sz w:val="32"/>
          <w:szCs w:val="32"/>
          <w:highlight w:val="none"/>
        </w:rPr>
        <w:t>由于任务量繁重工作量大，上级增加了相应子项目，整体自然资源事务(款)</w:t>
      </w:r>
      <w:r>
        <w:rPr>
          <w:rFonts w:hint="eastAsia" w:ascii="Times New Roman" w:hAnsi="Times New Roman" w:eastAsia="仿宋_GB2312" w:cs="Times New Roman"/>
          <w:color w:val="auto"/>
          <w:kern w:val="2"/>
          <w:sz w:val="32"/>
          <w:szCs w:val="32"/>
          <w:highlight w:val="none"/>
          <w:lang w:val="en-US" w:eastAsia="zh-CN" w:bidi="ar-SA"/>
        </w:rPr>
        <w:t>其他自然资源事务支出</w:t>
      </w:r>
      <w:r>
        <w:rPr>
          <w:rFonts w:hint="eastAsia" w:ascii="仿宋_GB2312" w:eastAsia="仿宋_GB2312"/>
          <w:sz w:val="32"/>
          <w:szCs w:val="32"/>
          <w:highlight w:val="none"/>
        </w:rPr>
        <w:t>(项)费</w:t>
      </w:r>
      <w:r>
        <w:rPr>
          <w:rFonts w:hint="eastAsia" w:ascii="仿宋_GB2312" w:eastAsia="仿宋_GB2312"/>
          <w:sz w:val="32"/>
          <w:szCs w:val="32"/>
        </w:rPr>
        <w:t>相较上年度增长。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4.住房保障支出（类）住房改革支出（款）住房公积金（项）:支出决算数为63.64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bookmarkStart w:id="21" w:name="OLE_LINK6"/>
      <w:r>
        <w:rPr>
          <w:rFonts w:hint="eastAsia" w:ascii="仿宋_GB2312" w:eastAsia="仿宋_GB2312"/>
          <w:sz w:val="32"/>
          <w:szCs w:val="32"/>
        </w:rPr>
        <w:t>由于职工历年岗位薪级等级变动上调工资</w:t>
      </w:r>
      <w:r>
        <w:rPr>
          <w:rFonts w:hint="eastAsia" w:ascii="仿宋_GB2312" w:eastAsia="仿宋_GB2312"/>
          <w:sz w:val="32"/>
          <w:szCs w:val="32"/>
          <w:lang w:val="en-US" w:eastAsia="zh-CN"/>
        </w:rPr>
        <w:t>基</w:t>
      </w:r>
      <w:r>
        <w:rPr>
          <w:rFonts w:hint="eastAsia" w:ascii="仿宋_GB2312" w:eastAsia="仿宋_GB2312"/>
          <w:sz w:val="32"/>
          <w:szCs w:val="32"/>
        </w:rPr>
        <w:t>数提高导致基本支出中住房公积金</w:t>
      </w:r>
      <w:r>
        <w:rPr>
          <w:rFonts w:hint="eastAsia" w:ascii="仿宋_GB2312" w:eastAsia="仿宋_GB2312"/>
          <w:sz w:val="32"/>
          <w:szCs w:val="32"/>
          <w:lang w:val="en-US" w:eastAsia="zh-CN"/>
        </w:rPr>
        <w:t>缴费</w:t>
      </w:r>
      <w:r>
        <w:rPr>
          <w:rFonts w:hint="eastAsia" w:ascii="仿宋_GB2312" w:eastAsia="仿宋_GB2312"/>
          <w:sz w:val="32"/>
          <w:szCs w:val="32"/>
        </w:rPr>
        <w:t>支出增加。</w:t>
      </w:r>
      <w:bookmarkEnd w:id="21"/>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5.自然资源海洋气象等支出（类）自然资源事务（款）事业运行（项）:支出决算数为695.93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0.30%，主要原因是</w:t>
      </w:r>
      <w:r>
        <w:rPr>
          <w:rFonts w:hint="eastAsia" w:ascii="Times New Roman" w:hAnsi="Times New Roman" w:eastAsia="仿宋_GB2312" w:cs="Times New Roman"/>
          <w:color w:val="0000FF"/>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严守过紧日子的财政政策</w:t>
      </w:r>
      <w:r>
        <w:rPr>
          <w:rFonts w:hint="eastAsia" w:ascii="仿宋_GB2312" w:eastAsia="仿宋_GB2312"/>
          <w:color w:val="auto"/>
          <w:sz w:val="32"/>
          <w:szCs w:val="32"/>
          <w:highlight w:val="none"/>
        </w:rPr>
        <w:t>相较上年度</w:t>
      </w:r>
      <w:r>
        <w:rPr>
          <w:rFonts w:hint="eastAsia" w:ascii="仿宋_GB2312" w:eastAsia="仿宋_GB2312"/>
          <w:color w:val="auto"/>
          <w:sz w:val="32"/>
          <w:szCs w:val="32"/>
          <w:highlight w:val="none"/>
          <w:lang w:val="en-US" w:eastAsia="zh-CN"/>
        </w:rPr>
        <w:t>公务开支相应</w:t>
      </w:r>
      <w:r>
        <w:rPr>
          <w:rFonts w:hint="eastAsia" w:ascii="仿宋_GB2312" w:eastAsia="仿宋_GB2312"/>
          <w:color w:val="auto"/>
          <w:sz w:val="32"/>
          <w:szCs w:val="32"/>
          <w:highlight w:val="none"/>
        </w:rPr>
        <w:t>下降。</w:t>
      </w:r>
    </w:p>
    <w:p>
      <w:pPr>
        <w:ind w:firstLine="640" w:firstLineChars="200"/>
        <w:rPr>
          <w:rFonts w:hint="default" w:ascii="Times New Roman" w:hAnsi="Times New Roman" w:eastAsia="仿宋_GB2312" w:cs="Times New Roman"/>
          <w:color w:val="0000FF"/>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6.社会保障和就业支出（类）行政事业单位养老支出（款）事业单位离退休（项）:支出决算数为16.54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4.22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20.33%，主要原因是：</w:t>
      </w:r>
      <w:r>
        <w:rPr>
          <w:rFonts w:hint="eastAsia" w:eastAsia="仿宋_GB2312" w:cs="Times New Roman"/>
          <w:color w:val="auto"/>
          <w:kern w:val="2"/>
          <w:sz w:val="32"/>
          <w:szCs w:val="32"/>
          <w:highlight w:val="none"/>
          <w:lang w:val="en-US" w:eastAsia="zh-CN" w:bidi="ar-SA"/>
        </w:rPr>
        <w:t>由于本年度政策变化调出退休人员医疗保险费，因此较上年支出下降。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7.自然资源海洋气象等支出（类）自然资源事务（款）</w:t>
      </w:r>
      <w:bookmarkStart w:id="22" w:name="OLE_LINK5"/>
      <w:r>
        <w:rPr>
          <w:rFonts w:hint="eastAsia" w:ascii="Times New Roman" w:hAnsi="Times New Roman" w:eastAsia="仿宋_GB2312" w:cs="Times New Roman"/>
          <w:color w:val="auto"/>
          <w:kern w:val="2"/>
          <w:sz w:val="32"/>
          <w:szCs w:val="32"/>
          <w:highlight w:val="none"/>
          <w:lang w:val="en-US" w:eastAsia="zh-CN" w:bidi="ar-SA"/>
        </w:rPr>
        <w:t>自然资源社会公益服务（项）</w:t>
      </w:r>
      <w:bookmarkEnd w:id="22"/>
      <w:r>
        <w:rPr>
          <w:rFonts w:hint="eastAsia" w:ascii="Times New Roman" w:hAnsi="Times New Roman" w:eastAsia="仿宋_GB2312" w:cs="Times New Roman"/>
          <w:color w:val="auto"/>
          <w:kern w:val="2"/>
          <w:sz w:val="32"/>
          <w:szCs w:val="32"/>
          <w:highlight w:val="none"/>
          <w:lang w:val="en-US" w:eastAsia="zh-CN" w:bidi="ar-SA"/>
        </w:rPr>
        <w:t>:支出决算数为20.00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.00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2023年新增申请自治区天山英才项目库人才成功追加相应</w:t>
      </w:r>
      <w:r>
        <w:rPr>
          <w:rFonts w:hint="eastAsia" w:ascii="Times New Roman" w:hAnsi="Times New Roman" w:eastAsia="仿宋_GB2312" w:cs="Times New Roman"/>
          <w:color w:val="auto"/>
          <w:kern w:val="2"/>
          <w:sz w:val="32"/>
          <w:szCs w:val="32"/>
          <w:highlight w:val="none"/>
          <w:lang w:val="en-US" w:eastAsia="zh-CN" w:bidi="ar-SA"/>
        </w:rPr>
        <w:t>自然资源社会公益服务（项）</w:t>
      </w:r>
      <w:r>
        <w:rPr>
          <w:rFonts w:hint="eastAsia" w:eastAsia="仿宋_GB2312" w:cs="Times New Roman"/>
          <w:color w:val="auto"/>
          <w:kern w:val="2"/>
          <w:sz w:val="32"/>
          <w:szCs w:val="32"/>
          <w:highlight w:val="none"/>
          <w:lang w:val="en-US" w:eastAsia="zh-CN" w:bidi="ar-SA"/>
        </w:rPr>
        <w:t>资金</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8.社会保障和就业支出（类）行政事业单位养老支出（款）机关事业单位职业年金缴费支出（项）:支出决算数为25.08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318.13%，主要原因是：</w:t>
      </w:r>
      <w:bookmarkStart w:id="23" w:name="OLE_LINK4"/>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bookmarkEnd w:id="23"/>
      <w:r>
        <w:rPr>
          <w:rFonts w:hint="eastAsia" w:ascii="仿宋_GB2312" w:eastAsia="仿宋_GB2312"/>
          <w:sz w:val="32"/>
          <w:szCs w:val="32"/>
          <w:highlight w:val="none"/>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9.社会保障和就业支出（类）行政事业单位养老支出（款）机关事业单位基本养老保险缴费支出（项）:支出决算数为84.86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17.80%，主要原因是：</w:t>
      </w:r>
      <w:r>
        <w:rPr>
          <w:rFonts w:hint="eastAsia" w:ascii="仿宋_GB2312" w:eastAsia="仿宋_GB2312"/>
          <w:sz w:val="32"/>
          <w:szCs w:val="32"/>
          <w:highlight w:val="none"/>
        </w:rPr>
        <w:t>由于职工历年岗位薪级等级变动上调工资</w:t>
      </w:r>
      <w:r>
        <w:rPr>
          <w:rFonts w:hint="eastAsia" w:ascii="仿宋_GB2312" w:eastAsia="仿宋_GB2312"/>
          <w:sz w:val="32"/>
          <w:szCs w:val="32"/>
          <w:highlight w:val="none"/>
          <w:lang w:val="en-US" w:eastAsia="zh-CN"/>
        </w:rPr>
        <w:t>基</w:t>
      </w:r>
      <w:r>
        <w:rPr>
          <w:rFonts w:hint="eastAsia" w:ascii="仿宋_GB2312" w:eastAsia="仿宋_GB2312"/>
          <w:sz w:val="32"/>
          <w:szCs w:val="32"/>
          <w:highlight w:val="none"/>
        </w:rPr>
        <w:t>数提高导致相应社保比例增长。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967.20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906.49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60.71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办公费、手续费、水费、电费、邮电费、取暖费、物业管理费、差旅费、 维修（护）费、租赁费、工会经费、福利费、公务用车运行维护费、其他交通费用、其他商品和服务支出。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“三公”经费支出2.50万元，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2.5万元均为公务用车维护费，车辆数相较上年度无变化</w:t>
      </w:r>
      <w:r>
        <w:rPr>
          <w:rFonts w:hint="eastAsia" w:ascii="仿宋_GB2312" w:eastAsia="仿宋_GB2312"/>
          <w:color w:val="auto"/>
          <w:sz w:val="32"/>
          <w:szCs w:val="32"/>
          <w:highlight w:val="none"/>
          <w:lang w:val="zh-CN" w:eastAsia="zh-CN"/>
        </w:rPr>
        <w:t>。其中：因公出国（境）费支出0.00万元，占0.00%，比上年增加0.00万元，增长0.00%，主要原因是：</w:t>
      </w:r>
      <w:bookmarkStart w:id="24" w:name="OLE_LINK11"/>
      <w:r>
        <w:rPr>
          <w:rFonts w:ascii="仿宋_GB2312" w:eastAsia="仿宋_GB2312"/>
          <w:sz w:val="32"/>
          <w:szCs w:val="32"/>
        </w:rPr>
        <w:t>我单位无因公出国（境）费</w:t>
      </w:r>
      <w:bookmarkEnd w:id="24"/>
      <w:r>
        <w:rPr>
          <w:rFonts w:hint="eastAsia" w:ascii="仿宋_GB2312" w:eastAsia="仿宋_GB2312"/>
          <w:color w:val="auto"/>
          <w:sz w:val="32"/>
          <w:szCs w:val="32"/>
          <w:highlight w:val="none"/>
          <w:lang w:val="zh-CN" w:eastAsia="zh-CN"/>
        </w:rPr>
        <w:t>；公务用车购置及运行维护费支出2.50万元，占100.00%，比上年增加0.00万元，增长0.00%，主要原因是：</w:t>
      </w:r>
      <w:r>
        <w:rPr>
          <w:rFonts w:hint="eastAsia" w:ascii="仿宋_GB2312" w:eastAsia="仿宋_GB2312"/>
          <w:color w:val="auto"/>
          <w:sz w:val="32"/>
          <w:szCs w:val="32"/>
          <w:highlight w:val="none"/>
          <w:lang w:val="en-US" w:eastAsia="zh-CN"/>
        </w:rPr>
        <w:t>2</w:t>
      </w:r>
      <w:r>
        <w:rPr>
          <w:rFonts w:ascii="仿宋_GB2312" w:eastAsia="仿宋_GB2312"/>
          <w:sz w:val="32"/>
          <w:szCs w:val="32"/>
        </w:rPr>
        <w:t>.5万元均为公务用车维护费，车辆数相较上年度无变化</w:t>
      </w:r>
      <w:r>
        <w:rPr>
          <w:rFonts w:hint="eastAsia" w:ascii="仿宋_GB2312" w:eastAsia="仿宋_GB2312"/>
          <w:color w:val="auto"/>
          <w:sz w:val="32"/>
          <w:szCs w:val="32"/>
          <w:highlight w:val="none"/>
          <w:lang w:val="zh-CN" w:eastAsia="zh-CN"/>
        </w:rPr>
        <w:t>；公务接待费支出0.00万元，占0.00%，比上年增加0.00万元，增长0.00%，主要原因是：</w:t>
      </w:r>
      <w:bookmarkStart w:id="25" w:name="OLE_LINK7"/>
      <w:r>
        <w:rPr>
          <w:rFonts w:ascii="仿宋_GB2312" w:eastAsia="仿宋_GB2312"/>
          <w:sz w:val="32"/>
          <w:szCs w:val="32"/>
        </w:rPr>
        <w:t>我单位无公务接待费</w:t>
      </w:r>
      <w:bookmarkEnd w:id="25"/>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公务用车购置及运行维护费2.50万元，其中：公务用车购置费0.00万元，公务用车运行维护费2.50万元。公务用车运行维护费开支内容包括</w:t>
      </w:r>
      <w:r>
        <w:rPr>
          <w:rFonts w:hint="eastAsia" w:ascii="仿宋_GB2312" w:eastAsia="仿宋_GB2312"/>
          <w:sz w:val="32"/>
          <w:szCs w:val="32"/>
        </w:rPr>
        <w:t>公务用车运行维护费开支内容包括车辆保险费0.4万元</w:t>
      </w:r>
      <w:r>
        <w:rPr>
          <w:rFonts w:hint="eastAsia" w:ascii="仿宋_GB2312" w:eastAsia="仿宋_GB2312"/>
          <w:sz w:val="32"/>
          <w:szCs w:val="32"/>
          <w:lang w:eastAsia="zh-CN"/>
        </w:rPr>
        <w:t>，</w:t>
      </w:r>
      <w:r>
        <w:rPr>
          <w:rFonts w:hint="eastAsia" w:ascii="仿宋_GB2312" w:eastAsia="仿宋_GB2312"/>
          <w:sz w:val="32"/>
          <w:szCs w:val="32"/>
        </w:rPr>
        <w:t>车辆维修费0.6万元</w:t>
      </w:r>
      <w:r>
        <w:rPr>
          <w:rFonts w:hint="eastAsia" w:ascii="仿宋_GB2312" w:eastAsia="仿宋_GB2312"/>
          <w:sz w:val="32"/>
          <w:szCs w:val="32"/>
          <w:lang w:eastAsia="zh-CN"/>
        </w:rPr>
        <w:t>，</w:t>
      </w:r>
      <w:r>
        <w:rPr>
          <w:rFonts w:hint="eastAsia" w:ascii="仿宋_GB2312" w:eastAsia="仿宋_GB2312"/>
          <w:sz w:val="32"/>
          <w:szCs w:val="32"/>
        </w:rPr>
        <w:t>车辆燃料费1.5万元</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我单位</w:t>
      </w:r>
      <w:r>
        <w:rPr>
          <w:rFonts w:hint="eastAsia" w:ascii="仿宋_GB2312" w:eastAsia="仿宋_GB2312"/>
          <w:color w:val="auto"/>
          <w:sz w:val="32"/>
          <w:szCs w:val="32"/>
          <w:highlight w:val="none"/>
          <w:lang w:val="zh-CN" w:eastAsia="zh-CN"/>
        </w:rPr>
        <w:t>国有资产占用情况</w:t>
      </w:r>
      <w:r>
        <w:rPr>
          <w:rFonts w:hint="eastAsia" w:ascii="仿宋_GB2312" w:eastAsia="仿宋_GB2312"/>
          <w:color w:val="auto"/>
          <w:sz w:val="32"/>
          <w:szCs w:val="32"/>
          <w:highlight w:val="none"/>
          <w:lang w:val="en-US" w:eastAsia="zh-CN"/>
        </w:rPr>
        <w:t>中固定资产车辆与公务用车数量无差异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bookmarkStart w:id="26" w:name="OLE_LINK8"/>
      <w:r>
        <w:rPr>
          <w:rFonts w:hint="eastAsia" w:ascii="仿宋_GB2312" w:eastAsia="仿宋_GB2312"/>
          <w:sz w:val="32"/>
          <w:szCs w:val="32"/>
          <w:lang w:eastAsia="zh-CN"/>
        </w:rPr>
        <w:t>预决算对比</w:t>
      </w:r>
      <w:r>
        <w:rPr>
          <w:rFonts w:hint="eastAsia" w:ascii="仿宋_GB2312" w:eastAsia="仿宋_GB2312"/>
          <w:sz w:val="32"/>
          <w:szCs w:val="32"/>
        </w:rPr>
        <w:t>无变化</w:t>
      </w:r>
      <w:bookmarkEnd w:id="26"/>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我单位无因公出国计划</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我单位无公务用车购置计划</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预算数2.50万元，决算数2.50万元，预决算差异率0.00%，主要原因是：</w:t>
      </w:r>
      <w:r>
        <w:rPr>
          <w:rFonts w:hint="eastAsia" w:ascii="仿宋_GB2312" w:eastAsia="仿宋_GB2312"/>
          <w:sz w:val="32"/>
          <w:szCs w:val="32"/>
        </w:rPr>
        <w:t>本着三公经费不增长的原则</w:t>
      </w:r>
      <w:r>
        <w:rPr>
          <w:rFonts w:hint="eastAsia" w:ascii="仿宋_GB2312" w:eastAsia="仿宋_GB2312"/>
          <w:sz w:val="32"/>
          <w:szCs w:val="32"/>
          <w:lang w:eastAsia="zh-CN"/>
        </w:rPr>
        <w:t>，预决算对比无变化</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bookmarkStart w:id="27" w:name="_Toc7927"/>
      <w:bookmarkStart w:id="28"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7"/>
      <w:bookmarkEnd w:id="2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9" w:name="_Toc1235"/>
      <w:bookmarkStart w:id="30"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9"/>
      <w:bookmarkEnd w:id="3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31" w:name="_Toc14519"/>
      <w:bookmarkStart w:id="32"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31"/>
      <w:bookmarkEnd w:id="32"/>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33" w:name="_Toc26704"/>
      <w:bookmarkStart w:id="34"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新疆维吾尔自治区测绘科学研究院</w:t>
      </w:r>
      <w:r>
        <w:rPr>
          <w:rFonts w:hint="eastAsia" w:ascii="Times New Roman" w:hAnsi="Times New Roman" w:eastAsia="仿宋_GB2312" w:cs="Times New Roman"/>
          <w:color w:val="auto"/>
          <w:sz w:val="32"/>
          <w:szCs w:val="32"/>
          <w:highlight w:val="none"/>
          <w:lang w:val="zh-CN" w:eastAsia="zh-CN"/>
        </w:rPr>
        <w:t>（事业单位）公用经费支出60.71万元，比上年增加13.91万元，增长29.74%，主要原因是：</w:t>
      </w:r>
      <w:r>
        <w:rPr>
          <w:rFonts w:hint="eastAsia" w:ascii="仿宋_GB2312" w:eastAsia="仿宋_GB2312"/>
          <w:color w:val="auto"/>
          <w:sz w:val="32"/>
          <w:szCs w:val="32"/>
        </w:rPr>
        <w:t>承</w:t>
      </w:r>
      <w:r>
        <w:rPr>
          <w:rFonts w:hint="eastAsia" w:ascii="仿宋_GB2312" w:eastAsia="仿宋_GB2312"/>
          <w:sz w:val="32"/>
          <w:szCs w:val="32"/>
        </w:rPr>
        <w:t>担的自治区级项目、相关技术会议增加</w:t>
      </w:r>
      <w:r>
        <w:rPr>
          <w:rFonts w:hint="eastAsia" w:ascii="仿宋_GB2312" w:eastAsia="仿宋_GB2312"/>
          <w:sz w:val="32"/>
          <w:szCs w:val="32"/>
          <w:lang w:eastAsia="zh-CN"/>
        </w:rPr>
        <w:t>，公用经费增加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33"/>
      <w:bookmarkEnd w:id="3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264.34万元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其中：政府采购货物支出22.60万元、政府采购工程支出0.00万元、政府采购服务支出241.74万元。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，其中：授予小微企业合同金额241.74万元，占政府采购支出总额的91.45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35" w:name="_Toc8391"/>
      <w:bookmarkStart w:id="36" w:name="_Toc4591"/>
      <w:r>
        <w:rPr>
          <w:rFonts w:hint="eastAsia" w:ascii="Times New Roman" w:hAnsi="Times New Roman" w:eastAsia="黑体" w:cs="Times New Roman"/>
          <w:color w:val="auto"/>
          <w:sz w:val="32"/>
          <w:szCs w:val="30"/>
          <w:highlight w:val="none"/>
          <w:lang w:val="zh-CN" w:eastAsia="zh-CN"/>
        </w:rPr>
        <w:t>（三）国有资产占用情况说明</w:t>
      </w:r>
      <w:bookmarkEnd w:id="35"/>
      <w:bookmarkEnd w:id="3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9,647.26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屋0.0平方米，价值0.00万元。车辆1辆，价值66.99万元，其中：副部（省）级及以上领导用车0辆、主要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单位公务用车</w:t>
      </w:r>
      <w:r>
        <w:rPr>
          <w:rFonts w:hint="eastAsia" w:ascii="Times New Roman" w:hAnsi="Times New Roman" w:eastAsia="仿宋_GB2312" w:cs="Times New Roman"/>
          <w:color w:val="auto"/>
          <w:sz w:val="32"/>
          <w:szCs w:val="32"/>
          <w:highlight w:val="none"/>
          <w:lang w:val="zh-CN" w:eastAsia="zh-CN"/>
        </w:rPr>
        <w:t>；单价100万元（含）以上设备（不含车辆）6</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7" w:name="_Toc11283"/>
      <w:bookmarkStart w:id="38"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7"/>
      <w:bookmarkEnd w:id="38"/>
    </w:p>
    <w:p>
      <w:pPr>
        <w:spacing w:line="60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全年预算数1145.00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全年执行数1145.00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ascii="仿宋_GB2312" w:eastAsia="仿宋_GB2312"/>
          <w:sz w:val="32"/>
          <w:szCs w:val="32"/>
        </w:rPr>
        <w:t>一是通过自治区地理信息研究与应用项目实施，保障基础测绘项目顺利实施；为自治区行业用户及政府部门提供及时、高效、精准的北斗位置导航服务；为指导湿地资源科学开发、整体保护和系统修复，保障湿地资源系统良性循环和永续利用提供理论依据和实践帮助。二是为科学规划自治区绿洲区域空间布局、指导生态资源科学开发利用与保护提供有效的数据支撑和理论依据，最终为自然资源管理和生态文明建设提供服务保障</w:t>
      </w:r>
      <w:r>
        <w:rPr>
          <w:rFonts w:hint="eastAsia" w:ascii="仿宋_GB2312" w:hAnsi="仿宋_GB2312" w:eastAsia="仿宋_GB2312" w:cs="仿宋_GB2312"/>
          <w:sz w:val="32"/>
          <w:szCs w:val="32"/>
        </w:rPr>
        <w:t>。三是通过经营收入保障单位正常运行。发现的问题及原因：一是理论指导实践能力有待进一步提升，政治理论学习与业务工作工学相长不足。二是测绘地理信息支撑自然资源管理、科技成果推广转化需进一步加强。面对自然资源新发展阶段、新发展理念、新发展格局，还需进一步挖掘自身优势，更好地服务自然资源管理，推进测绘地理信息服务保障地质矿产生态保护修复、绿色矿山建设、生态监测等。下一步改进措施：一是统一思想，提高站位。深入学习领会习近平总书记关于自然资源工作重要讲话和指示批示精神，强化科技创新主体地位，把测绘科技服务保障自然资源管理放到首位。筑牢主动服务思想基础，组织开展专题研究，全面梳理探索我院科技成果、创新技术与自治区自然资源重点工作的融合应用路径。二是加强与厅相关处室沟通交流，重点了解处室业务需求，积极探讨测绘地理信息支撑需求的切入点和融合应用点，争取贯通需求-立项（预研）-支撑-应用的业务链条，充分发挥测绘地理信息数据要素保障作用，助力自然资源高质量发展。三是依托院自立科技项目支持相关项目立项研究，鼓励和支持院科研人员开展测绘地理信息技术在矿产越界开采、耕地监测、生态修复等领域中的应用研究。</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bookmarkStart w:id="57" w:name="_GoBack"/>
      <w:bookmarkEnd w:id="5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9" w:name="_Toc3250"/>
      <w:bookmarkStart w:id="40"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9"/>
      <w:bookmarkEnd w:id="40"/>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1" w:name="_Toc6062"/>
      <w:bookmarkStart w:id="42" w:name="_Toc2183"/>
      <w:r>
        <w:rPr>
          <w:rFonts w:hint="eastAsia" w:ascii="黑体" w:hAnsi="黑体" w:eastAsia="仿宋_GB2312" w:cs="宋体"/>
          <w:bCs/>
          <w:color w:val="auto"/>
          <w:kern w:val="0"/>
          <w:sz w:val="32"/>
          <w:szCs w:val="32"/>
          <w:highlight w:val="none"/>
        </w:rPr>
        <w:t>一、《收入支出决算总表》</w:t>
      </w:r>
      <w:bookmarkEnd w:id="41"/>
      <w:bookmarkEnd w:id="4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3" w:name="_Toc24532"/>
      <w:bookmarkStart w:id="44" w:name="_Toc30364"/>
      <w:r>
        <w:rPr>
          <w:rFonts w:hint="eastAsia" w:ascii="黑体" w:hAnsi="黑体" w:eastAsia="仿宋_GB2312" w:cs="宋体"/>
          <w:bCs/>
          <w:color w:val="auto"/>
          <w:kern w:val="0"/>
          <w:sz w:val="32"/>
          <w:szCs w:val="32"/>
          <w:highlight w:val="none"/>
        </w:rPr>
        <w:t>二、《收入决算表》</w:t>
      </w:r>
      <w:bookmarkEnd w:id="43"/>
      <w:bookmarkEnd w:id="4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5" w:name="_Toc32434"/>
      <w:bookmarkStart w:id="46" w:name="_Toc21304"/>
      <w:r>
        <w:rPr>
          <w:rFonts w:hint="eastAsia" w:ascii="黑体" w:hAnsi="黑体" w:eastAsia="仿宋_GB2312" w:cs="宋体"/>
          <w:bCs/>
          <w:color w:val="auto"/>
          <w:kern w:val="0"/>
          <w:sz w:val="32"/>
          <w:szCs w:val="32"/>
          <w:highlight w:val="none"/>
        </w:rPr>
        <w:t>三、《支出决算表》</w:t>
      </w:r>
      <w:bookmarkEnd w:id="45"/>
      <w:bookmarkEnd w:id="4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7" w:name="_Toc28786"/>
      <w:bookmarkStart w:id="48" w:name="_Toc14238"/>
      <w:r>
        <w:rPr>
          <w:rFonts w:hint="eastAsia" w:ascii="黑体" w:hAnsi="黑体" w:eastAsia="仿宋_GB2312" w:cs="宋体"/>
          <w:bCs/>
          <w:color w:val="auto"/>
          <w:kern w:val="0"/>
          <w:sz w:val="32"/>
          <w:szCs w:val="32"/>
          <w:highlight w:val="none"/>
        </w:rPr>
        <w:t>四、《财政拨款收入支出决算总表》</w:t>
      </w:r>
      <w:bookmarkEnd w:id="47"/>
      <w:bookmarkEnd w:id="48"/>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9" w:name="_Toc10347"/>
      <w:bookmarkStart w:id="50" w:name="_Toc14869"/>
      <w:r>
        <w:rPr>
          <w:rFonts w:hint="eastAsia" w:ascii="黑体" w:hAnsi="黑体" w:eastAsia="仿宋_GB2312" w:cs="宋体"/>
          <w:bCs/>
          <w:color w:val="auto"/>
          <w:kern w:val="0"/>
          <w:sz w:val="32"/>
          <w:szCs w:val="32"/>
          <w:highlight w:val="none"/>
        </w:rPr>
        <w:t>五、《一般公共预算财政拨款支出决算表》</w:t>
      </w:r>
      <w:bookmarkEnd w:id="49"/>
      <w:bookmarkEnd w:id="5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1" w:name="_Toc5626"/>
      <w:bookmarkStart w:id="52" w:name="_Toc8884"/>
      <w:r>
        <w:rPr>
          <w:rFonts w:hint="eastAsia" w:ascii="黑体" w:hAnsi="黑体" w:eastAsia="仿宋_GB2312" w:cs="宋体"/>
          <w:bCs/>
          <w:color w:val="auto"/>
          <w:kern w:val="0"/>
          <w:sz w:val="32"/>
          <w:szCs w:val="32"/>
          <w:highlight w:val="none"/>
        </w:rPr>
        <w:t>六、《一般公共预算财政拨款基本支出决算表》</w:t>
      </w:r>
      <w:bookmarkEnd w:id="51"/>
      <w:bookmarkEnd w:id="52"/>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53" w:name="_Toc32663"/>
      <w:bookmarkStart w:id="54" w:name="_Toc29106"/>
      <w:r>
        <w:rPr>
          <w:rFonts w:hint="eastAsia" w:ascii="黑体" w:hAnsi="黑体" w:eastAsia="仿宋_GB2312" w:cs="宋体"/>
          <w:bCs/>
          <w:color w:val="auto"/>
          <w:kern w:val="0"/>
          <w:sz w:val="32"/>
          <w:szCs w:val="32"/>
          <w:highlight w:val="none"/>
        </w:rPr>
        <w:t>《财政拨款“三公”经费支出决算表》</w:t>
      </w:r>
      <w:bookmarkEnd w:id="53"/>
      <w:bookmarkEnd w:id="54"/>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55" w:name="_Toc5453"/>
      <w:bookmarkStart w:id="56" w:name="_Toc7643"/>
      <w:r>
        <w:rPr>
          <w:rFonts w:hint="eastAsia" w:ascii="黑体" w:hAnsi="黑体" w:eastAsia="仿宋_GB2312" w:cs="宋体"/>
          <w:bCs/>
          <w:color w:val="auto"/>
          <w:kern w:val="0"/>
          <w:sz w:val="32"/>
          <w:szCs w:val="32"/>
          <w:highlight w:val="none"/>
        </w:rPr>
        <w:t>八、《政府性基金预算财政拨款收入支出决算表》</w:t>
      </w:r>
      <w:bookmarkEnd w:id="55"/>
      <w:bookmarkEnd w:id="56"/>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505754"/>
    <w:rsid w:val="028C2065"/>
    <w:rsid w:val="02BD3108"/>
    <w:rsid w:val="02F73D26"/>
    <w:rsid w:val="034D4FEF"/>
    <w:rsid w:val="035D1785"/>
    <w:rsid w:val="039F47CE"/>
    <w:rsid w:val="03E05CE8"/>
    <w:rsid w:val="03F973EE"/>
    <w:rsid w:val="042039C3"/>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4635AC"/>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C73CBB"/>
    <w:rsid w:val="0F1113DA"/>
    <w:rsid w:val="0F78534A"/>
    <w:rsid w:val="0F89358A"/>
    <w:rsid w:val="0F8C6D51"/>
    <w:rsid w:val="105B0B5E"/>
    <w:rsid w:val="11150F0E"/>
    <w:rsid w:val="112E58D0"/>
    <w:rsid w:val="11731CAC"/>
    <w:rsid w:val="119500A0"/>
    <w:rsid w:val="11C0733B"/>
    <w:rsid w:val="11D50D17"/>
    <w:rsid w:val="120E0809"/>
    <w:rsid w:val="127F665A"/>
    <w:rsid w:val="12F7068C"/>
    <w:rsid w:val="13986EF3"/>
    <w:rsid w:val="14207DC0"/>
    <w:rsid w:val="14B932DA"/>
    <w:rsid w:val="150A66AF"/>
    <w:rsid w:val="154C1139"/>
    <w:rsid w:val="158C5B77"/>
    <w:rsid w:val="159D130C"/>
    <w:rsid w:val="15AC443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9EF2318"/>
    <w:rsid w:val="1A3E3450"/>
    <w:rsid w:val="1AD807E5"/>
    <w:rsid w:val="1B39345B"/>
    <w:rsid w:val="1B695A45"/>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0F326ED"/>
    <w:rsid w:val="212631E0"/>
    <w:rsid w:val="21A53757"/>
    <w:rsid w:val="221236C6"/>
    <w:rsid w:val="22854814"/>
    <w:rsid w:val="22D7662C"/>
    <w:rsid w:val="23326B7F"/>
    <w:rsid w:val="2380045B"/>
    <w:rsid w:val="23BC04D2"/>
    <w:rsid w:val="23EF1892"/>
    <w:rsid w:val="2483647E"/>
    <w:rsid w:val="24A32D55"/>
    <w:rsid w:val="25292727"/>
    <w:rsid w:val="252E5CA9"/>
    <w:rsid w:val="256F7692"/>
    <w:rsid w:val="25BA2154"/>
    <w:rsid w:val="25C8773F"/>
    <w:rsid w:val="264A7253"/>
    <w:rsid w:val="26F0170C"/>
    <w:rsid w:val="27196C26"/>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2795E"/>
    <w:rsid w:val="2A145E96"/>
    <w:rsid w:val="2AF5378F"/>
    <w:rsid w:val="2BB94DBF"/>
    <w:rsid w:val="2C6F314E"/>
    <w:rsid w:val="2C99261C"/>
    <w:rsid w:val="2CC206BE"/>
    <w:rsid w:val="2D1136DF"/>
    <w:rsid w:val="2D20606D"/>
    <w:rsid w:val="2DB87198"/>
    <w:rsid w:val="2DB93C54"/>
    <w:rsid w:val="2E3D144C"/>
    <w:rsid w:val="2E891204"/>
    <w:rsid w:val="2F3F0A28"/>
    <w:rsid w:val="2FBF7029"/>
    <w:rsid w:val="2FD0187F"/>
    <w:rsid w:val="2FD27414"/>
    <w:rsid w:val="2FFE4BB0"/>
    <w:rsid w:val="300E7B60"/>
    <w:rsid w:val="300F6E18"/>
    <w:rsid w:val="303D1BD7"/>
    <w:rsid w:val="30862F5F"/>
    <w:rsid w:val="30B35A8E"/>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20571"/>
    <w:rsid w:val="37A755DD"/>
    <w:rsid w:val="37F94FA0"/>
    <w:rsid w:val="380D3381"/>
    <w:rsid w:val="38115B1F"/>
    <w:rsid w:val="385E3AC3"/>
    <w:rsid w:val="387D6B9E"/>
    <w:rsid w:val="38B75FF0"/>
    <w:rsid w:val="38D45016"/>
    <w:rsid w:val="38D90432"/>
    <w:rsid w:val="3914510A"/>
    <w:rsid w:val="3926770B"/>
    <w:rsid w:val="39335925"/>
    <w:rsid w:val="398D3668"/>
    <w:rsid w:val="39930ABA"/>
    <w:rsid w:val="39DA0497"/>
    <w:rsid w:val="3A893816"/>
    <w:rsid w:val="3A893B6D"/>
    <w:rsid w:val="3AD1763A"/>
    <w:rsid w:val="3B3F5D41"/>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CE5D2E"/>
    <w:rsid w:val="41431AD5"/>
    <w:rsid w:val="414B3C0F"/>
    <w:rsid w:val="415B1EBD"/>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4C2325"/>
    <w:rsid w:val="4A0A26D2"/>
    <w:rsid w:val="4A2019A5"/>
    <w:rsid w:val="4A241A0B"/>
    <w:rsid w:val="4A7B2875"/>
    <w:rsid w:val="4A934476"/>
    <w:rsid w:val="4AAA220A"/>
    <w:rsid w:val="4AE12E67"/>
    <w:rsid w:val="4B4C0111"/>
    <w:rsid w:val="4B8469A2"/>
    <w:rsid w:val="4B8553A9"/>
    <w:rsid w:val="4BDB3730"/>
    <w:rsid w:val="4C200F7A"/>
    <w:rsid w:val="4CC441C3"/>
    <w:rsid w:val="4CEE3180"/>
    <w:rsid w:val="4D0F4AF6"/>
    <w:rsid w:val="4DBD7A5B"/>
    <w:rsid w:val="4DD3727F"/>
    <w:rsid w:val="4DF94F37"/>
    <w:rsid w:val="4E0A1DD5"/>
    <w:rsid w:val="4E3160E5"/>
    <w:rsid w:val="4E4D37AF"/>
    <w:rsid w:val="4E8C6496"/>
    <w:rsid w:val="4EA672BC"/>
    <w:rsid w:val="4EFD18DE"/>
    <w:rsid w:val="4F144236"/>
    <w:rsid w:val="4F663C87"/>
    <w:rsid w:val="4F7E29A8"/>
    <w:rsid w:val="4F9E1FFC"/>
    <w:rsid w:val="50447CC2"/>
    <w:rsid w:val="50874A7C"/>
    <w:rsid w:val="50895EE7"/>
    <w:rsid w:val="50921B9D"/>
    <w:rsid w:val="50D16158"/>
    <w:rsid w:val="50DB5F45"/>
    <w:rsid w:val="51025EB1"/>
    <w:rsid w:val="51141503"/>
    <w:rsid w:val="518D0ED5"/>
    <w:rsid w:val="52320A18"/>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272B15"/>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D65DB5"/>
    <w:rsid w:val="5AFC6609"/>
    <w:rsid w:val="5B113480"/>
    <w:rsid w:val="5BD456CE"/>
    <w:rsid w:val="5C0D1F49"/>
    <w:rsid w:val="5C0E0524"/>
    <w:rsid w:val="5CBB0CE2"/>
    <w:rsid w:val="5CC17177"/>
    <w:rsid w:val="5CF306BC"/>
    <w:rsid w:val="5D3F3D64"/>
    <w:rsid w:val="5D833043"/>
    <w:rsid w:val="5DD92690"/>
    <w:rsid w:val="5DDB1CFD"/>
    <w:rsid w:val="5E7E6D93"/>
    <w:rsid w:val="5ED44800"/>
    <w:rsid w:val="5F350BDE"/>
    <w:rsid w:val="5F5A0A57"/>
    <w:rsid w:val="5F61632C"/>
    <w:rsid w:val="5F8524E9"/>
    <w:rsid w:val="5FA17648"/>
    <w:rsid w:val="5FE5531C"/>
    <w:rsid w:val="5FE705CB"/>
    <w:rsid w:val="603D5080"/>
    <w:rsid w:val="60D0261B"/>
    <w:rsid w:val="60EC79FC"/>
    <w:rsid w:val="618E3791"/>
    <w:rsid w:val="61947DCA"/>
    <w:rsid w:val="61A46A97"/>
    <w:rsid w:val="61B96A60"/>
    <w:rsid w:val="61D1382F"/>
    <w:rsid w:val="61F114A2"/>
    <w:rsid w:val="62512BB4"/>
    <w:rsid w:val="625D7D1A"/>
    <w:rsid w:val="62DD7D21"/>
    <w:rsid w:val="637D586B"/>
    <w:rsid w:val="638835CC"/>
    <w:rsid w:val="63A5560B"/>
    <w:rsid w:val="63C33D82"/>
    <w:rsid w:val="63E9091F"/>
    <w:rsid w:val="64322AF9"/>
    <w:rsid w:val="643D254F"/>
    <w:rsid w:val="64D6010D"/>
    <w:rsid w:val="64D82665"/>
    <w:rsid w:val="64E47C96"/>
    <w:rsid w:val="651E5741"/>
    <w:rsid w:val="658A4877"/>
    <w:rsid w:val="65A00902"/>
    <w:rsid w:val="65AC6EDD"/>
    <w:rsid w:val="65D97752"/>
    <w:rsid w:val="66085536"/>
    <w:rsid w:val="66105BF7"/>
    <w:rsid w:val="66150023"/>
    <w:rsid w:val="6628010D"/>
    <w:rsid w:val="66382AB9"/>
    <w:rsid w:val="669B4528"/>
    <w:rsid w:val="66CC12D7"/>
    <w:rsid w:val="66DB7679"/>
    <w:rsid w:val="67134CEF"/>
    <w:rsid w:val="671F1ABD"/>
    <w:rsid w:val="67521A59"/>
    <w:rsid w:val="67C304AB"/>
    <w:rsid w:val="683F0658"/>
    <w:rsid w:val="689C6793"/>
    <w:rsid w:val="68DB0208"/>
    <w:rsid w:val="68FB170C"/>
    <w:rsid w:val="691B3D98"/>
    <w:rsid w:val="693748F0"/>
    <w:rsid w:val="695D5689"/>
    <w:rsid w:val="69846A0E"/>
    <w:rsid w:val="69AD798C"/>
    <w:rsid w:val="69D005C0"/>
    <w:rsid w:val="69D80B96"/>
    <w:rsid w:val="6A7732FA"/>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2F40F8"/>
    <w:rsid w:val="71473612"/>
    <w:rsid w:val="71504F32"/>
    <w:rsid w:val="7152309F"/>
    <w:rsid w:val="718F7F65"/>
    <w:rsid w:val="71B322F4"/>
    <w:rsid w:val="727B234E"/>
    <w:rsid w:val="72D068C7"/>
    <w:rsid w:val="72E42ED8"/>
    <w:rsid w:val="7313465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EF07FC"/>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1C0B7A"/>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6539</Words>
  <Characters>7248</Characters>
  <Lines>0</Lines>
  <Paragraphs>0</Paragraphs>
  <TotalTime>0</TotalTime>
  <ScaleCrop>false</ScaleCrop>
  <LinksUpToDate>false</LinksUpToDate>
  <CharactersWithSpaces>7261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2024-09-07T12:24:33Z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0A4D690FB846441994631FE4F0B14ECC</vt:lpwstr>
  </property>
</Properties>
</file>