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新疆维吾尔自治区测绘成果中心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新疆维吾尔自治区测绘成果中心（国家卫星测绘应用中心新疆分中心）（以下简称成果中心）前身为新疆维吾尔自治区测绘档案资料馆，成立于1987年。2020年7月，由自然资源部批准加挂“自然资源新疆卫星应用技术中心”。成果中心主要职责是管理全区测绘成果、基础地理信息数据和测绘档案，提供测绘成果社会化应用服务；全区基础地理信息数据库建设、更新和维护；遥感影像获取、处理及应用；自然资源空间数据应用和服务；应急测绘保障；国家卫星测绘应用中心新疆分中心工作。经过多年发展，成果中心积累了较为精良的软硬件技术装备，具有国家甲级测绘资质，通过ISO9001：2015质量管理体系认证，先后获得国家级“测绘应急保障先进集体”“自治区政风行风建设示范窗口”“自治区档案工作等级评定一级标准”等荣誉称号。可承担地理信息系统工程、地图编制、互联网地图服务、测绘航空摄影、摄影测量与遥感等综合性测绘项目，拥有地理信息系统、地图制图、测绘工程、资源环境、计算机等专业的技术人才，具备疆内领先的规模化作业队伍和应急保障队伍，形成“天-空-地”一体化多传感器、多平台、多源应急测绘数据的快速获取、传输、处理能力，可为自治区应对自然灾害、事故灾难、公共卫生、社会安全等突发事件提供测绘地理信息保障服务</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新疆维吾尔自治区测绘成果中心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8</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w:t>
      </w:r>
      <w:r>
        <w:rPr>
          <w:rFonts w:hint="eastAsia" w:ascii="仿宋_GB2312" w:hAnsi="黑体" w:eastAsia="仿宋_GB2312" w:cs="宋体"/>
          <w:bCs/>
          <w:kern w:val="0"/>
          <w:sz w:val="32"/>
          <w:szCs w:val="32"/>
        </w:rPr>
        <w:t>综合办公室、组织人事科、总工办公室、信息服务室、基础数据室、遥感应用室、档案管理室、航空摄影室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2,428.32万元，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2,382.61万元，使用非财政拨款结余0.00万元，年初结转和结余45.72万元。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2,428.32万元，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2,348.14万元，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46.90万元，年末结转和结余33.28万元。</w:t>
      </w:r>
    </w:p>
    <w:p>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增加208.70万元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增长9.40%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且由于工资变动及绩效工资调整导致基本支出中人员费用增加</w:t>
      </w:r>
      <w:r>
        <w:rPr>
          <w:rFonts w:hint="eastAsia" w:ascii="仿宋_GB2312" w:eastAsia="仿宋_GB2312"/>
          <w:sz w:val="32"/>
          <w:szCs w:val="32"/>
          <w:lang w:eastAsia="zh-CN"/>
        </w:rPr>
        <w:t>；</w:t>
      </w:r>
      <w:r>
        <w:rPr>
          <w:rFonts w:hint="eastAsia" w:ascii="仿宋_GB2312" w:eastAsia="仿宋_GB2312"/>
          <w:sz w:val="32"/>
          <w:szCs w:val="32"/>
          <w:lang w:val="en-US" w:eastAsia="zh-CN"/>
        </w:rPr>
        <w:t>2.2023年度市场需求增加、人员能力逐步提高可承接市场任务增多导致经营收入增加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2,382.61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2,141.74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89.89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217.88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9.14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22.98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0.96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本年支出2,348.14万元，其中：基本支出1,001.74万元，占42.66%；项目支出1,175.42万元，占50.06%；上缴上级支出0.00万元，占0.00%；经营支出170.98万元，占7.28%；对附属单位补助支出0.00万元，占0.00%。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增加94.11万元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增长4.60%，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1.在职人员新增3人导致基本支出中人员费用增加；2.基础绩效奖调整年中追加预算导致基本支出中人员费用增加。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2,037.74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万元，预决算差异率5.10%，主要原因是：</w:t>
      </w:r>
      <w:r>
        <w:rPr>
          <w:rFonts w:hint="eastAsia" w:ascii="仿宋_GB2312" w:eastAsia="仿宋_GB2312"/>
          <w:sz w:val="32"/>
          <w:szCs w:val="32"/>
        </w:rPr>
        <w:t>1.在职人员新增3人导致基本支出中人员费用增加；2.基础绩效奖调整年中追加预算导致基本支出中人员费用增加。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2023年度一般公共预算财政拨款支出2,141.74万元，占本年支出合计的</w:t>
      </w:r>
      <w:r>
        <w:rPr>
          <w:rFonts w:hint="eastAsia" w:ascii="仿宋_GB2312" w:eastAsia="仿宋_GB2312"/>
          <w:color w:val="auto"/>
          <w:spacing w:val="0"/>
          <w:sz w:val="32"/>
          <w:szCs w:val="32"/>
          <w:highlight w:val="none"/>
          <w:lang w:val="zh-CN" w:eastAsia="zh-CN"/>
        </w:rPr>
        <w:t>91.21%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增加94.11万元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增长4.60%，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1.在职人员新增3人导致基本支出中人员费用增加；2.基础绩效奖调整年中追加预算导致基本支出中人员费用增加。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2,037.74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5.10%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1.在职人员新增3人导致基本支出中人员费用增加；2.基础绩效奖调整年中追加预算导致基本支出中人员费用增加。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126.11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79.76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1,873.31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87.47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62.56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2.92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1.卫生健康支出（类）行政事业单位医疗（款）事业单位医疗（项）:支出决算数为43.27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24.27%，主要原因是：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且由于人员费用增加导致基本支出中医疗保险缴费支出增加。</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2.卫生健康支出（类）行政事业单位医疗（款）公务员医疗补助（项）:支出决算数为36.49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34.75%，主要原因是：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且由于人员费用增加导致基本支出中公务员医疗补助缴费支出增加。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3.自然资源海洋气象等支出（类）自然资源事务（款）其他自然资源事务支出（项）:支出决算数为1,140.00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eastAsia="仿宋_GB2312" w:cs="Times New Roman"/>
          <w:color w:val="auto"/>
          <w:kern w:val="2"/>
          <w:sz w:val="32"/>
          <w:szCs w:val="32"/>
          <w:highlight w:val="none"/>
          <w:lang w:val="en-US" w:eastAsia="zh-CN" w:bidi="ar-SA"/>
        </w:rPr>
        <w:t>本着厉行节约过“紧日子”的原则进一步压实项目预算，保证经费不变的条件下按时完成工作任务</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4.住房保障支出（类）住房改革支出（款）住房公积金（项）:支出决算数为62.56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29.43%，主要原因是：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且由于人员费用增加导致基本支出中住房公积金支出增加。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5.自然资源海洋气象等支出（类）自然资源事务（款）事业运行（项）:支出决算数为733.31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57.05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8.44%，主要原因是：</w:t>
      </w:r>
      <w:r>
        <w:rPr>
          <w:rFonts w:hint="eastAsia" w:ascii="仿宋_GB2312" w:eastAsia="仿宋_GB2312"/>
          <w:sz w:val="32"/>
          <w:szCs w:val="32"/>
        </w:rPr>
        <w:t>1.202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且由于工资变动及绩效工资调整导致基本支出中人员费用增加；2.202</w:t>
      </w:r>
      <w:r>
        <w:rPr>
          <w:rFonts w:hint="eastAsia" w:ascii="仿宋_GB2312" w:eastAsia="仿宋_GB2312"/>
          <w:sz w:val="32"/>
          <w:szCs w:val="32"/>
          <w:lang w:val="en-US" w:eastAsia="zh-CN"/>
        </w:rPr>
        <w:t>3</w:t>
      </w:r>
      <w:r>
        <w:rPr>
          <w:rFonts w:hint="eastAsia" w:ascii="仿宋_GB2312" w:eastAsia="仿宋_GB2312"/>
          <w:sz w:val="32"/>
          <w:szCs w:val="32"/>
        </w:rPr>
        <w:t>年公用经费按照人员经费比例提取测算，公用经费有所增加。</w:t>
      </w:r>
    </w:p>
    <w:p>
      <w:pPr>
        <w:widowControl/>
        <w:spacing w:line="560" w:lineRule="exact"/>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6.社会保障和就业支出（类）行政事业单位养老支出（款）事业单位离退休（项）:支出决算数为39.63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30.10%，主要原因是：</w:t>
      </w:r>
      <w:r>
        <w:rPr>
          <w:rFonts w:hint="eastAsia" w:ascii="仿宋_GB2312" w:eastAsia="仿宋_GB2312"/>
          <w:sz w:val="32"/>
          <w:szCs w:val="32"/>
        </w:rPr>
        <w:t>退休人员较上年度减少1人及根据自治区医保局、财政厅、新疆税务局《关于进一步规范自治区职工基本医疗保险缴费基数等有关问题的通知》（新医保发〔2023〕58号）“达到法定退休年龄时累计缴费达到自治区规定年限的，退休后不再缴纳基本医疗保险缴费”，基本医疗保险缴费同比减少形成的支出降幅。</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w:t>
      </w:r>
      <w:r>
        <w:rPr>
          <w:rFonts w:hint="eastAsia" w:ascii="仿宋_GB2312" w:eastAsia="仿宋_GB2312"/>
          <w:sz w:val="32"/>
          <w:szCs w:val="32"/>
          <w:lang w:eastAsia="zh-CN"/>
        </w:rPr>
        <w:t>退休</w:t>
      </w:r>
      <w:r>
        <w:rPr>
          <w:rFonts w:hint="eastAsia" w:ascii="仿宋_GB2312" w:eastAsia="仿宋_GB2312"/>
          <w:sz w:val="32"/>
          <w:szCs w:val="32"/>
        </w:rPr>
        <w:t>人员新增</w:t>
      </w:r>
      <w:r>
        <w:rPr>
          <w:rFonts w:hint="eastAsia" w:ascii="仿宋_GB2312" w:eastAsia="仿宋_GB2312"/>
          <w:sz w:val="32"/>
          <w:szCs w:val="32"/>
          <w:lang w:val="en-US" w:eastAsia="zh-CN"/>
        </w:rPr>
        <w:t>1</w:t>
      </w:r>
      <w:r>
        <w:rPr>
          <w:rFonts w:hint="eastAsia" w:ascii="仿宋_GB2312" w:eastAsia="仿宋_GB2312"/>
          <w:sz w:val="32"/>
          <w:szCs w:val="32"/>
        </w:rPr>
        <w:t>人</w:t>
      </w:r>
      <w:r>
        <w:rPr>
          <w:rFonts w:hint="eastAsia" w:ascii="仿宋_GB2312" w:eastAsia="仿宋_GB2312"/>
          <w:sz w:val="32"/>
          <w:szCs w:val="32"/>
          <w:lang w:eastAsia="zh-CN"/>
        </w:rPr>
        <w:t>职业年金单位缴费记实导致</w:t>
      </w:r>
      <w:r>
        <w:rPr>
          <w:rFonts w:hint="eastAsia" w:ascii="Times New Roman" w:hAnsi="Times New Roman" w:eastAsia="仿宋_GB2312" w:cs="Times New Roman"/>
          <w:color w:val="auto"/>
          <w:kern w:val="2"/>
          <w:sz w:val="32"/>
          <w:szCs w:val="32"/>
          <w:highlight w:val="none"/>
          <w:lang w:val="en-US" w:eastAsia="zh-CN" w:bidi="ar-SA"/>
        </w:rPr>
        <w:t>职业年金缴费支出</w:t>
      </w:r>
      <w:r>
        <w:rPr>
          <w:rFonts w:hint="eastAsia" w:ascii="仿宋_GB2312" w:eastAsia="仿宋_GB2312"/>
          <w:sz w:val="32"/>
          <w:szCs w:val="32"/>
        </w:rPr>
        <w:t>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8.社会保障和就业支出（类）行政事业单位养老支出（款）机关事业单位基本养老保险缴费支出（项）:支出决算数为83.41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29.43%，主要原因是：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且由于人员费用增加导致基本支出中养老保险缴费支出增加。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1,001.74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940.69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61.05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办公费、手续费、水费、电费、邮电费、取暖费、物业管理费、差旅费、维修（护）费、培训费、公务接待费、劳务费、工会经费、福利费、公务用车运行维护费、其他交通费用、其他商品和服务支出。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“三公”经费支出3.53万元，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增加0.03万元，增长0.77%，主要原因是：</w:t>
      </w:r>
      <w:r>
        <w:rPr>
          <w:rFonts w:hint="eastAsia" w:ascii="仿宋_GB2312" w:eastAsia="仿宋_GB2312"/>
          <w:color w:val="auto"/>
          <w:sz w:val="32"/>
          <w:szCs w:val="32"/>
          <w:highlight w:val="none"/>
          <w:lang w:val="en-US" w:eastAsia="zh-CN"/>
        </w:rPr>
        <w:t>2023年较上年度增加公务接待费支出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；公务用车购置及运行维护费支出3.50万元，占99.23%，比上年增加0.00万元，增长0.00%，主要原因是：</w:t>
      </w:r>
      <w:r>
        <w:rPr>
          <w:rFonts w:ascii="仿宋_GB2312" w:eastAsia="仿宋_GB2312"/>
          <w:sz w:val="32"/>
          <w:szCs w:val="32"/>
        </w:rPr>
        <w:t>本着厉行节约</w:t>
      </w:r>
      <w:r>
        <w:rPr>
          <w:rFonts w:hint="eastAsia" w:ascii="仿宋_GB2312" w:eastAsia="仿宋_GB2312"/>
          <w:sz w:val="32"/>
          <w:szCs w:val="32"/>
          <w:lang w:eastAsia="zh-CN"/>
        </w:rPr>
        <w:t>过“紧日子”</w:t>
      </w:r>
      <w:r>
        <w:rPr>
          <w:rFonts w:ascii="仿宋_GB2312" w:eastAsia="仿宋_GB2312"/>
          <w:sz w:val="32"/>
          <w:szCs w:val="32"/>
        </w:rPr>
        <w:t>的原则</w:t>
      </w:r>
      <w:r>
        <w:rPr>
          <w:rFonts w:hint="eastAsia" w:ascii="仿宋_GB2312" w:eastAsia="仿宋_GB2312"/>
          <w:sz w:val="32"/>
          <w:szCs w:val="32"/>
          <w:lang w:eastAsia="zh-CN"/>
        </w:rPr>
        <w:t>维持</w:t>
      </w:r>
      <w:r>
        <w:rPr>
          <w:rFonts w:ascii="仿宋_GB2312" w:eastAsia="仿宋_GB2312"/>
          <w:sz w:val="32"/>
          <w:szCs w:val="32"/>
        </w:rPr>
        <w:t>公务用车购置及运行维护费支出</w:t>
      </w:r>
      <w:r>
        <w:rPr>
          <w:rFonts w:hint="eastAsia" w:ascii="仿宋_GB2312" w:eastAsia="仿宋_GB2312"/>
          <w:color w:val="auto"/>
          <w:sz w:val="32"/>
          <w:szCs w:val="32"/>
          <w:highlight w:val="none"/>
          <w:lang w:val="zh-CN" w:eastAsia="zh-CN"/>
        </w:rPr>
        <w:t>；公务接待费支出0.03万元，占0.77%，比上年增加0.03万元，增长</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lang w:val="zh-CN" w:eastAsia="zh-CN"/>
        </w:rPr>
        <w:t>0.00%，主要原因是：</w:t>
      </w:r>
      <w:r>
        <w:rPr>
          <w:rFonts w:hint="eastAsia" w:ascii="仿宋_GB2312" w:eastAsia="仿宋_GB2312"/>
          <w:color w:val="auto"/>
          <w:sz w:val="32"/>
          <w:szCs w:val="32"/>
          <w:highlight w:val="none"/>
          <w:lang w:val="en-US" w:eastAsia="zh-CN"/>
        </w:rPr>
        <w:t>2023年较上年度增加接待质量管理体系外审老师接待费用</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公务用车购置及运行维护费3.50万元，其中：公务用车购置费0.00万元，公务用车运行维护费3.50万元。公务用车运行维护费开支内容包括</w:t>
      </w:r>
      <w:r>
        <w:rPr>
          <w:rFonts w:hint="eastAsia" w:ascii="仿宋_GB2312" w:eastAsia="仿宋_GB2312"/>
          <w:sz w:val="32"/>
          <w:szCs w:val="32"/>
        </w:rPr>
        <w:t>车辆保险、车辆维修保养、车辆年审及油费</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6辆，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eastAsia="仿宋_GB2312" w:cs="Times New Roman"/>
          <w:color w:val="auto"/>
          <w:sz w:val="32"/>
          <w:szCs w:val="32"/>
          <w:highlight w:val="none"/>
          <w:lang w:val="en-US" w:eastAsia="zh-CN"/>
        </w:rPr>
        <w:t>4辆特种专业技术用车</w:t>
      </w:r>
      <w:r>
        <w:rPr>
          <w:rFonts w:hint="eastAsia" w:ascii="仿宋_GB2312" w:eastAsia="仿宋_GB2312"/>
          <w:color w:val="auto"/>
          <w:sz w:val="32"/>
          <w:szCs w:val="32"/>
          <w:highlight w:val="none"/>
          <w:lang w:val="en-US" w:eastAsia="zh-CN"/>
        </w:rPr>
        <w:t>不属于公务用车</w:t>
      </w:r>
      <w:bookmarkStart w:id="48" w:name="_GoBack"/>
      <w:bookmarkEnd w:id="48"/>
      <w:r>
        <w:rPr>
          <w:rFonts w:hint="eastAsia" w:ascii="仿宋_GB2312" w:eastAsia="仿宋_GB2312"/>
          <w:color w:val="auto"/>
          <w:sz w:val="32"/>
          <w:szCs w:val="32"/>
          <w:highlight w:val="none"/>
          <w:lang w:val="en-US" w:eastAsia="zh-CN"/>
        </w:rPr>
        <w:t>，使用其他交通费，支付燃油及维修费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公务接待费0.03万元，开支内容包括</w:t>
      </w:r>
      <w:r>
        <w:rPr>
          <w:rFonts w:hint="eastAsia" w:ascii="仿宋_GB2312" w:eastAsia="仿宋_GB2312"/>
          <w:color w:val="auto"/>
          <w:sz w:val="32"/>
          <w:szCs w:val="32"/>
          <w:highlight w:val="none"/>
          <w:lang w:val="en-US" w:eastAsia="zh-CN"/>
        </w:rPr>
        <w:t>2023年10月接待质量管理体系外审老师接待费用</w:t>
      </w:r>
      <w:r>
        <w:rPr>
          <w:rFonts w:hint="eastAsia" w:ascii="仿宋_GB2312" w:eastAsia="仿宋_GB2312"/>
          <w:color w:val="auto"/>
          <w:sz w:val="32"/>
          <w:szCs w:val="32"/>
          <w:highlight w:val="none"/>
          <w:lang w:val="zh-CN" w:eastAsia="zh-CN"/>
        </w:rPr>
        <w:t>。单位全年安排的国内公务接待1批次，5人次。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预算数3.53万元，决算数3.53万元，预决算差异率0.00%，主要原因是：</w:t>
      </w:r>
      <w:r>
        <w:rPr>
          <w:rFonts w:hint="eastAsia" w:ascii="仿宋_GB2312" w:eastAsia="仿宋_GB2312"/>
          <w:sz w:val="32"/>
          <w:szCs w:val="32"/>
        </w:rPr>
        <w:t>严格按照预算执行</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预算数3.50万元，决算数3.50万元，预决算差异率0.00%，主要原因是：</w:t>
      </w:r>
      <w:r>
        <w:rPr>
          <w:rFonts w:hint="eastAsia" w:ascii="仿宋_GB2312" w:eastAsia="仿宋_GB2312"/>
          <w:sz w:val="32"/>
          <w:szCs w:val="32"/>
        </w:rPr>
        <w:t>严格按照预算执行</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预算数0.03万元，决算数0.03万元，预决算差异率0.00%，主要原因是：</w:t>
      </w:r>
      <w:r>
        <w:rPr>
          <w:rFonts w:hint="eastAsia" w:ascii="仿宋_GB2312" w:eastAsia="仿宋_GB2312"/>
          <w:sz w:val="32"/>
          <w:szCs w:val="32"/>
        </w:rPr>
        <w:t>严格按照预算执行</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outlineLvl w:val="1"/>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新疆维吾尔自治区测绘成果中心</w:t>
      </w:r>
      <w:r>
        <w:rPr>
          <w:rFonts w:hint="eastAsia" w:ascii="Times New Roman" w:hAnsi="Times New Roman" w:eastAsia="仿宋_GB2312" w:cs="Times New Roman"/>
          <w:color w:val="auto"/>
          <w:sz w:val="32"/>
          <w:szCs w:val="32"/>
          <w:highlight w:val="none"/>
          <w:lang w:val="zh-CN" w:eastAsia="zh-CN"/>
        </w:rPr>
        <w:t>（事业单位）公用经费支出61.05万元，比上年增加13.96万元，增长29.65%，主要原因是：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公用经费按照人员经费比例提取测算，公用经费有所增加。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465.76万元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其中：政府采购货物支出16.56万元、政府采购工程支出2.50万元、政府采购服务支出446.70万元。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授予中小企业合同金额16.56万元，占政府采购支出总额的3.55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，其中：授予小微企业合同金额16.56万元，占政府采购支出总额的3.55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5,201.67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屋0.0平方米，价值0.00万元。车辆6辆，价值436.90万元，其中：副部（省）级及以上领导用车0辆、主要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用车0辆、机要通信用车0辆、应急保障用车2辆、执法执勤用车0辆、特种专业技术用车4辆、离退休干部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zh-CN"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；单价100万元（含）以上设备（不含车辆）6</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全年预算数1,265.00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全年执行数1,265.00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ascii="仿宋_GB2312" w:eastAsia="仿宋_GB2312"/>
          <w:sz w:val="32"/>
          <w:szCs w:val="32"/>
        </w:rPr>
        <w:t>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三是项目支出按照项目实施方案、项目任务委托书中明细预算执行，属于政府采购的，组织人员制定采购计划，进行公开招标、邀请招标等方式进行；属于非政府采购的项目，按照单位内控制度规定及“三重一大”原则，重大项目支出上党委会集体研究决定</w:t>
      </w:r>
      <w:r>
        <w:rPr>
          <w:rFonts w:hint="eastAsia" w:ascii="仿宋_GB2312" w:eastAsia="仿宋_GB2312"/>
          <w:sz w:val="32"/>
          <w:szCs w:val="32"/>
        </w:rPr>
        <w:t>。</w:t>
      </w:r>
      <w:r>
        <w:rPr>
          <w:rFonts w:hint="eastAsia" w:ascii="仿宋_GB2312" w:eastAsia="仿宋_GB2312"/>
          <w:color w:val="auto"/>
          <w:sz w:val="32"/>
          <w:szCs w:val="32"/>
          <w:highlight w:val="none"/>
          <w:lang w:eastAsia="zh-CN"/>
        </w:rPr>
        <w:t>发现的问题及原因：</w:t>
      </w:r>
      <w:r>
        <w:rPr>
          <w:rFonts w:ascii="仿宋_GB2312" w:eastAsia="仿宋_GB2312"/>
          <w:sz w:val="32"/>
          <w:szCs w:val="32"/>
        </w:rPr>
        <w:t>一是项目绩效监控管理的观念不够深入人心，认为只要财政资金使用合法合规，按计划完成任务就行，对项目预算绩效管理不够重视。二是形式重于实质。认为绩效目标只是单纯的编制报表，而其他相关科室往往也对其重要性理解不足，对管理中出现的问题没有加以重视和反思，致使预算绩效评价往往成为一个项目总结验收，失去了其原有的作用和意义。三是缺少专业的预算绩效监控管理人员及信息技术支持，造成技术上的缺陷。预算绩效监控工作涉及项目业务、财务、效益等方面知识，能全面掌握这些知识的人员较少，特别是对效益方面进行较好评价分析的人才更加缺乏</w:t>
      </w:r>
      <w:r>
        <w:rPr>
          <w:rFonts w:hint="eastAsia" w:ascii="仿宋_GB2312" w:eastAsia="仿宋_GB2312"/>
          <w:sz w:val="32"/>
          <w:szCs w:val="32"/>
        </w:rPr>
        <w:t>。</w:t>
      </w:r>
      <w:r>
        <w:rPr>
          <w:rFonts w:hint="eastAsia" w:ascii="仿宋_GB2312" w:eastAsia="仿宋_GB2312"/>
          <w:color w:val="auto"/>
          <w:sz w:val="32"/>
          <w:szCs w:val="32"/>
          <w:highlight w:val="none"/>
          <w:lang w:eastAsia="zh-CN"/>
        </w:rPr>
        <w:t>下一步改进措施：</w:t>
      </w:r>
      <w:r>
        <w:rPr>
          <w:rFonts w:ascii="仿宋_GB2312" w:eastAsia="仿宋_GB2312"/>
          <w:sz w:val="32"/>
          <w:szCs w:val="32"/>
        </w:rPr>
        <w:t>一是进一步加强对绩效管理工作的组织领导，提高对预算绩效管理工作重要性的认识，总结经验查找问题，加大宣传力度，树立全员绩效意识。加强与各科室的沟通，强化“用钱必问效”的预算绩效管理理念。二是将绩效监控管理理念贯穿到预算管理的全过程，推进预算良性循环。在预算编制过程中，财务、业务等相关科室共同参与，以工作计划为基础，以计划目标为依据，以设定绩效目标为驱动，规范预算申请，而不是无规划的索要经费，随意变更。预算执行阶段，建立绩效监督管理的动态监控机制，进行事中控制，防患于未然。对绩效目标运行情况进行跟踪管理和督促检查，强化对项目绩效目标落实情况、项目实施进度和资金使用情况的动态监督。三是进一步重视预算执行情况，加强预算执行与项目管理的沟通机制，认真开展自查自纠，及时、主动纠正存在的问题，建立整改长效机制。四是提高认识，强化教育，全面实施绩效管理，不断提高预算绩效管理水平。着力强化内部绩效监控，深入分析研究，精心组织协调，确保年度项目预算工作全面完成。进一步健全和完善财务管理制度及内部控制制度，创新管理手段，用新思路、新方法，改进完善财务管理方法，用制度管项目，用制度管资金</w:t>
      </w:r>
      <w:r>
        <w:rPr>
          <w:rFonts w:hint="eastAsia" w:ascii="仿宋_GB2312" w:eastAsia="仿宋_GB2312"/>
          <w:sz w:val="32"/>
          <w:szCs w:val="32"/>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172A27"/>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8DC5BAC"/>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2653A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354CD6"/>
    <w:rsid w:val="154C1139"/>
    <w:rsid w:val="158C5B77"/>
    <w:rsid w:val="160D1149"/>
    <w:rsid w:val="163563C0"/>
    <w:rsid w:val="164315EF"/>
    <w:rsid w:val="16557DFE"/>
    <w:rsid w:val="167268FB"/>
    <w:rsid w:val="16D50C50"/>
    <w:rsid w:val="16E120E1"/>
    <w:rsid w:val="17385A05"/>
    <w:rsid w:val="173B3901"/>
    <w:rsid w:val="176747F9"/>
    <w:rsid w:val="17954A6E"/>
    <w:rsid w:val="180059E9"/>
    <w:rsid w:val="18020A08"/>
    <w:rsid w:val="18422604"/>
    <w:rsid w:val="184510FD"/>
    <w:rsid w:val="190648B0"/>
    <w:rsid w:val="19071D6C"/>
    <w:rsid w:val="19D26CD4"/>
    <w:rsid w:val="19E60D19"/>
    <w:rsid w:val="1A3E3450"/>
    <w:rsid w:val="1A8D11DA"/>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763DCD"/>
    <w:rsid w:val="1FA15E62"/>
    <w:rsid w:val="1FED69B6"/>
    <w:rsid w:val="2064678E"/>
    <w:rsid w:val="20DC1AB9"/>
    <w:rsid w:val="20DD6197"/>
    <w:rsid w:val="212631E0"/>
    <w:rsid w:val="21A53757"/>
    <w:rsid w:val="221236C6"/>
    <w:rsid w:val="22D7662C"/>
    <w:rsid w:val="23326B7F"/>
    <w:rsid w:val="2380045B"/>
    <w:rsid w:val="23BC04D2"/>
    <w:rsid w:val="23EF1892"/>
    <w:rsid w:val="24733EEE"/>
    <w:rsid w:val="2483647E"/>
    <w:rsid w:val="24A32D55"/>
    <w:rsid w:val="25292727"/>
    <w:rsid w:val="252E5CA9"/>
    <w:rsid w:val="256F7692"/>
    <w:rsid w:val="25BA2154"/>
    <w:rsid w:val="25C8773F"/>
    <w:rsid w:val="264A7253"/>
    <w:rsid w:val="26F0170C"/>
    <w:rsid w:val="27201D62"/>
    <w:rsid w:val="27286E73"/>
    <w:rsid w:val="27C34FD3"/>
    <w:rsid w:val="27CF2642"/>
    <w:rsid w:val="27E777F5"/>
    <w:rsid w:val="27EA1D4C"/>
    <w:rsid w:val="27EA2E41"/>
    <w:rsid w:val="282459E2"/>
    <w:rsid w:val="283A7FE5"/>
    <w:rsid w:val="285F51FF"/>
    <w:rsid w:val="28DF2665"/>
    <w:rsid w:val="29072599"/>
    <w:rsid w:val="291029F3"/>
    <w:rsid w:val="29325D7D"/>
    <w:rsid w:val="29CB58F0"/>
    <w:rsid w:val="2A053397"/>
    <w:rsid w:val="2A145E96"/>
    <w:rsid w:val="2AF5378F"/>
    <w:rsid w:val="2BB94DBF"/>
    <w:rsid w:val="2C6F314E"/>
    <w:rsid w:val="2CC206BE"/>
    <w:rsid w:val="2D0A20DF"/>
    <w:rsid w:val="2D1136DF"/>
    <w:rsid w:val="2D20606D"/>
    <w:rsid w:val="2DB87198"/>
    <w:rsid w:val="2DB93C54"/>
    <w:rsid w:val="2E3D144C"/>
    <w:rsid w:val="2E891204"/>
    <w:rsid w:val="2F3F0A28"/>
    <w:rsid w:val="2FBF7029"/>
    <w:rsid w:val="2FD0187F"/>
    <w:rsid w:val="2FD27414"/>
    <w:rsid w:val="2FEE4FA6"/>
    <w:rsid w:val="2FFE4BB0"/>
    <w:rsid w:val="300E7B60"/>
    <w:rsid w:val="300F6E18"/>
    <w:rsid w:val="30862F5F"/>
    <w:rsid w:val="314029C9"/>
    <w:rsid w:val="31C63837"/>
    <w:rsid w:val="31C82E39"/>
    <w:rsid w:val="32601BAD"/>
    <w:rsid w:val="329F6389"/>
    <w:rsid w:val="33372DEF"/>
    <w:rsid w:val="3389023A"/>
    <w:rsid w:val="33CB74FA"/>
    <w:rsid w:val="343642F2"/>
    <w:rsid w:val="343F3010"/>
    <w:rsid w:val="345D0A00"/>
    <w:rsid w:val="34713BFD"/>
    <w:rsid w:val="34C13589"/>
    <w:rsid w:val="353369E3"/>
    <w:rsid w:val="35E00D72"/>
    <w:rsid w:val="363F354E"/>
    <w:rsid w:val="36965B9D"/>
    <w:rsid w:val="36BB1743"/>
    <w:rsid w:val="36C549FD"/>
    <w:rsid w:val="37A755DD"/>
    <w:rsid w:val="37F94FA0"/>
    <w:rsid w:val="380D3381"/>
    <w:rsid w:val="38115B1F"/>
    <w:rsid w:val="385E3AC3"/>
    <w:rsid w:val="387D6B9E"/>
    <w:rsid w:val="38B75FF0"/>
    <w:rsid w:val="38D45016"/>
    <w:rsid w:val="38D90432"/>
    <w:rsid w:val="3914510A"/>
    <w:rsid w:val="3926770B"/>
    <w:rsid w:val="393C716C"/>
    <w:rsid w:val="398D3668"/>
    <w:rsid w:val="39DA0497"/>
    <w:rsid w:val="3A893816"/>
    <w:rsid w:val="3A893B6D"/>
    <w:rsid w:val="3AD1763A"/>
    <w:rsid w:val="3B6716E3"/>
    <w:rsid w:val="3B6C6B2D"/>
    <w:rsid w:val="3C2177E5"/>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515D96"/>
    <w:rsid w:val="434E6957"/>
    <w:rsid w:val="43BA0E31"/>
    <w:rsid w:val="43C15147"/>
    <w:rsid w:val="43E14DD2"/>
    <w:rsid w:val="43F800E9"/>
    <w:rsid w:val="443A7E4B"/>
    <w:rsid w:val="44C27911"/>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D1596D"/>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F97B7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262AD0"/>
    <w:rsid w:val="6D4B2604"/>
    <w:rsid w:val="6D8030E4"/>
    <w:rsid w:val="6E0E35C4"/>
    <w:rsid w:val="6E0F7A08"/>
    <w:rsid w:val="6E3947F5"/>
    <w:rsid w:val="6E9C74ED"/>
    <w:rsid w:val="6EF72976"/>
    <w:rsid w:val="6F795A80"/>
    <w:rsid w:val="6F7C1D2E"/>
    <w:rsid w:val="6F8E0407"/>
    <w:rsid w:val="6FDD069F"/>
    <w:rsid w:val="70231966"/>
    <w:rsid w:val="702B4D16"/>
    <w:rsid w:val="70AA6621"/>
    <w:rsid w:val="7107567E"/>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BC1735"/>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F57CD9"/>
    <w:rsid w:val="790A6425"/>
    <w:rsid w:val="790E2D96"/>
    <w:rsid w:val="791B54B2"/>
    <w:rsid w:val="795A0A34"/>
    <w:rsid w:val="797339C3"/>
    <w:rsid w:val="79D57D57"/>
    <w:rsid w:val="79F00650"/>
    <w:rsid w:val="7A6242BF"/>
    <w:rsid w:val="7A794513"/>
    <w:rsid w:val="7AE952D2"/>
    <w:rsid w:val="7B921E76"/>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7113</Words>
  <Characters>7870</Characters>
  <Lines>0</Lines>
  <Paragraphs>0</Paragraphs>
  <TotalTime>0</TotalTime>
  <ScaleCrop>false</ScaleCrop>
  <LinksUpToDate>false</LinksUpToDate>
  <CharactersWithSpaces>7881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2024-09-07T12:21:01Z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