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新疆维吾尔自治区测绘产品质量监督检验站</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自治区测绘产品质量监督检验站是依法设立并经自治区技术监督局授权的测绘产品质量检验和测绘仪器检定专业机构。其主要职责是：负责全区测绘产品质量的监督检验、委托检验、定期检验、仲裁检验及测绘仪器的检定和测试。主要承担国家和自治区基础测绘检验以及公益性测绘项目检验任务</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新疆维吾尔自治区测绘产品质量监督检验站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rPr>
        <w:t>综合办公室、总工办、质检室一室、质检室二室、仪检室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854.82万元，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854.82万元，使用非财政拨款结余0.00万元，年初结转和结余0.00万元。</w:t>
      </w:r>
    </w:p>
    <w:p>
      <w:pPr>
        <w:ind w:firstLine="640" w:firstLineChars="200"/>
        <w:rPr>
          <w:rFonts w:hint="eastAsia" w:ascii="仿宋_GB2312" w:eastAsia="仿宋_GB2312"/>
          <w:sz w:val="32"/>
          <w:szCs w:val="32"/>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854.82万元，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854.10万元，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0.7</w:t>
      </w:r>
      <w:r>
        <w:rPr>
          <w:rFonts w:hint="eastAsia"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eastAsia="zh-CN"/>
        </w:rPr>
        <w:t>万元，年末结转和结余0.00万元。</w:t>
      </w:r>
    </w:p>
    <w:p>
      <w:pPr>
        <w:ind w:firstLine="640" w:firstLineChars="200"/>
        <w:rPr>
          <w:rFonts w:hint="eastAsia" w:ascii="仿宋_GB2312" w:hAnsi="仿宋_GB2312" w:eastAsia="仿宋_GB2312" w:cs="仿宋_GB2312"/>
          <w:color w:val="auto"/>
          <w:spacing w:val="0"/>
          <w:sz w:val="32"/>
          <w:szCs w:val="32"/>
          <w:highlight w:val="none"/>
          <w:lang w:eastAsia="zh-CN"/>
        </w:rPr>
      </w:pPr>
      <w:r>
        <w:rPr>
          <w:rFonts w:hint="eastAsia" w:ascii="仿宋_GB2312" w:eastAsia="仿宋_GB2312"/>
          <w:sz w:val="32"/>
          <w:szCs w:val="32"/>
          <w:lang w:val="en-US" w:eastAsia="zh-CN"/>
        </w:rPr>
        <w:t>收入支出总体与上年相比</w:t>
      </w:r>
      <w:r>
        <w:rPr>
          <w:rFonts w:hint="eastAsia" w:ascii="仿宋_GB2312" w:eastAsia="仿宋_GB2312"/>
          <w:sz w:val="32"/>
          <w:szCs w:val="32"/>
          <w:lang w:eastAsia="zh-CN"/>
        </w:rPr>
        <w:t>，</w:t>
      </w:r>
      <w:r>
        <w:rPr>
          <w:rFonts w:hint="eastAsia" w:ascii="仿宋_GB2312" w:eastAsia="仿宋_GB2312"/>
          <w:sz w:val="32"/>
          <w:szCs w:val="32"/>
          <w:lang w:val="zh-CN" w:eastAsia="zh-CN"/>
        </w:rPr>
        <w:t>增加55.44万元</w:t>
      </w:r>
      <w:r>
        <w:rPr>
          <w:rFonts w:hint="eastAsia" w:ascii="仿宋_GB2312" w:eastAsia="仿宋_GB2312"/>
          <w:sz w:val="32"/>
          <w:szCs w:val="32"/>
          <w:lang w:eastAsia="zh-CN"/>
        </w:rPr>
        <w:t>，增长6.94%，主要原因是：</w:t>
      </w:r>
      <w:r>
        <w:rPr>
          <w:rFonts w:hint="eastAsia" w:ascii="仿宋_GB2312" w:eastAsia="仿宋_GB2312"/>
          <w:sz w:val="32"/>
          <w:szCs w:val="32"/>
        </w:rPr>
        <w:t>①</w:t>
      </w:r>
      <w:r>
        <w:rPr>
          <w:rFonts w:hint="eastAsia" w:ascii="仿宋_GB2312" w:eastAsia="仿宋_GB2312"/>
          <w:sz w:val="32"/>
          <w:szCs w:val="32"/>
          <w:lang w:eastAsia="zh-CN"/>
        </w:rPr>
        <w:t>正常</w:t>
      </w:r>
      <w:r>
        <w:rPr>
          <w:rFonts w:hint="eastAsia" w:ascii="仿宋_GB2312" w:eastAsia="仿宋_GB2312"/>
          <w:sz w:val="32"/>
          <w:szCs w:val="32"/>
        </w:rPr>
        <w:t>工资</w:t>
      </w:r>
      <w:r>
        <w:rPr>
          <w:rFonts w:hint="eastAsia" w:ascii="仿宋_GB2312" w:eastAsia="仿宋_GB2312"/>
          <w:sz w:val="32"/>
          <w:szCs w:val="32"/>
          <w:lang w:eastAsia="zh-CN"/>
        </w:rPr>
        <w:t>晋级、</w:t>
      </w:r>
      <w:r>
        <w:rPr>
          <w:rFonts w:hint="eastAsia" w:ascii="仿宋_GB2312" w:eastAsia="仿宋_GB2312"/>
          <w:sz w:val="32"/>
          <w:szCs w:val="32"/>
        </w:rPr>
        <w:t>绩效工资</w:t>
      </w:r>
      <w:r>
        <w:rPr>
          <w:rFonts w:hint="eastAsia" w:ascii="仿宋_GB2312" w:eastAsia="仿宋_GB2312"/>
          <w:sz w:val="32"/>
          <w:szCs w:val="32"/>
          <w:lang w:eastAsia="zh-CN"/>
        </w:rPr>
        <w:t>及</w:t>
      </w:r>
      <w:r>
        <w:rPr>
          <w:rFonts w:hint="eastAsia" w:ascii="仿宋_GB2312" w:eastAsia="仿宋_GB2312"/>
          <w:sz w:val="32"/>
          <w:szCs w:val="32"/>
          <w:lang w:val="en-US" w:eastAsia="zh-CN"/>
        </w:rPr>
        <w:t>2023年年度考核奖等增加；</w:t>
      </w:r>
      <w:r>
        <w:rPr>
          <w:rFonts w:hint="default" w:ascii="仿宋_GB2312" w:eastAsia="仿宋_GB2312"/>
          <w:sz w:val="32"/>
          <w:szCs w:val="32"/>
          <w:lang w:val="en-US" w:eastAsia="zh-CN"/>
        </w:rPr>
        <w:t>②</w:t>
      </w:r>
      <w:r>
        <w:rPr>
          <w:rFonts w:hint="eastAsia" w:ascii="仿宋_GB2312" w:eastAsia="仿宋_GB2312"/>
          <w:sz w:val="32"/>
          <w:szCs w:val="32"/>
        </w:rPr>
        <w:t>承担市场经营项目</w:t>
      </w:r>
      <w:r>
        <w:rPr>
          <w:rFonts w:hint="eastAsia" w:ascii="仿宋_GB2312" w:eastAsia="仿宋_GB2312"/>
          <w:sz w:val="32"/>
          <w:szCs w:val="32"/>
          <w:lang w:eastAsia="zh-CN"/>
        </w:rPr>
        <w:t>增加</w:t>
      </w:r>
      <w:r>
        <w:rPr>
          <w:rFonts w:hint="eastAsia" w:ascii="仿宋_GB2312" w:eastAsia="仿宋_GB2312"/>
          <w:sz w:val="32"/>
          <w:szCs w:val="32"/>
        </w:rPr>
        <w:t>；③</w:t>
      </w:r>
      <w:r>
        <w:rPr>
          <w:rFonts w:hint="eastAsia" w:ascii="仿宋_GB2312" w:eastAsia="仿宋_GB2312"/>
          <w:sz w:val="32"/>
          <w:szCs w:val="32"/>
          <w:lang w:val="en-US" w:eastAsia="zh-CN"/>
        </w:rPr>
        <w:t>追加2023年度新疆人才发展基金项目；</w:t>
      </w:r>
      <w:r>
        <w:rPr>
          <w:rFonts w:hint="eastAsia" w:ascii="仿宋_GB2312" w:eastAsia="仿宋_GB2312"/>
          <w:sz w:val="32"/>
          <w:szCs w:val="32"/>
        </w:rPr>
        <w:t>④</w:t>
      </w:r>
      <w:r>
        <w:rPr>
          <w:rFonts w:hint="eastAsia" w:ascii="仿宋_GB2312" w:eastAsia="仿宋_GB2312"/>
          <w:sz w:val="32"/>
          <w:szCs w:val="32"/>
          <w:lang w:val="en-US" w:eastAsia="zh-CN"/>
        </w:rPr>
        <w:t>追加2023年度全额单位职业年金缴费。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854.82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654.26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76.54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200.29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23.43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本年支出854.10万元，其中：基本支出484.53万元，占56.73%；项目支出170.00万元，占19.90%；上缴上级支出0.00万元，占0.00%；经营支出199.57万元，占23.37%；对附属单位补助支出0.00万元，占0.00%。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w:t>
      </w:r>
    </w:p>
    <w:p>
      <w:pPr>
        <w:ind w:firstLine="640" w:firstLineChars="200"/>
        <w:rPr>
          <w:rFonts w:hint="eastAsia"/>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增长3.83%,</w:t>
      </w:r>
      <w:r>
        <w:rPr>
          <w:rFonts w:hint="eastAsia" w:ascii="仿宋_GB2312" w:eastAsia="仿宋_GB2312"/>
          <w:color w:val="auto"/>
          <w:spacing w:val="0"/>
          <w:sz w:val="32"/>
          <w:szCs w:val="32"/>
          <w:highlight w:val="none"/>
          <w:lang w:eastAsia="zh-CN"/>
        </w:rPr>
        <w:t>主要原因是：基本支出增加，项目支出增加。与年初预算相比，年初预算数</w:t>
      </w:r>
      <w:r>
        <w:rPr>
          <w:rFonts w:hint="eastAsia" w:ascii="仿宋_GB2312" w:eastAsia="仿宋_GB2312"/>
          <w:color w:val="auto"/>
          <w:spacing w:val="0"/>
          <w:sz w:val="32"/>
          <w:szCs w:val="32"/>
          <w:highlight w:val="none"/>
          <w:lang w:val="zh-CN" w:eastAsia="zh-CN"/>
        </w:rPr>
        <w:t>612.27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万元，预决算差异率6.86%，主要原因是：</w:t>
      </w:r>
      <w:r>
        <w:rPr>
          <w:rFonts w:hint="eastAsia" w:ascii="仿宋_GB2312" w:hAnsi="仿宋" w:eastAsia="仿宋_GB2312" w:cs="Times New Roman"/>
          <w:kern w:val="2"/>
          <w:sz w:val="32"/>
          <w:szCs w:val="32"/>
          <w:lang w:val="en-US" w:eastAsia="zh-CN" w:bidi="ar-SA"/>
        </w:rPr>
        <w:t>追加2023年度新疆人才发展基金项目预算10万元；追加2023年度全额单位职业年金缴费；追加2022年年度考核奖；2022-2023年调增艰边贴；访惠聚工作人员南疆工作补贴、结对认亲交通费等经费。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2023年度一般公共预算财政拨款支出654.26万元，占本年支出合计的</w:t>
      </w:r>
      <w:r>
        <w:rPr>
          <w:rFonts w:hint="eastAsia" w:ascii="仿宋_GB2312" w:eastAsia="仿宋_GB2312"/>
          <w:color w:val="auto"/>
          <w:spacing w:val="0"/>
          <w:sz w:val="32"/>
          <w:szCs w:val="32"/>
          <w:highlight w:val="none"/>
          <w:lang w:val="zh-CN" w:eastAsia="zh-CN"/>
        </w:rPr>
        <w:t>76.60%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增长3.83%,</w:t>
      </w:r>
      <w:r>
        <w:rPr>
          <w:rFonts w:hint="eastAsia" w:ascii="仿宋_GB2312" w:eastAsia="仿宋_GB2312"/>
          <w:color w:val="auto"/>
          <w:spacing w:val="0"/>
          <w:sz w:val="32"/>
          <w:szCs w:val="32"/>
          <w:highlight w:val="none"/>
          <w:lang w:eastAsia="zh-CN"/>
        </w:rPr>
        <w:t>主要原因是：基本支出增加，项目支出增加。与年初预算相比，年初预算数</w:t>
      </w:r>
      <w:r>
        <w:rPr>
          <w:rFonts w:hint="eastAsia" w:ascii="仿宋_GB2312" w:eastAsia="仿宋_GB2312"/>
          <w:color w:val="auto"/>
          <w:spacing w:val="0"/>
          <w:sz w:val="32"/>
          <w:szCs w:val="32"/>
          <w:highlight w:val="none"/>
          <w:lang w:val="zh-CN" w:eastAsia="zh-CN"/>
        </w:rPr>
        <w:t>612.27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654.26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6.86%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kern w:val="2"/>
          <w:sz w:val="32"/>
          <w:szCs w:val="32"/>
          <w:lang w:val="en-US" w:eastAsia="zh-CN" w:bidi="ar-SA"/>
        </w:rPr>
        <w:t>追加2023年度新疆人才发展基金项目；追加2023年度全额单位职业年金缴费；追加2022年年度考核奖；2022-2023年调增艰边贴；访惠聚工作人员南疆工作补贴、结对认亲交通费等经费。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78.96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38.35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506.87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77.47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30.08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1.卫生健康支出（类）行政事业单位医疗（款）事业单位医疗（项）:支出决算数为20.80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12.40%，主要原因是：</w:t>
      </w:r>
      <w:r>
        <w:rPr>
          <w:rFonts w:hint="eastAsia" w:eastAsia="仿宋_GB2312" w:cs="Times New Roman"/>
          <w:color w:val="auto"/>
          <w:kern w:val="2"/>
          <w:sz w:val="32"/>
          <w:szCs w:val="32"/>
          <w:highlight w:val="none"/>
          <w:lang w:val="zh-CN" w:eastAsia="zh-CN" w:bidi="ar-SA"/>
        </w:rPr>
        <w:t>工资正常晋级及绩效工资增加，</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2.卫生健康支出（类）行政事业单位医疗（款）公务员医疗补助（项）:支出决算数为17.55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21.88%，主要原因是：</w:t>
      </w:r>
      <w:r>
        <w:rPr>
          <w:rFonts w:hint="eastAsia" w:eastAsia="仿宋_GB2312" w:cs="Times New Roman"/>
          <w:color w:val="auto"/>
          <w:kern w:val="2"/>
          <w:sz w:val="32"/>
          <w:szCs w:val="32"/>
          <w:highlight w:val="none"/>
          <w:lang w:val="zh-CN" w:eastAsia="zh-CN" w:bidi="ar-SA"/>
        </w:rPr>
        <w:t>工资正常晋级及绩效工资增加，</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项目</w:t>
      </w:r>
      <w:r>
        <w:rPr>
          <w:rFonts w:hint="eastAsia" w:eastAsia="仿宋_GB2312" w:cs="Times New Roman"/>
          <w:color w:val="auto"/>
          <w:kern w:val="2"/>
          <w:sz w:val="32"/>
          <w:szCs w:val="32"/>
          <w:highlight w:val="none"/>
          <w:lang w:val="zh-CN" w:eastAsia="zh-CN" w:bidi="ar-SA"/>
        </w:rPr>
        <w:t>无变化。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16.79%，主要原因是：</w:t>
      </w:r>
      <w:r>
        <w:rPr>
          <w:rFonts w:hint="eastAsia" w:eastAsia="仿宋_GB2312" w:cs="Times New Roman"/>
          <w:color w:val="auto"/>
          <w:kern w:val="2"/>
          <w:sz w:val="32"/>
          <w:szCs w:val="32"/>
          <w:highlight w:val="none"/>
          <w:lang w:val="zh-CN" w:eastAsia="zh-CN" w:bidi="ar-SA"/>
        </w:rPr>
        <w:t>工资正常晋级及绩效工资增加，</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FF000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5.自然资源海洋气象等支出（类）自然资源事务（款）事业运行（项）:支出决算数为336.87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0.14%，主要原因是：</w:t>
      </w:r>
      <w:r>
        <w:rPr>
          <w:rFonts w:hint="eastAsia" w:ascii="仿宋_GB2312" w:hAnsi="仿宋" w:eastAsia="仿宋_GB2312" w:cs="Times New Roman"/>
          <w:kern w:val="2"/>
          <w:sz w:val="32"/>
          <w:szCs w:val="32"/>
          <w:lang w:val="en-US" w:eastAsia="zh-CN" w:bidi="ar-SA"/>
        </w:rPr>
        <w:t>退休人员医疗补助减少</w:t>
      </w:r>
      <w:r>
        <w:rPr>
          <w:rFonts w:hint="eastAsia" w:eastAsia="仿宋_GB2312" w:cs="Times New Roman"/>
          <w:color w:val="auto"/>
          <w:kern w:val="2"/>
          <w:sz w:val="32"/>
          <w:szCs w:val="32"/>
          <w:highlight w:val="none"/>
          <w:lang w:val="en-US" w:eastAsia="zh-CN" w:bidi="ar-SA"/>
        </w:rPr>
        <w:t>，</w:t>
      </w:r>
      <w:r>
        <w:rPr>
          <w:rFonts w:hint="eastAsia" w:ascii="仿宋_GB2312" w:eastAsia="仿宋_GB2312"/>
          <w:sz w:val="32"/>
          <w:szCs w:val="32"/>
        </w:rPr>
        <w:t>相应比上年决算</w:t>
      </w:r>
      <w:r>
        <w:rPr>
          <w:rFonts w:hint="eastAsia" w:ascii="仿宋_GB2312" w:eastAsia="仿宋_GB2312"/>
          <w:sz w:val="32"/>
          <w:szCs w:val="32"/>
          <w:lang w:eastAsia="zh-CN"/>
        </w:rPr>
        <w:t>稍有减少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6.社会保障和就业支出（类）行政事业单位养老支出（款）事业单位离退休（项）:支出决算数为31.29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21.32%，主要原因是：</w:t>
      </w:r>
      <w:r>
        <w:rPr>
          <w:rFonts w:hint="eastAsia" w:ascii="仿宋_GB2312" w:hAnsi="仿宋" w:eastAsia="仿宋_GB2312" w:cs="Times New Roman"/>
          <w:kern w:val="2"/>
          <w:sz w:val="32"/>
          <w:szCs w:val="32"/>
          <w:lang w:val="en-US" w:eastAsia="zh-CN" w:bidi="ar-SA"/>
        </w:rPr>
        <w:t>退休人员医疗补助减少，</w:t>
      </w:r>
      <w:r>
        <w:rPr>
          <w:rFonts w:hint="eastAsia" w:ascii="仿宋_GB2312" w:eastAsia="仿宋_GB2312"/>
          <w:sz w:val="32"/>
          <w:szCs w:val="32"/>
        </w:rPr>
        <w:t>相应比上年决算</w:t>
      </w:r>
      <w:r>
        <w:rPr>
          <w:rFonts w:hint="eastAsia" w:ascii="仿宋_GB2312" w:eastAsia="仿宋_GB2312"/>
          <w:sz w:val="32"/>
          <w:szCs w:val="32"/>
          <w:lang w:eastAsia="zh-CN"/>
        </w:rPr>
        <w:t>减少</w:t>
      </w:r>
      <w:r>
        <w:rPr>
          <w:rFonts w:hint="eastAsia" w:ascii="仿宋_GB2312" w:hAnsi="仿宋" w:eastAsia="仿宋_GB2312" w:cs="Times New Roman"/>
          <w:kern w:val="2"/>
          <w:sz w:val="32"/>
          <w:szCs w:val="32"/>
          <w:lang w:val="en-US" w:eastAsia="zh-CN" w:bidi="ar-SA"/>
        </w:rPr>
        <w:t>。</w:t>
      </w:r>
    </w:p>
    <w:p>
      <w:pPr>
        <w:ind w:firstLine="640" w:firstLineChars="200"/>
        <w:rPr>
          <w:rFonts w:hint="eastAsia"/>
          <w:lang w:val="en-US" w:eastAsia="zh-CN"/>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7.自然资源海洋气象等支出（类）自然资源事务（款）自然资源社会公益服务（项）:支出决算数为10.00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cs="Times New Roman"/>
          <w:kern w:val="2"/>
          <w:sz w:val="32"/>
          <w:szCs w:val="32"/>
          <w:lang w:val="en-US" w:eastAsia="zh-CN" w:bidi="ar-SA"/>
        </w:rPr>
        <w:t>追加2023年度新疆人才发展基金项目预算10万元。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cs="Times New Roman"/>
          <w:kern w:val="2"/>
          <w:sz w:val="32"/>
          <w:szCs w:val="32"/>
          <w:lang w:val="en-US" w:eastAsia="zh-CN" w:bidi="ar-SA"/>
        </w:rPr>
        <w:t>2023年度单位职业年金缴费坐实。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9.社会保障和就业支出（类）行政事业单位养老支出（款）机关事业单位基本养老保险缴费支出（项）:支出决算数为40.11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16.79%，主要原因是：</w:t>
      </w:r>
      <w:r>
        <w:rPr>
          <w:rFonts w:hint="eastAsia" w:eastAsia="仿宋_GB2312" w:cs="Times New Roman"/>
          <w:color w:val="auto"/>
          <w:kern w:val="2"/>
          <w:sz w:val="32"/>
          <w:szCs w:val="32"/>
          <w:highlight w:val="none"/>
          <w:lang w:val="zh-CN" w:eastAsia="zh-CN" w:bidi="ar-SA"/>
        </w:rPr>
        <w:t>工资正常晋级及绩效工资增加，</w:t>
      </w:r>
      <w:r>
        <w:rPr>
          <w:rFonts w:hint="eastAsia" w:ascii="Times New Roman" w:hAnsi="Times New Roman" w:eastAsia="仿宋_GB2312" w:cs="Times New Roman"/>
          <w:color w:val="auto"/>
          <w:kern w:val="2"/>
          <w:sz w:val="32"/>
          <w:szCs w:val="32"/>
          <w:highlight w:val="none"/>
          <w:lang w:val="en-US" w:eastAsia="zh-CN" w:bidi="ar-SA"/>
        </w:rPr>
        <w:t>基本养老保险缴费支出比上年决算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484.26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455.78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28.48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办公费、水费、电费、邮电费、物业管理费、差旅费、工会经费、福利费、公务用车运行维护费、其他交通费用、其他商品和服务支出。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“三公”经费支出2.64万元，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我单位无因公出国（境）费,公务用车购置及运行维护费支出与上年一致，无公务接待费</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lang w:val="en-US" w:eastAsia="zh-CN"/>
        </w:rPr>
        <w:t>我单位无因公出国（境）费</w:t>
      </w:r>
      <w:r>
        <w:rPr>
          <w:rFonts w:hint="eastAsia" w:ascii="仿宋_GB2312" w:eastAsia="仿宋_GB2312"/>
          <w:color w:val="auto"/>
          <w:sz w:val="32"/>
          <w:szCs w:val="32"/>
          <w:highlight w:val="none"/>
          <w:lang w:val="zh-CN" w:eastAsia="zh-CN"/>
        </w:rPr>
        <w:t>；公务用车购置及运行维护费支出2.64万元，占100.00%，比上年增加0.00万元，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lang w:val="en-US" w:eastAsia="zh-CN"/>
        </w:rPr>
        <w:t>与上年一致</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公务用车购置及运行维护费2.64万元，其中：公务用车购置费0.00万元，公务用车运行维护费2.64万元。公务用车运行维护费开支内容包括</w:t>
      </w:r>
      <w:r>
        <w:rPr>
          <w:rFonts w:hint="eastAsia" w:ascii="仿宋_GB2312" w:eastAsia="仿宋_GB2312"/>
          <w:sz w:val="32"/>
          <w:szCs w:val="32"/>
        </w:rPr>
        <w:t>车辆燃油费0.</w:t>
      </w:r>
      <w:r>
        <w:rPr>
          <w:rFonts w:hint="eastAsia" w:ascii="仿宋_GB2312" w:eastAsia="仿宋_GB2312"/>
          <w:sz w:val="32"/>
          <w:szCs w:val="32"/>
          <w:lang w:val="en-US" w:eastAsia="zh-CN"/>
        </w:rPr>
        <w:t>71</w:t>
      </w:r>
      <w:r>
        <w:rPr>
          <w:rFonts w:hint="eastAsia" w:ascii="仿宋_GB2312" w:eastAsia="仿宋_GB2312"/>
          <w:sz w:val="32"/>
          <w:szCs w:val="32"/>
        </w:rPr>
        <w:t>万元，车辆保险</w:t>
      </w:r>
      <w:r>
        <w:rPr>
          <w:rFonts w:hint="eastAsia" w:ascii="仿宋_GB2312" w:eastAsia="仿宋_GB2312"/>
          <w:sz w:val="32"/>
          <w:szCs w:val="32"/>
          <w:lang w:val="en-US" w:eastAsia="zh-CN"/>
        </w:rPr>
        <w:t>1.55</w:t>
      </w:r>
      <w:r>
        <w:rPr>
          <w:rFonts w:hint="eastAsia" w:ascii="仿宋_GB2312" w:eastAsia="仿宋_GB2312"/>
          <w:sz w:val="32"/>
          <w:szCs w:val="32"/>
        </w:rPr>
        <w:t>万元，其他</w:t>
      </w:r>
      <w:r>
        <w:rPr>
          <w:rFonts w:hint="eastAsia" w:ascii="仿宋_GB2312" w:eastAsia="仿宋_GB2312"/>
          <w:sz w:val="32"/>
          <w:szCs w:val="32"/>
          <w:lang w:val="en-US" w:eastAsia="zh-CN"/>
        </w:rPr>
        <w:t>0.38</w:t>
      </w:r>
      <w:r>
        <w:rPr>
          <w:rFonts w:hint="eastAsia" w:ascii="仿宋_GB2312" w:eastAsia="仿宋_GB2312"/>
          <w:sz w:val="32"/>
          <w:szCs w:val="32"/>
        </w:rPr>
        <w:t>万元</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w:t>
      </w:r>
      <w:r>
        <w:rPr>
          <w:rFonts w:hint="eastAsia" w:ascii="仿宋_GB2312" w:eastAsia="仿宋_GB2312"/>
          <w:color w:val="auto"/>
          <w:sz w:val="32"/>
          <w:szCs w:val="32"/>
          <w:highlight w:val="none"/>
          <w:lang w:val="en-US" w:eastAsia="zh-CN"/>
        </w:rPr>
        <w:t>保有量</w:t>
      </w:r>
      <w:r>
        <w:rPr>
          <w:rFonts w:hint="eastAsia" w:ascii="仿宋_GB2312" w:eastAsia="仿宋_GB2312"/>
          <w:color w:val="auto"/>
          <w:sz w:val="32"/>
          <w:szCs w:val="32"/>
          <w:highlight w:val="none"/>
          <w:lang w:val="zh-CN" w:eastAsia="zh-CN"/>
        </w:rPr>
        <w:t>与国有资产占用情况</w:t>
      </w:r>
      <w:r>
        <w:rPr>
          <w:rFonts w:hint="eastAsia" w:ascii="仿宋_GB2312" w:eastAsia="仿宋_GB2312"/>
          <w:color w:val="auto"/>
          <w:sz w:val="32"/>
          <w:szCs w:val="32"/>
          <w:highlight w:val="none"/>
          <w:lang w:val="en-US" w:eastAsia="zh-CN"/>
        </w:rPr>
        <w:t>中固定资产车辆一致，无差异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预算数2.64万元，决算数2.64万元，预决算差异率0.00%，主要原因是：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预算数2.64万元，决算数2.64万元，预决算差异率0.00%，主要原因是：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新疆维吾尔自治区测绘产品质量监督检验站（事业单位）公用经费支出28.48万元，</w:t>
      </w:r>
      <w:r>
        <w:rPr>
          <w:rFonts w:hint="eastAsia" w:ascii="Times New Roman" w:hAnsi="Times New Roman" w:eastAsia="仿宋_GB2312" w:cs="Times New Roman"/>
          <w:color w:val="auto"/>
          <w:sz w:val="32"/>
          <w:szCs w:val="32"/>
          <w:highlight w:val="none"/>
          <w:lang w:val="zh-CN" w:eastAsia="zh-CN"/>
        </w:rPr>
        <w:t>比上年增加2.97万元，增长11.65%，主要原因是：</w:t>
      </w:r>
      <w:r>
        <w:rPr>
          <w:rFonts w:hint="eastAsia" w:eastAsia="仿宋_GB2312" w:cs="Times New Roman"/>
          <w:color w:val="auto"/>
          <w:kern w:val="2"/>
          <w:sz w:val="32"/>
          <w:szCs w:val="32"/>
          <w:highlight w:val="none"/>
          <w:lang w:val="zh-CN" w:eastAsia="zh-CN" w:bidi="ar-SA"/>
        </w:rPr>
        <w:t>工资正常晋级及绩效工资增加</w:t>
      </w:r>
      <w:r>
        <w:rPr>
          <w:rFonts w:hint="eastAsia" w:eastAsia="仿宋_GB2312" w:cs="Times New Roman"/>
          <w:color w:val="auto"/>
          <w:sz w:val="32"/>
          <w:szCs w:val="32"/>
          <w:highlight w:val="none"/>
          <w:lang w:val="en-US" w:eastAsia="zh-CN"/>
        </w:rPr>
        <w:t>，计提</w:t>
      </w:r>
      <w:bookmarkStart w:id="48" w:name="_GoBack"/>
      <w:bookmarkEnd w:id="48"/>
      <w:r>
        <w:rPr>
          <w:rFonts w:hint="eastAsia" w:eastAsia="仿宋_GB2312" w:cs="Times New Roman"/>
          <w:color w:val="auto"/>
          <w:sz w:val="32"/>
          <w:szCs w:val="32"/>
          <w:highlight w:val="none"/>
          <w:lang w:val="en-US" w:eastAsia="zh-CN"/>
        </w:rPr>
        <w:t>公用经费增加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49.70万元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其中：政府采购货物支出45.06万元、政府采购工程支出0.00万元、政府采购服务支出4.64万元。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授予中小企业合同金额49.70万元，占政府采购支出总额的100.00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，其中：授予小微企业合同金额1.08万元，占政府采购支出总额的2.16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1,048.89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屋0.0平方米，价值0.00万元。车辆3辆，价值142.19万元，其中：副部（省）级及以上领导用车0辆、主要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ascii="仿宋_GB2312" w:eastAsia="仿宋_GB2312"/>
          <w:sz w:val="32"/>
          <w:szCs w:val="32"/>
        </w:rPr>
        <w:t>核定一般公务用车</w:t>
      </w:r>
      <w:r>
        <w:rPr>
          <w:rFonts w:hint="eastAsia" w:ascii="仿宋_GB2312" w:eastAsia="仿宋_GB2312"/>
          <w:sz w:val="32"/>
          <w:szCs w:val="32"/>
          <w:lang w:val="en-US" w:eastAsia="zh-CN"/>
        </w:rPr>
        <w:t>3</w:t>
      </w:r>
      <w:r>
        <w:rPr>
          <w:rFonts w:hint="eastAsia" w:ascii="仿宋_GB2312" w:eastAsia="仿宋_GB2312"/>
          <w:sz w:val="32"/>
          <w:szCs w:val="32"/>
        </w:rPr>
        <w:t>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全年预算数360.00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全年执行数359.57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健全管理制度、强化目标导向、重视过程监控、加强绩效评价等举措</w:t>
      </w:r>
      <w:r>
        <w:rPr>
          <w:rFonts w:hint="eastAsia" w:ascii="仿宋_GB2312" w:eastAsia="仿宋_GB2312"/>
          <w:color w:val="auto"/>
          <w:sz w:val="32"/>
          <w:szCs w:val="32"/>
          <w:highlight w:val="none"/>
          <w:lang w:eastAsia="zh-CN"/>
        </w:rPr>
        <w:t>；二是</w:t>
      </w:r>
      <w:r>
        <w:rPr>
          <w:rFonts w:ascii="仿宋_GB2312" w:eastAsia="仿宋_GB2312"/>
          <w:sz w:val="32"/>
          <w:szCs w:val="32"/>
        </w:rPr>
        <w:t>持续推进全面预算绩效管理，有效发挥了财政资金的使用效率，支出总额控制在预算总额以内，总体执行较好</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项目预算及绩效目标编制水平需要进一步提高</w:t>
      </w:r>
      <w:r>
        <w:rPr>
          <w:rFonts w:hint="eastAsia" w:ascii="仿宋_GB2312" w:eastAsia="仿宋_GB2312"/>
          <w:color w:val="auto"/>
          <w:sz w:val="32"/>
          <w:szCs w:val="32"/>
          <w:highlight w:val="none"/>
          <w:lang w:eastAsia="zh-CN"/>
        </w:rPr>
        <w:t>；二是</w:t>
      </w:r>
      <w:r>
        <w:rPr>
          <w:rFonts w:ascii="仿宋_GB2312" w:eastAsia="仿宋_GB2312"/>
          <w:sz w:val="32"/>
          <w:szCs w:val="32"/>
        </w:rPr>
        <w:t>对项目绩效目标内容制度还需进一步完善，对项目具体实施指导性有待加强</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高单位全体职工对预算绩效管理的认识，强化预算绩效管理教育，全面实施绩效管理，不断提高预算绩效管理水平</w:t>
      </w:r>
      <w:r>
        <w:rPr>
          <w:rFonts w:hint="eastAsia" w:ascii="仿宋_GB2312" w:eastAsia="仿宋_GB2312"/>
          <w:color w:val="auto"/>
          <w:sz w:val="32"/>
          <w:szCs w:val="32"/>
          <w:highlight w:val="none"/>
          <w:lang w:eastAsia="zh-CN"/>
        </w:rPr>
        <w:t>；二是</w:t>
      </w:r>
      <w:r>
        <w:rPr>
          <w:rFonts w:ascii="仿宋_GB2312" w:eastAsia="仿宋_GB2312"/>
          <w:sz w:val="32"/>
          <w:szCs w:val="32"/>
        </w:rPr>
        <w:t>加强全体职工项目绩效管理方面的业务培训，资金的分配、管理、使用、评价有机地结合起来</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8C7A78"/>
    <w:rsid w:val="019215A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7F3519"/>
    <w:rsid w:val="0A840954"/>
    <w:rsid w:val="0A9928ED"/>
    <w:rsid w:val="0B61769D"/>
    <w:rsid w:val="0B8C3ECC"/>
    <w:rsid w:val="0B977823"/>
    <w:rsid w:val="0B9C639D"/>
    <w:rsid w:val="0BB052B2"/>
    <w:rsid w:val="0BD33FFC"/>
    <w:rsid w:val="0BE97AC1"/>
    <w:rsid w:val="0C1C4780"/>
    <w:rsid w:val="0C3613A3"/>
    <w:rsid w:val="0C5E519C"/>
    <w:rsid w:val="0C7227A7"/>
    <w:rsid w:val="0C984BD7"/>
    <w:rsid w:val="0CA52EE8"/>
    <w:rsid w:val="0CBD6988"/>
    <w:rsid w:val="0CD208AC"/>
    <w:rsid w:val="0D190C10"/>
    <w:rsid w:val="0D4903E8"/>
    <w:rsid w:val="0D7A4A46"/>
    <w:rsid w:val="0E640559"/>
    <w:rsid w:val="0F1113DA"/>
    <w:rsid w:val="0F5D4322"/>
    <w:rsid w:val="0F78534A"/>
    <w:rsid w:val="0F89358A"/>
    <w:rsid w:val="0F8C6D51"/>
    <w:rsid w:val="105B0B5E"/>
    <w:rsid w:val="10AD1A93"/>
    <w:rsid w:val="112E58D0"/>
    <w:rsid w:val="11731CAC"/>
    <w:rsid w:val="117B2969"/>
    <w:rsid w:val="119500A0"/>
    <w:rsid w:val="11C0733B"/>
    <w:rsid w:val="11D50D17"/>
    <w:rsid w:val="11F74393"/>
    <w:rsid w:val="120E0809"/>
    <w:rsid w:val="123E2906"/>
    <w:rsid w:val="127F665A"/>
    <w:rsid w:val="12F7068C"/>
    <w:rsid w:val="14207DC0"/>
    <w:rsid w:val="14992DDE"/>
    <w:rsid w:val="14B932DA"/>
    <w:rsid w:val="150A66AF"/>
    <w:rsid w:val="154C1139"/>
    <w:rsid w:val="158C5B77"/>
    <w:rsid w:val="160D1149"/>
    <w:rsid w:val="163563C0"/>
    <w:rsid w:val="164315EF"/>
    <w:rsid w:val="16557DFE"/>
    <w:rsid w:val="167268FB"/>
    <w:rsid w:val="16770D0A"/>
    <w:rsid w:val="16D50C50"/>
    <w:rsid w:val="16D72399"/>
    <w:rsid w:val="16E120E1"/>
    <w:rsid w:val="17374244"/>
    <w:rsid w:val="17385A05"/>
    <w:rsid w:val="173B3901"/>
    <w:rsid w:val="176747F9"/>
    <w:rsid w:val="17954A6E"/>
    <w:rsid w:val="180059E9"/>
    <w:rsid w:val="18086196"/>
    <w:rsid w:val="184510FD"/>
    <w:rsid w:val="18D551C0"/>
    <w:rsid w:val="190648B0"/>
    <w:rsid w:val="19071D6C"/>
    <w:rsid w:val="19D26CD4"/>
    <w:rsid w:val="19E60D19"/>
    <w:rsid w:val="1A3E3450"/>
    <w:rsid w:val="1AD807E5"/>
    <w:rsid w:val="1B39345B"/>
    <w:rsid w:val="1BFB2A1F"/>
    <w:rsid w:val="1C015D4A"/>
    <w:rsid w:val="1C290ED5"/>
    <w:rsid w:val="1C317E4F"/>
    <w:rsid w:val="1C472464"/>
    <w:rsid w:val="1D22799A"/>
    <w:rsid w:val="1D2513A9"/>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736A7A"/>
    <w:rsid w:val="22C35081"/>
    <w:rsid w:val="22D7662C"/>
    <w:rsid w:val="23326B7F"/>
    <w:rsid w:val="2380045B"/>
    <w:rsid w:val="23BC04D2"/>
    <w:rsid w:val="23EF1892"/>
    <w:rsid w:val="2483647E"/>
    <w:rsid w:val="24A32D55"/>
    <w:rsid w:val="25292727"/>
    <w:rsid w:val="252E5CA9"/>
    <w:rsid w:val="256F7692"/>
    <w:rsid w:val="25BA2154"/>
    <w:rsid w:val="25C8773F"/>
    <w:rsid w:val="264A7253"/>
    <w:rsid w:val="2691794A"/>
    <w:rsid w:val="26F0170C"/>
    <w:rsid w:val="270832C0"/>
    <w:rsid w:val="27201D62"/>
    <w:rsid w:val="27286E73"/>
    <w:rsid w:val="273414FA"/>
    <w:rsid w:val="27CF2642"/>
    <w:rsid w:val="27E777F5"/>
    <w:rsid w:val="27EA1D4C"/>
    <w:rsid w:val="27EA2E41"/>
    <w:rsid w:val="27F03E0D"/>
    <w:rsid w:val="282459E2"/>
    <w:rsid w:val="283A7FE5"/>
    <w:rsid w:val="285F51FF"/>
    <w:rsid w:val="28DF2665"/>
    <w:rsid w:val="29072599"/>
    <w:rsid w:val="291029F3"/>
    <w:rsid w:val="29CB58F0"/>
    <w:rsid w:val="2A053397"/>
    <w:rsid w:val="2A145E96"/>
    <w:rsid w:val="2A2131BB"/>
    <w:rsid w:val="2AF5378F"/>
    <w:rsid w:val="2B190A2A"/>
    <w:rsid w:val="2BB94DBF"/>
    <w:rsid w:val="2C6F314E"/>
    <w:rsid w:val="2CC206BE"/>
    <w:rsid w:val="2D1136DF"/>
    <w:rsid w:val="2D20606D"/>
    <w:rsid w:val="2DB87198"/>
    <w:rsid w:val="2DB93C54"/>
    <w:rsid w:val="2E3D144C"/>
    <w:rsid w:val="2E891204"/>
    <w:rsid w:val="2F3F0A28"/>
    <w:rsid w:val="2F5C242D"/>
    <w:rsid w:val="2FBF7029"/>
    <w:rsid w:val="2FD0187F"/>
    <w:rsid w:val="2FD27414"/>
    <w:rsid w:val="2FFE4BB0"/>
    <w:rsid w:val="300E7B60"/>
    <w:rsid w:val="300F6E18"/>
    <w:rsid w:val="30862F5F"/>
    <w:rsid w:val="314029C9"/>
    <w:rsid w:val="31C63837"/>
    <w:rsid w:val="31C82E39"/>
    <w:rsid w:val="32601BAD"/>
    <w:rsid w:val="329F6389"/>
    <w:rsid w:val="32E15361"/>
    <w:rsid w:val="3389023A"/>
    <w:rsid w:val="33CB74FA"/>
    <w:rsid w:val="343642F2"/>
    <w:rsid w:val="343F3010"/>
    <w:rsid w:val="345D0A00"/>
    <w:rsid w:val="345D566F"/>
    <w:rsid w:val="34713BFD"/>
    <w:rsid w:val="34C13589"/>
    <w:rsid w:val="353369E3"/>
    <w:rsid w:val="355C0A76"/>
    <w:rsid w:val="35C927E6"/>
    <w:rsid w:val="35E00D72"/>
    <w:rsid w:val="35E55223"/>
    <w:rsid w:val="36965B9D"/>
    <w:rsid w:val="36C549FD"/>
    <w:rsid w:val="373F20D8"/>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37D8A"/>
    <w:rsid w:val="3C242659"/>
    <w:rsid w:val="3C96719C"/>
    <w:rsid w:val="3CA72BE8"/>
    <w:rsid w:val="3CF37F8C"/>
    <w:rsid w:val="3D137554"/>
    <w:rsid w:val="3D21738C"/>
    <w:rsid w:val="3D5275AC"/>
    <w:rsid w:val="3DCC2473"/>
    <w:rsid w:val="3DEB0883"/>
    <w:rsid w:val="3E2527BF"/>
    <w:rsid w:val="3E731662"/>
    <w:rsid w:val="3E8168DD"/>
    <w:rsid w:val="3EA7725F"/>
    <w:rsid w:val="3EB03713"/>
    <w:rsid w:val="3EBF1A11"/>
    <w:rsid w:val="3EC52607"/>
    <w:rsid w:val="3EEC6CEF"/>
    <w:rsid w:val="3F183429"/>
    <w:rsid w:val="3F634E7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2519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E84734"/>
    <w:rsid w:val="474324A4"/>
    <w:rsid w:val="47445515"/>
    <w:rsid w:val="474B4782"/>
    <w:rsid w:val="47D90D14"/>
    <w:rsid w:val="480265AE"/>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F57DA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33F4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DE7D33"/>
    <w:rsid w:val="61F114A2"/>
    <w:rsid w:val="62512BB4"/>
    <w:rsid w:val="625D7D1A"/>
    <w:rsid w:val="62DD7D21"/>
    <w:rsid w:val="637D586B"/>
    <w:rsid w:val="63A5560B"/>
    <w:rsid w:val="63E9091F"/>
    <w:rsid w:val="64322AF9"/>
    <w:rsid w:val="64D6010D"/>
    <w:rsid w:val="64D82665"/>
    <w:rsid w:val="64E47C96"/>
    <w:rsid w:val="651C5302"/>
    <w:rsid w:val="651E5741"/>
    <w:rsid w:val="658A4877"/>
    <w:rsid w:val="65A00902"/>
    <w:rsid w:val="65AC6EDD"/>
    <w:rsid w:val="65D97752"/>
    <w:rsid w:val="66085536"/>
    <w:rsid w:val="66105BF7"/>
    <w:rsid w:val="66150023"/>
    <w:rsid w:val="6628010D"/>
    <w:rsid w:val="669B4528"/>
    <w:rsid w:val="66CC12D7"/>
    <w:rsid w:val="67134CEF"/>
    <w:rsid w:val="671F1ABD"/>
    <w:rsid w:val="67521A59"/>
    <w:rsid w:val="678E440E"/>
    <w:rsid w:val="67BD5424"/>
    <w:rsid w:val="67C304AB"/>
    <w:rsid w:val="683F0658"/>
    <w:rsid w:val="689C6793"/>
    <w:rsid w:val="68DB0208"/>
    <w:rsid w:val="68FB170C"/>
    <w:rsid w:val="691B3D98"/>
    <w:rsid w:val="693748F0"/>
    <w:rsid w:val="69846A0E"/>
    <w:rsid w:val="69AA1366"/>
    <w:rsid w:val="69AD798C"/>
    <w:rsid w:val="69D005C0"/>
    <w:rsid w:val="69D80B96"/>
    <w:rsid w:val="6A8F652B"/>
    <w:rsid w:val="6B68175F"/>
    <w:rsid w:val="6BFD799F"/>
    <w:rsid w:val="6C4A2E5A"/>
    <w:rsid w:val="6C8138D0"/>
    <w:rsid w:val="6CEF0725"/>
    <w:rsid w:val="6D4B2604"/>
    <w:rsid w:val="6D8030E4"/>
    <w:rsid w:val="6D9071ED"/>
    <w:rsid w:val="6E053999"/>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903B83"/>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294A1A"/>
    <w:rsid w:val="795A0A34"/>
    <w:rsid w:val="797339C3"/>
    <w:rsid w:val="79D57D57"/>
    <w:rsid w:val="79F00650"/>
    <w:rsid w:val="7A6242BF"/>
    <w:rsid w:val="7A794513"/>
    <w:rsid w:val="7A7F6F00"/>
    <w:rsid w:val="7AE952D2"/>
    <w:rsid w:val="7B885E9B"/>
    <w:rsid w:val="7B9448C1"/>
    <w:rsid w:val="7BD54512"/>
    <w:rsid w:val="7C7248A0"/>
    <w:rsid w:val="7C7C16DE"/>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eastAsia="宋体" w:cs="Times New Roman"/>
    </w:rPr>
  </w:style>
  <w:style w:type="paragraph" w:styleId="3">
    <w:name w:val="Body Text Indent"/>
    <w:basedOn w:val="1"/>
    <w:qFormat/>
    <w:uiPriority w:val="99"/>
    <w:pPr>
      <w:spacing w:after="120"/>
      <w:ind w:left="420" w:leftChars="200"/>
    </w:p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0</TotalTime>
  <ScaleCrop>false</ScaleCrop>
  <LinksUpToDate>false</LinksUpToDate>
  <CharactersWithSpaces>20937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2024-09-07T12:13:33Z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24658062147C413994C2EB5B393ED3E0_13</vt:lpwstr>
  </property>
</Properties>
</file>