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both"/>
        <w:rPr>
          <w:rFonts w:hint="eastAsia" w:ascii="仿宋" w:hAnsi="仿宋" w:eastAsia="仿宋" w:cs="仿宋"/>
          <w:b w:val="0"/>
          <w:bCs/>
          <w:kern w:val="0"/>
          <w:sz w:val="32"/>
          <w:szCs w:val="32"/>
        </w:rPr>
      </w:pPr>
    </w:p>
    <w:p>
      <w:pPr>
        <w:spacing w:line="570" w:lineRule="exact"/>
        <w:jc w:val="both"/>
        <w:rPr>
          <w:rFonts w:hint="eastAsia" w:ascii="仿宋" w:hAnsi="仿宋" w:eastAsia="仿宋" w:cs="仿宋"/>
          <w:b w:val="0"/>
          <w:bCs/>
          <w:kern w:val="0"/>
          <w:sz w:val="32"/>
          <w:szCs w:val="32"/>
        </w:rPr>
      </w:pPr>
    </w:p>
    <w:p>
      <w:pPr>
        <w:spacing w:line="570" w:lineRule="exact"/>
        <w:jc w:val="both"/>
        <w:rPr>
          <w:rFonts w:hint="eastAsia" w:ascii="仿宋" w:hAnsi="仿宋" w:eastAsia="仿宋" w:cs="仿宋"/>
          <w:b w:val="0"/>
          <w:bCs/>
          <w:kern w:val="0"/>
          <w:sz w:val="32"/>
          <w:szCs w:val="32"/>
        </w:rPr>
      </w:pPr>
    </w:p>
    <w:p>
      <w:pPr>
        <w:spacing w:line="570" w:lineRule="exact"/>
        <w:jc w:val="both"/>
        <w:rPr>
          <w:rFonts w:hint="eastAsia" w:ascii="仿宋" w:hAnsi="仿宋" w:eastAsia="仿宋" w:cs="仿宋"/>
          <w:b w:val="0"/>
          <w:bCs/>
          <w:kern w:val="0"/>
          <w:sz w:val="32"/>
          <w:szCs w:val="32"/>
        </w:rPr>
      </w:pPr>
    </w:p>
    <w:p>
      <w:pPr>
        <w:keepNext w:val="0"/>
        <w:keepLines w:val="0"/>
        <w:pageBreakBefore w:val="0"/>
        <w:widowControl w:val="0"/>
        <w:kinsoku/>
        <w:wordWrap/>
        <w:overflowPunct/>
        <w:topLinePunct w:val="0"/>
        <w:autoSpaceDE/>
        <w:autoSpaceDN/>
        <w:bidi w:val="0"/>
        <w:adjustRightInd/>
        <w:snapToGrid/>
        <w:spacing w:before="120" w:after="120" w:line="660" w:lineRule="exact"/>
        <w:ind w:firstLine="0" w:firstLineChars="0"/>
        <w:jc w:val="center"/>
        <w:textAlignment w:val="auto"/>
        <w:outlineLvl w:val="0"/>
        <w:rPr>
          <w:rFonts w:hint="eastAsia" w:ascii="小标宋" w:hAnsi="小标宋" w:eastAsia="小标宋" w:cs="小标宋"/>
          <w:b w:val="0"/>
          <w:bCs/>
          <w:kern w:val="0"/>
          <w:sz w:val="44"/>
          <w:szCs w:val="44"/>
        </w:rPr>
      </w:pPr>
      <w:r>
        <w:rPr>
          <w:rFonts w:hint="eastAsia" w:ascii="仿宋" w:hAnsi="仿宋" w:eastAsia="仿宋" w:cs="仿宋"/>
          <w:b/>
          <w:sz w:val="36"/>
          <w:szCs w:val="36"/>
          <w:highlight w:val="none"/>
          <w:lang w:val="en-US" w:eastAsia="zh-CN"/>
        </w:rPr>
        <w:t>项目支出绩效自评报告</w:t>
      </w:r>
    </w:p>
    <w:p>
      <w:pPr>
        <w:keepNext w:val="0"/>
        <w:keepLines w:val="0"/>
        <w:pageBreakBefore w:val="0"/>
        <w:kinsoku/>
        <w:wordWrap/>
        <w:overflowPunct/>
        <w:topLinePunct w:val="0"/>
        <w:autoSpaceDE/>
        <w:autoSpaceDN/>
        <w:bidi w:val="0"/>
        <w:adjustRightInd/>
        <w:snapToGrid/>
        <w:spacing w:line="560" w:lineRule="exact"/>
        <w:jc w:val="center"/>
        <w:rPr>
          <w:rFonts w:hint="eastAsia" w:ascii="仿宋" w:hAnsi="仿宋" w:eastAsia="仿宋" w:cs="仿宋"/>
          <w:bCs/>
          <w:kern w:val="0"/>
          <w:sz w:val="28"/>
          <w:szCs w:val="28"/>
        </w:rPr>
      </w:pPr>
      <w:r>
        <w:rPr>
          <w:rFonts w:hint="eastAsia" w:ascii="仿宋" w:hAnsi="仿宋" w:eastAsia="仿宋" w:cs="仿宋"/>
          <w:b/>
          <w:sz w:val="36"/>
          <w:szCs w:val="36"/>
          <w:highlight w:val="none"/>
        </w:rPr>
        <w:t>（2023年度）</w:t>
      </w:r>
    </w:p>
    <w:p>
      <w:pPr>
        <w:spacing w:line="570" w:lineRule="exact"/>
        <w:jc w:val="center"/>
        <w:rPr>
          <w:rFonts w:hint="eastAsia" w:ascii="仿宋" w:hAnsi="仿宋" w:eastAsia="仿宋" w:cs="仿宋"/>
          <w:b w:val="0"/>
          <w:bCs/>
          <w:kern w:val="0"/>
          <w:sz w:val="32"/>
          <w:szCs w:val="32"/>
        </w:rPr>
      </w:pPr>
    </w:p>
    <w:p>
      <w:pPr>
        <w:spacing w:line="570" w:lineRule="exact"/>
        <w:jc w:val="center"/>
        <w:rPr>
          <w:rFonts w:hint="eastAsia" w:ascii="仿宋" w:hAnsi="仿宋" w:eastAsia="仿宋" w:cs="仿宋"/>
          <w:b w:val="0"/>
          <w:bCs/>
          <w:kern w:val="0"/>
          <w:sz w:val="32"/>
          <w:szCs w:val="32"/>
          <w:lang w:eastAsia="zh-CN"/>
        </w:rPr>
      </w:pPr>
    </w:p>
    <w:p>
      <w:pPr>
        <w:spacing w:line="570" w:lineRule="exact"/>
        <w:jc w:val="center"/>
        <w:rPr>
          <w:rFonts w:hint="eastAsia" w:ascii="仿宋" w:hAnsi="仿宋" w:eastAsia="仿宋" w:cs="仿宋"/>
          <w:b w:val="0"/>
          <w:bCs/>
          <w:kern w:val="0"/>
          <w:sz w:val="32"/>
          <w:szCs w:val="32"/>
          <w:lang w:eastAsia="zh-CN"/>
        </w:rPr>
      </w:pPr>
    </w:p>
    <w:p>
      <w:pPr>
        <w:spacing w:line="570" w:lineRule="exact"/>
        <w:jc w:val="center"/>
        <w:rPr>
          <w:rFonts w:hint="eastAsia" w:ascii="仿宋" w:hAnsi="仿宋" w:eastAsia="仿宋" w:cs="仿宋"/>
          <w:b w:val="0"/>
          <w:bCs/>
          <w:kern w:val="0"/>
          <w:sz w:val="32"/>
          <w:szCs w:val="32"/>
          <w:lang w:eastAsia="zh-CN"/>
        </w:rPr>
      </w:pPr>
    </w:p>
    <w:p>
      <w:pPr>
        <w:spacing w:line="570" w:lineRule="exact"/>
        <w:jc w:val="center"/>
        <w:rPr>
          <w:rFonts w:hint="eastAsia" w:ascii="仿宋" w:hAnsi="仿宋" w:eastAsia="仿宋" w:cs="仿宋"/>
          <w:b w:val="0"/>
          <w:bCs/>
          <w:kern w:val="0"/>
          <w:sz w:val="32"/>
          <w:szCs w:val="32"/>
          <w:lang w:eastAsia="zh-CN"/>
        </w:rPr>
      </w:pPr>
    </w:p>
    <w:p>
      <w:pPr>
        <w:spacing w:line="570" w:lineRule="exact"/>
        <w:jc w:val="center"/>
        <w:rPr>
          <w:rFonts w:hint="eastAsia" w:ascii="仿宋" w:hAnsi="仿宋" w:eastAsia="仿宋" w:cs="仿宋"/>
          <w:b w:val="0"/>
          <w:bCs/>
          <w:kern w:val="0"/>
          <w:sz w:val="32"/>
          <w:szCs w:val="32"/>
          <w:lang w:eastAsia="zh-CN"/>
        </w:rPr>
      </w:pPr>
    </w:p>
    <w:p>
      <w:pPr>
        <w:spacing w:line="570" w:lineRule="exact"/>
        <w:jc w:val="both"/>
        <w:rPr>
          <w:rFonts w:hint="eastAsia" w:ascii="仿宋" w:hAnsi="仿宋" w:eastAsia="仿宋" w:cs="仿宋"/>
          <w:b w:val="0"/>
          <w:bCs/>
          <w:kern w:val="0"/>
          <w:sz w:val="32"/>
          <w:szCs w:val="32"/>
          <w:lang w:eastAsia="zh-CN"/>
        </w:rPr>
      </w:pPr>
    </w:p>
    <w:p>
      <w:pPr>
        <w:spacing w:line="570" w:lineRule="exact"/>
        <w:jc w:val="center"/>
        <w:rPr>
          <w:rFonts w:hint="eastAsia" w:ascii="仿宋" w:hAnsi="仿宋" w:eastAsia="仿宋" w:cs="仿宋"/>
          <w:b w:val="0"/>
          <w:bCs/>
          <w:kern w:val="0"/>
          <w:sz w:val="32"/>
          <w:szCs w:val="32"/>
          <w:lang w:eastAsia="zh-CN"/>
        </w:rPr>
      </w:pPr>
    </w:p>
    <w:p>
      <w:pPr>
        <w:spacing w:line="570" w:lineRule="exact"/>
        <w:jc w:val="both"/>
        <w:rPr>
          <w:rFonts w:hint="eastAsia" w:ascii="仿宋" w:hAnsi="仿宋" w:eastAsia="仿宋" w:cs="仿宋"/>
          <w:b w:val="0"/>
          <w:bCs/>
          <w:kern w:val="0"/>
          <w:sz w:val="32"/>
          <w:szCs w:val="32"/>
          <w:lang w:eastAsia="zh-CN"/>
        </w:rPr>
      </w:pPr>
    </w:p>
    <w:p>
      <w:pPr>
        <w:spacing w:line="700" w:lineRule="exact"/>
        <w:ind w:firstLine="960" w:firstLineChars="300"/>
        <w:jc w:val="left"/>
        <w:rPr>
          <w:rFonts w:hint="eastAsia" w:ascii="仿宋" w:hAnsi="仿宋" w:eastAsia="仿宋" w:cs="仿宋"/>
          <w:b w:val="0"/>
          <w:bCs/>
          <w:kern w:val="0"/>
          <w:sz w:val="32"/>
          <w:szCs w:val="32"/>
          <w:lang w:eastAsia="zh-CN"/>
        </w:rPr>
      </w:pPr>
      <w:r>
        <w:rPr>
          <w:rFonts w:hint="eastAsia" w:ascii="仿宋" w:hAnsi="仿宋" w:eastAsia="仿宋" w:cs="仿宋"/>
          <w:b w:val="0"/>
          <w:bCs/>
          <w:kern w:val="0"/>
          <w:sz w:val="32"/>
          <w:szCs w:val="32"/>
        </w:rPr>
        <w:t>项目名称：</w:t>
      </w:r>
      <w:r>
        <w:rPr>
          <w:rStyle w:val="21"/>
          <w:rFonts w:hint="eastAsia" w:ascii="仿宋" w:hAnsi="仿宋" w:eastAsia="仿宋" w:cs="仿宋"/>
          <w:b w:val="0"/>
          <w:bCs/>
          <w:spacing w:val="-4"/>
          <w:sz w:val="32"/>
          <w:szCs w:val="32"/>
          <w:lang w:val="en-US" w:eastAsia="zh-CN"/>
        </w:rPr>
        <w:t>新疆地质市场经营</w:t>
      </w:r>
      <w:r>
        <w:rPr>
          <w:rStyle w:val="21"/>
          <w:rFonts w:hint="eastAsia" w:ascii="仿宋" w:hAnsi="仿宋" w:eastAsia="仿宋" w:cs="仿宋"/>
          <w:b w:val="0"/>
          <w:bCs/>
          <w:spacing w:val="-4"/>
          <w:sz w:val="32"/>
          <w:szCs w:val="32"/>
          <w:lang w:eastAsia="zh-CN"/>
        </w:rPr>
        <w:t>项目</w:t>
      </w:r>
    </w:p>
    <w:p>
      <w:pPr>
        <w:spacing w:line="570" w:lineRule="exact"/>
        <w:ind w:left="3198" w:leftChars="456" w:hanging="2240" w:hangingChars="700"/>
        <w:jc w:val="left"/>
        <w:rPr>
          <w:rStyle w:val="21"/>
          <w:rFonts w:hint="default" w:ascii="仿宋" w:hAnsi="仿宋" w:eastAsia="仿宋" w:cs="仿宋"/>
          <w:b w:val="0"/>
          <w:bCs/>
          <w:spacing w:val="-4"/>
          <w:sz w:val="32"/>
          <w:szCs w:val="32"/>
          <w:lang w:val="en-US" w:eastAsia="zh-CN"/>
        </w:rPr>
      </w:pPr>
      <w:r>
        <w:rPr>
          <w:rFonts w:hint="eastAsia" w:ascii="仿宋" w:hAnsi="仿宋" w:eastAsia="仿宋" w:cs="仿宋"/>
          <w:b w:val="0"/>
          <w:bCs/>
          <w:kern w:val="0"/>
          <w:sz w:val="32"/>
          <w:szCs w:val="32"/>
        </w:rPr>
        <w:t>实施单位：</w:t>
      </w:r>
      <w:r>
        <w:rPr>
          <w:rFonts w:hint="eastAsia" w:ascii="仿宋" w:hAnsi="仿宋" w:eastAsia="仿宋" w:cs="仿宋"/>
          <w:b w:val="0"/>
          <w:bCs/>
          <w:kern w:val="0"/>
          <w:sz w:val="32"/>
          <w:szCs w:val="32"/>
          <w:lang w:val="en-US" w:eastAsia="zh-CN"/>
        </w:rPr>
        <w:t>新疆维吾尔自治区地质环境监测院</w:t>
      </w:r>
    </w:p>
    <w:p>
      <w:pPr>
        <w:spacing w:line="540" w:lineRule="exact"/>
        <w:ind w:firstLine="960" w:firstLineChars="300"/>
        <w:rPr>
          <w:rFonts w:hint="eastAsia" w:ascii="仿宋" w:hAnsi="仿宋" w:eastAsia="仿宋" w:cs="仿宋"/>
          <w:b w:val="0"/>
          <w:bCs/>
          <w:spacing w:val="-4"/>
          <w:sz w:val="32"/>
          <w:szCs w:val="32"/>
          <w:lang w:eastAsia="zh-CN"/>
        </w:rPr>
      </w:pPr>
      <w:r>
        <w:rPr>
          <w:rFonts w:hint="eastAsia" w:ascii="仿宋" w:hAnsi="仿宋" w:eastAsia="仿宋" w:cs="仿宋"/>
          <w:b w:val="0"/>
          <w:bCs/>
          <w:kern w:val="0"/>
          <w:sz w:val="32"/>
          <w:szCs w:val="32"/>
        </w:rPr>
        <w:t>主管部门：</w:t>
      </w:r>
      <w:r>
        <w:rPr>
          <w:rStyle w:val="21"/>
          <w:rFonts w:hint="eastAsia" w:ascii="仿宋" w:hAnsi="仿宋" w:eastAsia="仿宋" w:cs="仿宋"/>
          <w:b w:val="0"/>
          <w:bCs/>
          <w:spacing w:val="-4"/>
          <w:sz w:val="32"/>
          <w:szCs w:val="32"/>
          <w:lang w:eastAsia="zh-CN"/>
        </w:rPr>
        <w:t>新疆维吾尔自治区自然资源厅</w:t>
      </w:r>
    </w:p>
    <w:p>
      <w:pPr>
        <w:spacing w:line="570" w:lineRule="exact"/>
        <w:ind w:firstLine="960" w:firstLineChars="300"/>
        <w:rPr>
          <w:rStyle w:val="21"/>
          <w:rFonts w:hint="eastAsia" w:ascii="仿宋" w:hAnsi="仿宋" w:eastAsia="仿宋" w:cs="仿宋"/>
          <w:b w:val="0"/>
          <w:bCs/>
          <w:spacing w:val="-4"/>
          <w:sz w:val="32"/>
          <w:szCs w:val="32"/>
          <w:lang w:val="en-US" w:eastAsia="zh-CN"/>
        </w:rPr>
      </w:pPr>
      <w:r>
        <w:rPr>
          <w:rFonts w:hint="eastAsia" w:ascii="仿宋" w:hAnsi="仿宋" w:eastAsia="仿宋" w:cs="仿宋"/>
          <w:b w:val="0"/>
          <w:bCs/>
          <w:kern w:val="0"/>
          <w:sz w:val="32"/>
          <w:szCs w:val="32"/>
        </w:rPr>
        <w:t>项目负责人：</w:t>
      </w:r>
    </w:p>
    <w:p>
      <w:pPr>
        <w:spacing w:line="540" w:lineRule="exact"/>
        <w:ind w:firstLine="960" w:firstLineChars="300"/>
        <w:rPr>
          <w:rStyle w:val="21"/>
          <w:rFonts w:hint="eastAsia" w:ascii="仿宋" w:hAnsi="仿宋" w:eastAsia="仿宋" w:cs="仿宋"/>
          <w:b w:val="0"/>
          <w:bCs/>
          <w:spacing w:val="-4"/>
          <w:sz w:val="32"/>
          <w:szCs w:val="32"/>
        </w:rPr>
      </w:pPr>
      <w:r>
        <w:rPr>
          <w:rFonts w:hint="eastAsia" w:ascii="仿宋" w:hAnsi="仿宋" w:eastAsia="仿宋" w:cs="仿宋"/>
          <w:b w:val="0"/>
          <w:bCs/>
          <w:kern w:val="0"/>
          <w:sz w:val="32"/>
          <w:szCs w:val="32"/>
        </w:rPr>
        <w:t>填报时间：</w:t>
      </w:r>
      <w:r>
        <w:rPr>
          <w:rStyle w:val="21"/>
          <w:rFonts w:hint="eastAsia" w:ascii="仿宋" w:hAnsi="仿宋" w:eastAsia="仿宋" w:cs="仿宋"/>
          <w:b w:val="0"/>
          <w:bCs/>
          <w:spacing w:val="-4"/>
          <w:sz w:val="32"/>
          <w:szCs w:val="32"/>
        </w:rPr>
        <w:t>202</w:t>
      </w:r>
      <w:r>
        <w:rPr>
          <w:rStyle w:val="21"/>
          <w:rFonts w:hint="eastAsia" w:ascii="仿宋" w:hAnsi="仿宋" w:eastAsia="仿宋" w:cs="仿宋"/>
          <w:b w:val="0"/>
          <w:bCs/>
          <w:spacing w:val="-4"/>
          <w:sz w:val="32"/>
          <w:szCs w:val="32"/>
          <w:lang w:val="en-US" w:eastAsia="zh-CN"/>
        </w:rPr>
        <w:t>4</w:t>
      </w:r>
      <w:r>
        <w:rPr>
          <w:rStyle w:val="21"/>
          <w:rFonts w:hint="eastAsia" w:ascii="仿宋" w:hAnsi="仿宋" w:eastAsia="仿宋" w:cs="仿宋"/>
          <w:b w:val="0"/>
          <w:bCs/>
          <w:spacing w:val="-4"/>
          <w:sz w:val="32"/>
          <w:szCs w:val="32"/>
        </w:rPr>
        <w:t>年</w:t>
      </w:r>
      <w:r>
        <w:rPr>
          <w:rStyle w:val="21"/>
          <w:rFonts w:hint="eastAsia" w:ascii="仿宋" w:hAnsi="仿宋" w:eastAsia="仿宋" w:cs="仿宋"/>
          <w:b w:val="0"/>
          <w:bCs/>
          <w:spacing w:val="-4"/>
          <w:sz w:val="32"/>
          <w:szCs w:val="32"/>
          <w:lang w:val="en-US" w:eastAsia="zh-CN"/>
        </w:rPr>
        <w:t>3</w:t>
      </w:r>
      <w:r>
        <w:rPr>
          <w:rStyle w:val="21"/>
          <w:rFonts w:hint="eastAsia" w:ascii="仿宋" w:hAnsi="仿宋" w:eastAsia="仿宋" w:cs="仿宋"/>
          <w:b w:val="0"/>
          <w:bCs/>
          <w:spacing w:val="-4"/>
          <w:sz w:val="32"/>
          <w:szCs w:val="32"/>
        </w:rPr>
        <w:t>月</w:t>
      </w:r>
      <w:r>
        <w:rPr>
          <w:rStyle w:val="21"/>
          <w:rFonts w:hint="eastAsia" w:ascii="仿宋" w:hAnsi="仿宋" w:eastAsia="仿宋" w:cs="仿宋"/>
          <w:b w:val="0"/>
          <w:bCs/>
          <w:spacing w:val="-4"/>
          <w:sz w:val="32"/>
          <w:szCs w:val="32"/>
          <w:lang w:val="en-US" w:eastAsia="zh-CN"/>
        </w:rPr>
        <w:t>15</w:t>
      </w:r>
      <w:r>
        <w:rPr>
          <w:rStyle w:val="21"/>
          <w:rFonts w:hint="eastAsia" w:ascii="仿宋" w:hAnsi="仿宋" w:eastAsia="仿宋" w:cs="仿宋"/>
          <w:b w:val="0"/>
          <w:bCs/>
          <w:spacing w:val="-4"/>
          <w:sz w:val="32"/>
          <w:szCs w:val="32"/>
        </w:rPr>
        <w:t>日</w:t>
      </w:r>
    </w:p>
    <w:p>
      <w:pPr>
        <w:rPr>
          <w:rStyle w:val="21"/>
          <w:rFonts w:hint="eastAsia" w:ascii="仿宋" w:hAnsi="仿宋" w:eastAsia="仿宋" w:cs="仿宋"/>
          <w:b w:val="0"/>
          <w:bCs/>
          <w:spacing w:val="-4"/>
          <w:sz w:val="32"/>
          <w:szCs w:val="32"/>
        </w:rPr>
      </w:pPr>
      <w:r>
        <w:rPr>
          <w:rStyle w:val="21"/>
          <w:rFonts w:hint="eastAsia" w:ascii="仿宋" w:hAnsi="仿宋" w:eastAsia="仿宋" w:cs="仿宋"/>
          <w:b w:val="0"/>
          <w:bCs/>
          <w:spacing w:val="-4"/>
          <w:sz w:val="32"/>
          <w:szCs w:val="32"/>
        </w:rPr>
        <w:br w:type="page"/>
      </w:r>
    </w:p>
    <w:p>
      <w:pPr>
        <w:ind w:firstLine="640" w:firstLineChars="200"/>
        <w:rPr>
          <w:rFonts w:hint="eastAsia" w:ascii="方正黑体_GBK" w:hAnsi="方正黑体_GBK" w:eastAsia="方正黑体_GBK" w:cs="方正黑体_GBK"/>
          <w:b/>
          <w:bCs/>
          <w:sz w:val="32"/>
          <w:szCs w:val="32"/>
          <w:highlight w:val="none"/>
        </w:rPr>
      </w:pPr>
      <w:r>
        <w:rPr>
          <w:rFonts w:hint="eastAsia" w:ascii="方正黑体_GBK" w:hAnsi="方正黑体_GBK" w:eastAsia="方正黑体_GBK" w:cs="方正黑体_GBK"/>
          <w:b/>
          <w:bCs/>
          <w:sz w:val="32"/>
          <w:szCs w:val="32"/>
          <w:highlight w:val="none"/>
        </w:rPr>
        <w:t>一、基本情况</w:t>
      </w:r>
    </w:p>
    <w:p>
      <w:pPr>
        <w:keepNext w:val="0"/>
        <w:keepLines w:val="0"/>
        <w:pageBreakBefore w:val="0"/>
        <w:kinsoku/>
        <w:wordWrap/>
        <w:overflowPunct/>
        <w:topLinePunct w:val="0"/>
        <w:autoSpaceDE/>
        <w:autoSpaceDN/>
        <w:bidi w:val="0"/>
        <w:adjustRightInd/>
        <w:snapToGrid/>
        <w:spacing w:line="480" w:lineRule="exact"/>
        <w:ind w:left="0" w:leftChars="0" w:firstLine="546" w:firstLineChars="200"/>
        <w:textAlignment w:val="auto"/>
        <w:rPr>
          <w:rStyle w:val="21"/>
          <w:rFonts w:hint="eastAsia" w:ascii="仿宋" w:hAnsi="仿宋" w:eastAsia="仿宋" w:cs="仿宋"/>
          <w:b/>
          <w:bCs w:val="0"/>
          <w:spacing w:val="-4"/>
          <w:sz w:val="28"/>
          <w:szCs w:val="28"/>
        </w:rPr>
      </w:pPr>
      <w:r>
        <w:rPr>
          <w:rStyle w:val="21"/>
          <w:rFonts w:hint="eastAsia" w:ascii="仿宋" w:hAnsi="仿宋" w:eastAsia="仿宋" w:cs="仿宋"/>
          <w:b/>
          <w:bCs w:val="0"/>
          <w:spacing w:val="-4"/>
          <w:sz w:val="28"/>
          <w:szCs w:val="28"/>
        </w:rPr>
        <w:t>（一）项目概况</w:t>
      </w:r>
    </w:p>
    <w:p>
      <w:pPr>
        <w:keepNext w:val="0"/>
        <w:keepLines w:val="0"/>
        <w:pageBreakBefore w:val="0"/>
        <w:kinsoku/>
        <w:wordWrap/>
        <w:overflowPunct/>
        <w:topLinePunct w:val="0"/>
        <w:autoSpaceDE/>
        <w:autoSpaceDN/>
        <w:bidi w:val="0"/>
        <w:adjustRightInd/>
        <w:snapToGrid/>
        <w:spacing w:line="480" w:lineRule="exact"/>
        <w:ind w:left="0" w:leftChars="0" w:firstLine="546" w:firstLineChars="200"/>
        <w:textAlignment w:val="auto"/>
        <w:rPr>
          <w:rStyle w:val="21"/>
          <w:rFonts w:hint="eastAsia" w:ascii="仿宋" w:hAnsi="仿宋" w:eastAsia="仿宋" w:cs="仿宋"/>
          <w:b/>
          <w:bCs w:val="0"/>
          <w:spacing w:val="-4"/>
          <w:sz w:val="28"/>
          <w:szCs w:val="28"/>
        </w:rPr>
      </w:pPr>
      <w:r>
        <w:rPr>
          <w:rStyle w:val="21"/>
          <w:rFonts w:hint="eastAsia" w:ascii="仿宋" w:hAnsi="仿宋" w:eastAsia="仿宋" w:cs="仿宋"/>
          <w:b/>
          <w:bCs w:val="0"/>
          <w:spacing w:val="-4"/>
          <w:sz w:val="28"/>
          <w:szCs w:val="28"/>
        </w:rPr>
        <w:t>1.项目背景</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本项目遵循财政部《项目支出绩效评价管理办法》（财预〔2020〕10号）和自治区财政厅《自治区财政支出绩效评价管理暂行办法》（新财预〔2018〕189号）等相关政策文件与规定，旨在评价</w:t>
      </w:r>
      <w:r>
        <w:rPr>
          <w:rFonts w:hint="eastAsia" w:ascii="仿宋" w:hAnsi="仿宋" w:eastAsia="仿宋" w:cs="仿宋"/>
          <w:b w:val="0"/>
          <w:bCs w:val="0"/>
          <w:sz w:val="28"/>
          <w:szCs w:val="28"/>
        </w:rPr>
        <w:t>新疆地质</w:t>
      </w:r>
      <w:r>
        <w:rPr>
          <w:rFonts w:hint="eastAsia" w:ascii="仿宋" w:hAnsi="仿宋" w:eastAsia="仿宋" w:cs="仿宋"/>
          <w:b w:val="0"/>
          <w:bCs w:val="0"/>
          <w:sz w:val="28"/>
          <w:szCs w:val="28"/>
          <w:lang w:val="en-US" w:eastAsia="zh-CN"/>
        </w:rPr>
        <w:t>市场经营</w:t>
      </w:r>
      <w:r>
        <w:rPr>
          <w:rFonts w:hint="eastAsia" w:ascii="仿宋" w:hAnsi="仿宋" w:eastAsia="仿宋" w:cs="仿宋"/>
          <w:color w:val="auto"/>
          <w:sz w:val="28"/>
          <w:szCs w:val="28"/>
          <w:lang w:val="en-US" w:eastAsia="zh-CN"/>
        </w:rPr>
        <w:t>项目实施前期、过程及效果，评价财政预算资金使用的效率及效益。根据我院“三定”方案职责要求，承担全区地质环境的调研、评价和监测，以及监测数据资料的汇总、分析、处理和预测预报等工作，其主要职责包括水文地质与水资源、地质灾害及国土空间修复工作的调查、监测及研究工作。作为自然资源厅所属一类事业单位，每年承担自治区财政下达的地质灾害防治、地下水动态监测和矿山生态修复等公益性项目，有效支撑了自治区自然资源系统“两统一”职责。</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随着西部大开发战略的实施和资源、环境可持续发展需要，新疆维吾尔自治区地质环境监测院将把各族人民的安危牢记在心间，以最优的服务质量，不断完善管理制度，开展建设项目地质灾害危险性评估、压覆矿产资源评估、矿山地质环境保护与土地复垦方案、地质灾害防治规划、地质环境监测规划工作，为建设项目建设用地报批及地质灾害防治提供科学依据，为矿权申报提供依据，为地方政府地质灾害防治规划、地质环境监测规划提供依据。</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为保证自治区或地州自然资源主管部门组织实施的地质灾害治理工程和矿山地质环境恢复治理工程质量，控制工程工期，充分发挥治理工程投资效益，保障项目顺利实施，规范和统一治理项目资料整理，根据《新疆维吾尔自治区地质灾害防治项目管理办法（试行）》、《自治区历史遗留废弃工矿土地整治项目管理办法（试行）》等管理办法，监理工作必不可少。</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color w:val="auto"/>
          <w:sz w:val="28"/>
          <w:szCs w:val="28"/>
          <w:lang w:val="en-US" w:eastAsia="zh-CN"/>
        </w:rPr>
        <w:t>利用国家地下水监测工程在新疆维吾尔自治区建成的基础监测设施、数据自动采集传输存储系统以及信息应用服务系统，开展国家地下水监测站点运行维护、地下水质采样监测、信息应用服务系统运行维护、数据整编、综合研究，获取水位、水质等地下水动态监测数据，分析研究地下水采灌、质量和污染状况以及由此引起的环境地质问题，实现对新疆维吾尔自治区地下水动态评价，实现对新疆维吾尔自治区主要平原盆地地下水动态评价，并将其成果转化为国家和社会所需的信息服务产品。</w:t>
      </w:r>
    </w:p>
    <w:p>
      <w:pPr>
        <w:keepNext w:val="0"/>
        <w:keepLines w:val="0"/>
        <w:pageBreakBefore w:val="0"/>
        <w:kinsoku/>
        <w:wordWrap/>
        <w:overflowPunct/>
        <w:topLinePunct w:val="0"/>
        <w:autoSpaceDE/>
        <w:autoSpaceDN/>
        <w:bidi w:val="0"/>
        <w:adjustRightInd/>
        <w:snapToGrid/>
        <w:spacing w:line="480" w:lineRule="exact"/>
        <w:ind w:left="0" w:leftChars="0" w:firstLine="546" w:firstLineChars="200"/>
        <w:textAlignment w:val="auto"/>
        <w:rPr>
          <w:rStyle w:val="21"/>
          <w:rFonts w:hint="eastAsia" w:ascii="仿宋" w:hAnsi="仿宋" w:eastAsia="仿宋" w:cs="仿宋"/>
          <w:b/>
          <w:bCs w:val="0"/>
          <w:spacing w:val="-4"/>
          <w:sz w:val="28"/>
          <w:szCs w:val="28"/>
          <w:lang w:val="en-US" w:eastAsia="zh-CN"/>
        </w:rPr>
      </w:pPr>
      <w:r>
        <w:rPr>
          <w:rStyle w:val="21"/>
          <w:rFonts w:hint="eastAsia" w:ascii="仿宋" w:hAnsi="仿宋" w:eastAsia="仿宋" w:cs="仿宋"/>
          <w:b/>
          <w:bCs w:val="0"/>
          <w:spacing w:val="-4"/>
          <w:sz w:val="28"/>
          <w:szCs w:val="28"/>
        </w:rPr>
        <w:t>2.主要内容及实施情</w:t>
      </w:r>
      <w:r>
        <w:rPr>
          <w:rStyle w:val="21"/>
          <w:rFonts w:hint="eastAsia" w:ascii="仿宋" w:hAnsi="仿宋" w:eastAsia="仿宋" w:cs="仿宋"/>
          <w:b/>
          <w:bCs w:val="0"/>
          <w:spacing w:val="-4"/>
          <w:sz w:val="28"/>
          <w:szCs w:val="28"/>
          <w:lang w:val="en-US" w:eastAsia="zh-CN"/>
        </w:rPr>
        <w:t>况</w:t>
      </w:r>
    </w:p>
    <w:p>
      <w:pPr>
        <w:keepNext w:val="0"/>
        <w:keepLines w:val="0"/>
        <w:pageBreakBefore w:val="0"/>
        <w:kinsoku/>
        <w:wordWrap/>
        <w:overflowPunct/>
        <w:topLinePunct w:val="0"/>
        <w:autoSpaceDE/>
        <w:autoSpaceDN/>
        <w:bidi w:val="0"/>
        <w:adjustRightInd/>
        <w:snapToGrid/>
        <w:spacing w:line="480" w:lineRule="exact"/>
        <w:ind w:left="0" w:leftChars="0" w:firstLine="546" w:firstLineChars="200"/>
        <w:textAlignment w:val="auto"/>
        <w:rPr>
          <w:rStyle w:val="21"/>
          <w:rFonts w:hint="eastAsia" w:ascii="仿宋" w:hAnsi="仿宋" w:eastAsia="仿宋" w:cs="仿宋"/>
          <w:b/>
          <w:bCs w:val="0"/>
          <w:spacing w:val="-4"/>
          <w:sz w:val="28"/>
          <w:szCs w:val="28"/>
        </w:rPr>
      </w:pPr>
      <w:r>
        <w:rPr>
          <w:rStyle w:val="21"/>
          <w:rFonts w:hint="eastAsia" w:ascii="仿宋" w:hAnsi="仿宋" w:eastAsia="仿宋" w:cs="仿宋"/>
          <w:b/>
          <w:bCs w:val="0"/>
          <w:spacing w:val="-4"/>
          <w:sz w:val="28"/>
          <w:szCs w:val="28"/>
          <w:lang w:eastAsia="zh-CN"/>
        </w:rPr>
        <w:t>（</w:t>
      </w:r>
      <w:r>
        <w:rPr>
          <w:rStyle w:val="21"/>
          <w:rFonts w:hint="eastAsia" w:ascii="仿宋" w:hAnsi="仿宋" w:eastAsia="仿宋" w:cs="仿宋"/>
          <w:b/>
          <w:bCs w:val="0"/>
          <w:spacing w:val="-4"/>
          <w:sz w:val="28"/>
          <w:szCs w:val="28"/>
          <w:lang w:val="en-US" w:eastAsia="zh-CN"/>
        </w:rPr>
        <w:t>1</w:t>
      </w:r>
      <w:r>
        <w:rPr>
          <w:rStyle w:val="21"/>
          <w:rFonts w:hint="eastAsia" w:ascii="仿宋" w:hAnsi="仿宋" w:eastAsia="仿宋" w:cs="仿宋"/>
          <w:b/>
          <w:bCs w:val="0"/>
          <w:spacing w:val="-4"/>
          <w:sz w:val="28"/>
          <w:szCs w:val="28"/>
          <w:lang w:eastAsia="zh-CN"/>
        </w:rPr>
        <w:t>）</w:t>
      </w:r>
      <w:r>
        <w:rPr>
          <w:rStyle w:val="21"/>
          <w:rFonts w:hint="eastAsia" w:ascii="仿宋" w:hAnsi="仿宋" w:eastAsia="仿宋" w:cs="仿宋"/>
          <w:b/>
          <w:bCs w:val="0"/>
          <w:spacing w:val="-4"/>
          <w:sz w:val="28"/>
          <w:szCs w:val="28"/>
        </w:rPr>
        <w:t>主要内容</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新疆地质市场经营项目于2004年开展至今，对自治区重大交通、电力、油气及房建等工程开展地质灾害灾害危险性评估、压覆矿产资源评估，对矿山开展矿山地质环境保护与土地复垦方案编制工作，对地质灾害防治工程和矿山地质环境恢复治理工程开展监理工作，开展准噶尔盆地地下水位统测、国家地下水监测工程年度运行维护（新疆维吾尔自治区部分）工作，由新疆地质环境监测院负责管理，市场办、监理部、地下水资源调查评价研究室负责项目具体实施。基本内容主要包括：</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①地质灾害危险性评估、压覆矿产资源评估、矿山地质环境保护与土地复垦方案</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查明工程建设用地及影响范围内的地质环境条件及地质灾害的类型、分布、规模、变形活动特征与主要引发因素；分析论证建设项目用地及影响范围内各种地质灾害的危险性，进行现状评估、预测评估和综合分区评估；评价建设工程遭受地质灾害的可能性和工程建设中、建成后引发加剧地质灾害的可能性，并提出具体的防治措施，对该工程建设用地的适宜性进行评估；提交地质灾害危险性评估报告。为工程建设用地审查报批和地质灾害防治提供依据。</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按照国土资源部有关建设项目压覆矿产资源储量管理的有关规定及关于改进建设项目压覆矿产资源审查工作的通知（新国土资发［2014］698号）、关于做好建设项目压覆重要矿产资源审批管理工作的通知 (新国土资发〔2011〕90号)等规范条例，在建设项目用地预审之前，对拟建项目用地范围及评估区范围（保护区范围）内压覆矿产资源储量情况进行调查与评估。对用地范围及评估区范围（保护区范围）与矿产开发情况进行调查评估并对建设项目压覆的重要矿产资源进行储量与价值评估。为工程建设用地审查报批和矿产资源合理开发利用提供依据。</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根据国土资源部发布的《国土资源部办公厅关于做好矿山地质环境保护与土地复垦方案编报有关工作的通知》（国土资规[2016]21号）、《矿山地质环境保护与恢复治理方案编制规范》（国土资源部发布DZ/T 0223-2011）、《地质灾害危险性评估规范》（GB/T 40112-2021）、《土地复垦方案编制规程》（TD/T 2011）等相关规范，开展矿山地质环境条件、土地利用情况调查，提出地质环境防治工程和地质环境监测方案；贯彻落实“十分珍惜和合理利用土地，切实保护耕地”的基本国策，按照“因地制宜，综合利用”的原则，制定科学合理的土地复垦方向和土地复垦措施，坚持社会效益、经济效益和生态效益并重，努力实现土地资源的可持续利用。为矿业权审批及矿山地质环境保护、土地复垦及生态修复提供依据。</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②地质灾害防治工程和矿山地质环境恢复治理工程监理</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新疆维吾尔自治区地质环境监测院自2006年开始从事地质灾害防治工程和矿山地质环境恢复治理工程监理工作，主要根据已审核的施工设计文件，在工程施工阶段对工程施工进度、施工质量、工作量审核、施工安全管理、合同信息管理、施工组织协调等进行管理，通过监理工作实现工程质量目标、进度目标、安全目标等。</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③国家地下水监测工程2023年度运行维护（新疆维吾尔自治区部分）</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国家地下水监测工程2023年度运行维护（新疆维吾尔自治区部分）属国家地下水监测工程运行维护与地下水质监测（2021-2023）子项目，项目来源中国地质环境监测院通过公开招标，由新疆维吾尔自治区地质环境监测院承担，完成新疆维吾尔自治区内410个国家地下水监测站点运行维护、信息应用服务系统运行维护、数据整编、综合研究等工作。</w:t>
      </w:r>
    </w:p>
    <w:p>
      <w:pPr>
        <w:keepNext w:val="0"/>
        <w:keepLines w:val="0"/>
        <w:pageBreakBefore w:val="0"/>
        <w:kinsoku/>
        <w:wordWrap/>
        <w:overflowPunct/>
        <w:topLinePunct w:val="0"/>
        <w:autoSpaceDE/>
        <w:autoSpaceDN/>
        <w:bidi w:val="0"/>
        <w:adjustRightInd/>
        <w:snapToGrid/>
        <w:spacing w:line="480" w:lineRule="exact"/>
        <w:ind w:left="0" w:leftChars="0" w:firstLine="546" w:firstLineChars="200"/>
        <w:textAlignment w:val="auto"/>
        <w:rPr>
          <w:rStyle w:val="21"/>
          <w:rFonts w:hint="eastAsia" w:ascii="仿宋" w:hAnsi="仿宋" w:eastAsia="仿宋" w:cs="仿宋"/>
          <w:b/>
          <w:bCs w:val="0"/>
          <w:spacing w:val="-4"/>
          <w:sz w:val="28"/>
          <w:szCs w:val="28"/>
        </w:rPr>
      </w:pPr>
      <w:r>
        <w:rPr>
          <w:rStyle w:val="21"/>
          <w:rFonts w:hint="eastAsia" w:ascii="仿宋" w:hAnsi="仿宋" w:eastAsia="仿宋" w:cs="仿宋"/>
          <w:b/>
          <w:bCs w:val="0"/>
          <w:spacing w:val="-4"/>
          <w:sz w:val="28"/>
          <w:szCs w:val="28"/>
          <w:lang w:eastAsia="zh-CN"/>
        </w:rPr>
        <w:t>（</w:t>
      </w:r>
      <w:r>
        <w:rPr>
          <w:rStyle w:val="21"/>
          <w:rFonts w:hint="eastAsia" w:ascii="仿宋" w:hAnsi="仿宋" w:eastAsia="仿宋" w:cs="仿宋"/>
          <w:b/>
          <w:bCs w:val="0"/>
          <w:spacing w:val="-4"/>
          <w:sz w:val="28"/>
          <w:szCs w:val="28"/>
          <w:lang w:val="en-US" w:eastAsia="zh-CN"/>
        </w:rPr>
        <w:t>2</w:t>
      </w:r>
      <w:r>
        <w:rPr>
          <w:rStyle w:val="21"/>
          <w:rFonts w:hint="eastAsia" w:ascii="仿宋" w:hAnsi="仿宋" w:eastAsia="仿宋" w:cs="仿宋"/>
          <w:b/>
          <w:bCs w:val="0"/>
          <w:spacing w:val="-4"/>
          <w:sz w:val="28"/>
          <w:szCs w:val="28"/>
          <w:lang w:eastAsia="zh-CN"/>
        </w:rPr>
        <w:t>）</w:t>
      </w:r>
      <w:r>
        <w:rPr>
          <w:rStyle w:val="21"/>
          <w:rFonts w:hint="eastAsia" w:ascii="仿宋" w:hAnsi="仿宋" w:eastAsia="仿宋" w:cs="仿宋"/>
          <w:b/>
          <w:bCs w:val="0"/>
          <w:spacing w:val="-4"/>
          <w:sz w:val="28"/>
          <w:szCs w:val="28"/>
        </w:rPr>
        <w:t>实施情况</w:t>
      </w:r>
    </w:p>
    <w:p>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截至2023年12月，</w:t>
      </w:r>
      <w:r>
        <w:rPr>
          <w:rFonts w:hint="eastAsia" w:ascii="仿宋" w:hAnsi="仿宋" w:eastAsia="仿宋" w:cs="仿宋"/>
          <w:sz w:val="28"/>
          <w:szCs w:val="28"/>
        </w:rPr>
        <w:t>项目已经完成实际设立的目标，项目在实施过程中严格按照目标设立的各阶段任务进行开展工作，在前期立项过程中严格把质量关，建立安全防护机制，保证项目实施各阶段安全顺利进行。</w:t>
      </w:r>
    </w:p>
    <w:p>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color w:val="auto"/>
          <w:sz w:val="28"/>
          <w:szCs w:val="28"/>
          <w:highlight w:val="none"/>
          <w:lang w:val="en-US" w:eastAsia="zh-CN"/>
        </w:rPr>
        <w:t>2023年度</w:t>
      </w:r>
      <w:r>
        <w:rPr>
          <w:rFonts w:hint="eastAsia" w:ascii="仿宋" w:hAnsi="仿宋" w:eastAsia="仿宋" w:cs="仿宋"/>
          <w:color w:val="auto"/>
          <w:sz w:val="28"/>
          <w:szCs w:val="28"/>
          <w:highlight w:val="none"/>
        </w:rPr>
        <w:t>项目总投资</w:t>
      </w:r>
      <w:r>
        <w:rPr>
          <w:rFonts w:hint="eastAsia" w:ascii="仿宋" w:hAnsi="仿宋" w:eastAsia="仿宋" w:cs="仿宋"/>
          <w:color w:val="auto"/>
          <w:sz w:val="28"/>
          <w:szCs w:val="28"/>
          <w:highlight w:val="none"/>
          <w:lang w:val="en-US" w:eastAsia="zh-CN"/>
        </w:rPr>
        <w:t>750</w:t>
      </w:r>
      <w:r>
        <w:rPr>
          <w:rFonts w:hint="eastAsia" w:ascii="仿宋" w:hAnsi="仿宋" w:eastAsia="仿宋" w:cs="仿宋"/>
          <w:color w:val="auto"/>
          <w:sz w:val="28"/>
          <w:szCs w:val="28"/>
          <w:highlight w:val="none"/>
        </w:rPr>
        <w:t>万元，其中：</w:t>
      </w:r>
      <w:r>
        <w:rPr>
          <w:rFonts w:hint="eastAsia" w:ascii="仿宋" w:hAnsi="仿宋" w:eastAsia="仿宋" w:cs="仿宋"/>
          <w:color w:val="auto"/>
          <w:sz w:val="28"/>
          <w:szCs w:val="28"/>
          <w:highlight w:val="none"/>
          <w:lang w:val="en-US" w:eastAsia="zh-CN"/>
        </w:rPr>
        <w:t>其他</w:t>
      </w:r>
      <w:r>
        <w:rPr>
          <w:rFonts w:hint="eastAsia" w:ascii="仿宋" w:hAnsi="仿宋" w:eastAsia="仿宋" w:cs="仿宋"/>
          <w:color w:val="auto"/>
          <w:sz w:val="28"/>
          <w:szCs w:val="28"/>
          <w:highlight w:val="none"/>
        </w:rPr>
        <w:t>资金</w:t>
      </w:r>
      <w:r>
        <w:rPr>
          <w:rFonts w:hint="eastAsia" w:ascii="仿宋" w:hAnsi="仿宋" w:eastAsia="仿宋" w:cs="仿宋"/>
          <w:color w:val="auto"/>
          <w:sz w:val="28"/>
          <w:szCs w:val="28"/>
          <w:highlight w:val="none"/>
          <w:lang w:val="en-US" w:eastAsia="zh-CN"/>
        </w:rPr>
        <w:t>750</w:t>
      </w:r>
      <w:r>
        <w:rPr>
          <w:rFonts w:hint="eastAsia" w:ascii="仿宋" w:hAnsi="仿宋" w:eastAsia="仿宋" w:cs="仿宋"/>
          <w:color w:val="auto"/>
          <w:sz w:val="28"/>
          <w:szCs w:val="28"/>
          <w:highlight w:val="none"/>
        </w:rPr>
        <w:t>万元。项目实际支出</w:t>
      </w:r>
      <w:r>
        <w:rPr>
          <w:rFonts w:hint="eastAsia" w:ascii="仿宋" w:hAnsi="仿宋" w:eastAsia="仿宋" w:cs="仿宋"/>
          <w:color w:val="auto"/>
          <w:sz w:val="28"/>
          <w:szCs w:val="28"/>
          <w:highlight w:val="none"/>
          <w:lang w:val="en-US" w:eastAsia="zh-CN"/>
        </w:rPr>
        <w:t>940</w:t>
      </w:r>
      <w:r>
        <w:rPr>
          <w:rFonts w:hint="eastAsia" w:ascii="仿宋" w:hAnsi="仿宋" w:eastAsia="仿宋" w:cs="仿宋"/>
          <w:color w:val="auto"/>
          <w:sz w:val="28"/>
          <w:szCs w:val="28"/>
          <w:highlight w:val="none"/>
        </w:rPr>
        <w:t>万元，支出率为1</w:t>
      </w:r>
      <w:r>
        <w:rPr>
          <w:rFonts w:hint="eastAsia" w:ascii="仿宋" w:hAnsi="仿宋" w:eastAsia="仿宋" w:cs="仿宋"/>
          <w:color w:val="auto"/>
          <w:sz w:val="28"/>
          <w:szCs w:val="28"/>
          <w:highlight w:val="none"/>
          <w:lang w:val="en-US" w:eastAsia="zh-CN"/>
        </w:rPr>
        <w:t>25.33</w:t>
      </w:r>
      <w:r>
        <w:rPr>
          <w:rFonts w:hint="eastAsia" w:ascii="仿宋" w:hAnsi="仿宋" w:eastAsia="仿宋" w:cs="仿宋"/>
          <w:color w:val="auto"/>
          <w:sz w:val="28"/>
          <w:szCs w:val="28"/>
          <w:highlight w:val="none"/>
        </w:rPr>
        <w:t>%。</w:t>
      </w:r>
    </w:p>
    <w:p>
      <w:pPr>
        <w:keepNext w:val="0"/>
        <w:keepLines w:val="0"/>
        <w:pageBreakBefore w:val="0"/>
        <w:kinsoku/>
        <w:wordWrap/>
        <w:overflowPunct/>
        <w:topLinePunct w:val="0"/>
        <w:autoSpaceDE/>
        <w:autoSpaceDN/>
        <w:bidi w:val="0"/>
        <w:adjustRightInd/>
        <w:snapToGrid/>
        <w:spacing w:line="480" w:lineRule="exact"/>
        <w:ind w:left="0" w:leftChars="0" w:firstLine="546" w:firstLineChars="200"/>
        <w:textAlignment w:val="auto"/>
        <w:rPr>
          <w:rStyle w:val="21"/>
          <w:rFonts w:hint="eastAsia" w:ascii="仿宋" w:hAnsi="仿宋" w:eastAsia="仿宋" w:cs="仿宋"/>
          <w:b/>
          <w:bCs w:val="0"/>
          <w:spacing w:val="-4"/>
          <w:sz w:val="28"/>
          <w:szCs w:val="28"/>
        </w:rPr>
      </w:pPr>
      <w:r>
        <w:rPr>
          <w:rStyle w:val="21"/>
          <w:rFonts w:hint="eastAsia" w:ascii="仿宋" w:hAnsi="仿宋" w:eastAsia="仿宋" w:cs="仿宋"/>
          <w:b/>
          <w:bCs w:val="0"/>
          <w:spacing w:val="-4"/>
          <w:sz w:val="28"/>
          <w:szCs w:val="28"/>
          <w:lang w:val="en-US" w:eastAsia="zh-CN"/>
        </w:rPr>
        <w:t>3.</w:t>
      </w:r>
      <w:r>
        <w:rPr>
          <w:rStyle w:val="21"/>
          <w:rFonts w:hint="eastAsia" w:ascii="仿宋" w:hAnsi="仿宋" w:eastAsia="仿宋" w:cs="仿宋"/>
          <w:b/>
          <w:bCs w:val="0"/>
          <w:spacing w:val="-4"/>
          <w:sz w:val="28"/>
          <w:szCs w:val="28"/>
        </w:rPr>
        <w:t>项目实施主体</w:t>
      </w:r>
    </w:p>
    <w:p>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项目实施主体为新疆地质环境监测院，主要职能是：包括水文地质与水资源、地质灾害及国土空间修复工作的调查、监测及研究工作。作为自治区自然资源厅所属一类事业单位，每年承担自治区财政下达的相关公益性项目，有效的支撑了自然资源系统“两统一”职责。</w:t>
      </w:r>
    </w:p>
    <w:p>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编制人数57人，其中：行政人员编制0人、工勤0人、参公0人、事业编制57人。实有在职人数48人，其中：行政在职0人、工勤0人、参公0人、事业在职48人。离退休人员29人，其中：行政退休人员0人、事业退休29人，离休0人。</w:t>
      </w:r>
    </w:p>
    <w:p>
      <w:pPr>
        <w:keepNext w:val="0"/>
        <w:keepLines w:val="0"/>
        <w:pageBreakBefore w:val="0"/>
        <w:kinsoku/>
        <w:wordWrap/>
        <w:overflowPunct/>
        <w:topLinePunct w:val="0"/>
        <w:autoSpaceDE/>
        <w:autoSpaceDN/>
        <w:bidi w:val="0"/>
        <w:adjustRightInd/>
        <w:snapToGrid/>
        <w:spacing w:line="480" w:lineRule="exact"/>
        <w:ind w:left="0" w:leftChars="0" w:firstLine="546" w:firstLineChars="200"/>
        <w:textAlignment w:val="auto"/>
        <w:rPr>
          <w:rStyle w:val="21"/>
          <w:rFonts w:hint="eastAsia" w:ascii="仿宋" w:hAnsi="仿宋" w:eastAsia="仿宋" w:cs="仿宋"/>
          <w:b/>
          <w:bCs w:val="0"/>
          <w:spacing w:val="-4"/>
          <w:sz w:val="28"/>
          <w:szCs w:val="28"/>
        </w:rPr>
      </w:pPr>
      <w:r>
        <w:rPr>
          <w:rStyle w:val="21"/>
          <w:rFonts w:hint="eastAsia" w:ascii="仿宋" w:hAnsi="仿宋" w:eastAsia="仿宋" w:cs="仿宋"/>
          <w:b/>
          <w:bCs w:val="0"/>
          <w:spacing w:val="-4"/>
          <w:sz w:val="28"/>
          <w:szCs w:val="28"/>
          <w:lang w:val="en-US" w:eastAsia="zh-CN"/>
        </w:rPr>
        <w:t>4.</w:t>
      </w:r>
      <w:r>
        <w:rPr>
          <w:rStyle w:val="21"/>
          <w:rFonts w:hint="eastAsia" w:ascii="仿宋" w:hAnsi="仿宋" w:eastAsia="仿宋" w:cs="仿宋"/>
          <w:b/>
          <w:bCs w:val="0"/>
          <w:spacing w:val="-4"/>
          <w:sz w:val="28"/>
          <w:szCs w:val="28"/>
        </w:rPr>
        <w:t>资金投入和使用情况</w:t>
      </w:r>
    </w:p>
    <w:p>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rPr>
        <w:t>（1）资金</w:t>
      </w:r>
      <w:r>
        <w:rPr>
          <w:rFonts w:hint="eastAsia" w:ascii="仿宋" w:hAnsi="仿宋" w:eastAsia="仿宋" w:cs="仿宋"/>
          <w:sz w:val="28"/>
          <w:szCs w:val="28"/>
          <w:lang w:val="en-US" w:eastAsia="zh-CN"/>
        </w:rPr>
        <w:t>投入情况</w:t>
      </w:r>
    </w:p>
    <w:p>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该项目年初预算数</w:t>
      </w:r>
      <w:r>
        <w:rPr>
          <w:rFonts w:hint="eastAsia" w:ascii="仿宋" w:hAnsi="仿宋" w:eastAsia="仿宋" w:cs="仿宋"/>
          <w:color w:val="auto"/>
          <w:sz w:val="28"/>
          <w:szCs w:val="28"/>
          <w:highlight w:val="none"/>
          <w:lang w:val="en-US" w:eastAsia="zh-CN"/>
        </w:rPr>
        <w:t>750</w:t>
      </w:r>
      <w:r>
        <w:rPr>
          <w:rFonts w:hint="eastAsia" w:ascii="仿宋" w:hAnsi="仿宋" w:eastAsia="仿宋" w:cs="仿宋"/>
          <w:color w:val="auto"/>
          <w:sz w:val="28"/>
          <w:szCs w:val="28"/>
          <w:highlight w:val="none"/>
        </w:rPr>
        <w:t>万元，全年预算数</w:t>
      </w:r>
      <w:r>
        <w:rPr>
          <w:rFonts w:hint="eastAsia" w:ascii="仿宋" w:hAnsi="仿宋" w:eastAsia="仿宋" w:cs="仿宋"/>
          <w:color w:val="auto"/>
          <w:sz w:val="28"/>
          <w:szCs w:val="28"/>
          <w:highlight w:val="none"/>
          <w:lang w:val="en-US" w:eastAsia="zh-CN"/>
        </w:rPr>
        <w:t>940</w:t>
      </w:r>
      <w:r>
        <w:rPr>
          <w:rFonts w:hint="eastAsia" w:ascii="仿宋" w:hAnsi="仿宋" w:eastAsia="仿宋" w:cs="仿宋"/>
          <w:color w:val="auto"/>
          <w:sz w:val="28"/>
          <w:szCs w:val="28"/>
          <w:highlight w:val="none"/>
        </w:rPr>
        <w:t>万元，实际总投入</w:t>
      </w:r>
      <w:r>
        <w:rPr>
          <w:rFonts w:hint="eastAsia" w:ascii="仿宋" w:hAnsi="仿宋" w:eastAsia="仿宋" w:cs="仿宋"/>
          <w:color w:val="auto"/>
          <w:sz w:val="28"/>
          <w:szCs w:val="28"/>
          <w:highlight w:val="none"/>
          <w:lang w:val="en-US" w:eastAsia="zh-CN"/>
        </w:rPr>
        <w:t>940</w:t>
      </w:r>
      <w:r>
        <w:rPr>
          <w:rFonts w:hint="eastAsia" w:ascii="仿宋" w:hAnsi="仿宋" w:eastAsia="仿宋" w:cs="仿宋"/>
          <w:color w:val="auto"/>
          <w:sz w:val="28"/>
          <w:szCs w:val="28"/>
          <w:highlight w:val="none"/>
        </w:rPr>
        <w:t>万元，该项目资金已全部落实到位，资金来源为</w:t>
      </w:r>
      <w:r>
        <w:rPr>
          <w:rFonts w:hint="eastAsia" w:ascii="仿宋" w:hAnsi="仿宋" w:eastAsia="仿宋" w:cs="仿宋"/>
          <w:color w:val="auto"/>
          <w:sz w:val="28"/>
          <w:szCs w:val="28"/>
          <w:highlight w:val="none"/>
          <w:lang w:val="en-US" w:eastAsia="zh-CN"/>
        </w:rPr>
        <w:t>其他资金</w:t>
      </w:r>
      <w:r>
        <w:rPr>
          <w:rFonts w:hint="eastAsia" w:ascii="仿宋" w:hAnsi="仿宋" w:eastAsia="仿宋" w:cs="仿宋"/>
          <w:color w:val="auto"/>
          <w:sz w:val="28"/>
          <w:szCs w:val="28"/>
          <w:highlight w:val="none"/>
        </w:rPr>
        <w:t>。</w:t>
      </w:r>
    </w:p>
    <w:p>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（2）资金使用情况</w:t>
      </w:r>
      <w:bookmarkStart w:id="0" w:name="page10"/>
      <w:bookmarkEnd w:id="0"/>
    </w:p>
    <w:p>
      <w:pPr>
        <w:pStyle w:val="18"/>
        <w:keepNext w:val="0"/>
        <w:keepLines w:val="0"/>
        <w:pageBreakBefore w:val="0"/>
        <w:kinsoku/>
        <w:wordWrap/>
        <w:overflowPunct/>
        <w:topLinePunct w:val="0"/>
        <w:autoSpaceDE/>
        <w:autoSpaceDN/>
        <w:bidi w:val="0"/>
        <w:adjustRightInd/>
        <w:snapToGrid/>
        <w:spacing w:before="0" w:after="0" w:line="480" w:lineRule="exact"/>
        <w:ind w:left="0" w:leftChars="0" w:firstLine="560" w:firstLineChars="200"/>
        <w:jc w:val="both"/>
        <w:textAlignment w:val="auto"/>
        <w:rPr>
          <w:rStyle w:val="21"/>
          <w:rFonts w:hint="eastAsia" w:ascii="仿宋" w:hAnsi="仿宋" w:eastAsia="仿宋" w:cs="仿宋"/>
          <w:b w:val="0"/>
          <w:bCs/>
          <w:spacing w:val="-4"/>
          <w:sz w:val="28"/>
          <w:szCs w:val="28"/>
          <w:lang w:val="en-US" w:eastAsia="zh-CN"/>
        </w:rPr>
      </w:pPr>
      <w:r>
        <w:rPr>
          <w:rFonts w:hint="eastAsia" w:ascii="仿宋" w:hAnsi="仿宋" w:eastAsia="仿宋" w:cs="仿宋"/>
          <w:b w:val="0"/>
          <w:bCs w:val="0"/>
          <w:kern w:val="2"/>
          <w:sz w:val="28"/>
          <w:szCs w:val="28"/>
          <w:highlight w:val="none"/>
        </w:rPr>
        <w:t>该项目年初预算数</w:t>
      </w:r>
      <w:r>
        <w:rPr>
          <w:rFonts w:hint="eastAsia" w:ascii="仿宋" w:hAnsi="仿宋" w:eastAsia="仿宋" w:cs="仿宋"/>
          <w:b w:val="0"/>
          <w:bCs w:val="0"/>
          <w:kern w:val="2"/>
          <w:sz w:val="28"/>
          <w:szCs w:val="28"/>
          <w:highlight w:val="none"/>
          <w:lang w:val="en-US" w:eastAsia="zh-CN"/>
        </w:rPr>
        <w:t>750</w:t>
      </w:r>
      <w:r>
        <w:rPr>
          <w:rFonts w:hint="eastAsia" w:ascii="仿宋" w:hAnsi="仿宋" w:eastAsia="仿宋" w:cs="仿宋"/>
          <w:b w:val="0"/>
          <w:bCs w:val="0"/>
          <w:kern w:val="2"/>
          <w:sz w:val="28"/>
          <w:szCs w:val="28"/>
          <w:highlight w:val="none"/>
        </w:rPr>
        <w:t>万元，全年预算数</w:t>
      </w:r>
      <w:r>
        <w:rPr>
          <w:rFonts w:hint="eastAsia" w:ascii="仿宋" w:hAnsi="仿宋" w:eastAsia="仿宋" w:cs="仿宋"/>
          <w:b w:val="0"/>
          <w:bCs w:val="0"/>
          <w:kern w:val="2"/>
          <w:sz w:val="28"/>
          <w:szCs w:val="28"/>
          <w:highlight w:val="none"/>
          <w:lang w:val="en-US" w:eastAsia="zh-CN"/>
        </w:rPr>
        <w:t>940</w:t>
      </w:r>
      <w:r>
        <w:rPr>
          <w:rFonts w:hint="eastAsia" w:ascii="仿宋" w:hAnsi="仿宋" w:eastAsia="仿宋" w:cs="仿宋"/>
          <w:b w:val="0"/>
          <w:bCs w:val="0"/>
          <w:kern w:val="2"/>
          <w:sz w:val="28"/>
          <w:szCs w:val="28"/>
          <w:highlight w:val="none"/>
        </w:rPr>
        <w:t>万元，全年执行数</w:t>
      </w:r>
      <w:r>
        <w:rPr>
          <w:rFonts w:hint="eastAsia" w:ascii="仿宋" w:hAnsi="仿宋" w:eastAsia="仿宋" w:cs="仿宋"/>
          <w:b w:val="0"/>
          <w:bCs w:val="0"/>
          <w:kern w:val="2"/>
          <w:sz w:val="28"/>
          <w:szCs w:val="28"/>
          <w:highlight w:val="none"/>
          <w:lang w:val="en-US" w:eastAsia="zh-CN"/>
        </w:rPr>
        <w:t>940</w:t>
      </w:r>
      <w:r>
        <w:rPr>
          <w:rFonts w:hint="eastAsia" w:ascii="仿宋" w:hAnsi="仿宋" w:eastAsia="仿宋" w:cs="仿宋"/>
          <w:b w:val="0"/>
          <w:bCs w:val="0"/>
          <w:kern w:val="2"/>
          <w:sz w:val="28"/>
          <w:szCs w:val="28"/>
          <w:highlight w:val="none"/>
        </w:rPr>
        <w:t>万元，预算执行率为</w:t>
      </w:r>
      <w:r>
        <w:rPr>
          <w:rFonts w:hint="eastAsia" w:ascii="仿宋" w:hAnsi="仿宋" w:eastAsia="仿宋" w:cs="仿宋"/>
          <w:b w:val="0"/>
          <w:bCs w:val="0"/>
          <w:kern w:val="2"/>
          <w:sz w:val="28"/>
          <w:szCs w:val="28"/>
          <w:highlight w:val="none"/>
          <w:lang w:val="en-US" w:eastAsia="zh-CN"/>
        </w:rPr>
        <w:t>125.33</w:t>
      </w:r>
      <w:r>
        <w:rPr>
          <w:rFonts w:hint="eastAsia" w:ascii="仿宋" w:hAnsi="仿宋" w:eastAsia="仿宋" w:cs="仿宋"/>
          <w:b w:val="0"/>
          <w:bCs w:val="0"/>
          <w:kern w:val="2"/>
          <w:sz w:val="28"/>
          <w:szCs w:val="28"/>
          <w:highlight w:val="none"/>
        </w:rPr>
        <w:t>%，主要用于</w:t>
      </w:r>
      <w:r>
        <w:rPr>
          <w:rFonts w:hint="eastAsia" w:ascii="仿宋" w:hAnsi="仿宋" w:eastAsia="仿宋" w:cs="仿宋"/>
          <w:b w:val="0"/>
          <w:bCs w:val="0"/>
          <w:kern w:val="2"/>
          <w:sz w:val="28"/>
          <w:szCs w:val="28"/>
        </w:rPr>
        <w:t>：</w:t>
      </w:r>
      <w:r>
        <w:rPr>
          <w:rFonts w:hint="eastAsia" w:ascii="仿宋" w:hAnsi="仿宋" w:eastAsia="仿宋" w:cs="仿宋"/>
          <w:b w:val="0"/>
          <w:bCs w:val="0"/>
          <w:kern w:val="2"/>
          <w:sz w:val="28"/>
          <w:szCs w:val="28"/>
          <w:highlight w:val="none"/>
          <w:lang w:val="en-US" w:eastAsia="zh-CN"/>
        </w:rPr>
        <w:t>新疆地质市场经营项目实施</w:t>
      </w:r>
      <w:r>
        <w:rPr>
          <w:rFonts w:hint="eastAsia" w:ascii="仿宋" w:hAnsi="仿宋" w:eastAsia="仿宋" w:cs="仿宋"/>
          <w:b w:val="0"/>
          <w:bCs w:val="0"/>
          <w:kern w:val="2"/>
          <w:sz w:val="28"/>
          <w:szCs w:val="28"/>
        </w:rPr>
        <w:t>。</w:t>
      </w:r>
    </w:p>
    <w:p>
      <w:pPr>
        <w:keepNext w:val="0"/>
        <w:keepLines w:val="0"/>
        <w:pageBreakBefore w:val="0"/>
        <w:kinsoku/>
        <w:wordWrap/>
        <w:overflowPunct/>
        <w:topLinePunct w:val="0"/>
        <w:autoSpaceDE/>
        <w:autoSpaceDN/>
        <w:bidi w:val="0"/>
        <w:adjustRightInd/>
        <w:snapToGrid/>
        <w:spacing w:line="480" w:lineRule="exact"/>
        <w:ind w:left="0" w:leftChars="0" w:firstLine="546" w:firstLineChars="200"/>
        <w:textAlignment w:val="auto"/>
        <w:rPr>
          <w:rStyle w:val="21"/>
          <w:rFonts w:hint="eastAsia" w:ascii="仿宋" w:hAnsi="仿宋" w:eastAsia="仿宋" w:cs="仿宋"/>
          <w:b/>
          <w:bCs w:val="0"/>
          <w:spacing w:val="-4"/>
          <w:sz w:val="28"/>
          <w:szCs w:val="28"/>
        </w:rPr>
      </w:pPr>
      <w:r>
        <w:rPr>
          <w:rStyle w:val="21"/>
          <w:rFonts w:hint="eastAsia" w:ascii="仿宋" w:hAnsi="仿宋" w:eastAsia="仿宋" w:cs="仿宋"/>
          <w:b/>
          <w:bCs w:val="0"/>
          <w:spacing w:val="-4"/>
          <w:sz w:val="28"/>
          <w:szCs w:val="28"/>
        </w:rPr>
        <w:t>（二）项目绩效目标</w:t>
      </w:r>
    </w:p>
    <w:p>
      <w:pPr>
        <w:pStyle w:val="49"/>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项目绩效目标包括项目绩效总目标和阶段性目标。</w:t>
      </w:r>
    </w:p>
    <w:p>
      <w:pPr>
        <w:keepNext w:val="0"/>
        <w:keepLines w:val="0"/>
        <w:pageBreakBefore w:val="0"/>
        <w:kinsoku/>
        <w:wordWrap/>
        <w:overflowPunct/>
        <w:topLinePunct w:val="0"/>
        <w:autoSpaceDE/>
        <w:autoSpaceDN/>
        <w:bidi w:val="0"/>
        <w:adjustRightInd/>
        <w:snapToGrid/>
        <w:spacing w:line="480" w:lineRule="exact"/>
        <w:ind w:left="0" w:leftChars="0" w:firstLine="546" w:firstLineChars="200"/>
        <w:textAlignment w:val="auto"/>
        <w:rPr>
          <w:rStyle w:val="21"/>
          <w:rFonts w:hint="eastAsia" w:ascii="仿宋" w:hAnsi="仿宋" w:eastAsia="仿宋" w:cs="仿宋"/>
          <w:b/>
          <w:bCs w:val="0"/>
          <w:spacing w:val="-4"/>
          <w:sz w:val="28"/>
          <w:szCs w:val="28"/>
        </w:rPr>
      </w:pPr>
      <w:r>
        <w:rPr>
          <w:rStyle w:val="21"/>
          <w:rFonts w:hint="eastAsia" w:ascii="仿宋" w:hAnsi="仿宋" w:eastAsia="仿宋" w:cs="仿宋"/>
          <w:b/>
          <w:bCs w:val="0"/>
          <w:spacing w:val="-4"/>
          <w:sz w:val="28"/>
          <w:szCs w:val="28"/>
        </w:rPr>
        <w:t>1.项目绩效总目标</w:t>
      </w:r>
    </w:p>
    <w:p>
      <w:pPr>
        <w:pStyle w:val="12"/>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完成建设用地地质灾害危险性评估项目15个，开展地质灾害防治工程和矿山地质环境恢复治理工程监理项目13个，通过油气、交通、房建等重大工程的地质灾害危险性评估及地质灾害防治工程和矿山地质环境恢复治理工程监理工作的实施，提高我区地质灾害防治能力。完成新疆维吾尔自治区410个国家地下水监测站点运行维护、信息应用服务系统运行维护、数据整编、综合研究等工作，通过国家地下水监测工程运行维护，提升我区地下水资源监测能力。</w:t>
      </w:r>
    </w:p>
    <w:p>
      <w:pPr>
        <w:keepNext w:val="0"/>
        <w:keepLines w:val="0"/>
        <w:pageBreakBefore w:val="0"/>
        <w:kinsoku/>
        <w:wordWrap/>
        <w:overflowPunct/>
        <w:topLinePunct w:val="0"/>
        <w:autoSpaceDE/>
        <w:autoSpaceDN/>
        <w:bidi w:val="0"/>
        <w:adjustRightInd/>
        <w:snapToGrid/>
        <w:spacing w:line="480" w:lineRule="exact"/>
        <w:ind w:left="0" w:leftChars="0" w:firstLine="546" w:firstLineChars="200"/>
        <w:textAlignment w:val="auto"/>
        <w:rPr>
          <w:rStyle w:val="21"/>
          <w:rFonts w:hint="eastAsia" w:ascii="仿宋" w:hAnsi="仿宋" w:eastAsia="仿宋" w:cs="仿宋"/>
          <w:b/>
          <w:bCs w:val="0"/>
          <w:spacing w:val="-4"/>
          <w:sz w:val="28"/>
          <w:szCs w:val="28"/>
        </w:rPr>
      </w:pPr>
      <w:r>
        <w:rPr>
          <w:rStyle w:val="21"/>
          <w:rFonts w:hint="eastAsia" w:ascii="仿宋" w:hAnsi="仿宋" w:eastAsia="仿宋" w:cs="仿宋"/>
          <w:b/>
          <w:bCs w:val="0"/>
          <w:spacing w:val="-4"/>
          <w:sz w:val="28"/>
          <w:szCs w:val="28"/>
        </w:rPr>
        <w:t>2.阶段性目标</w:t>
      </w:r>
    </w:p>
    <w:p>
      <w:pPr>
        <w:keepNext w:val="0"/>
        <w:keepLines w:val="0"/>
        <w:pageBreakBefore w:val="0"/>
        <w:numPr>
          <w:ilvl w:val="0"/>
          <w:numId w:val="0"/>
        </w:numPr>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p>
    <w:p>
      <w:pPr>
        <w:keepNext w:val="0"/>
        <w:keepLines w:val="0"/>
        <w:pageBreakBefore w:val="0"/>
        <w:numPr>
          <w:ilvl w:val="0"/>
          <w:numId w:val="0"/>
        </w:numPr>
        <w:kinsoku/>
        <w:wordWrap/>
        <w:overflowPunct/>
        <w:topLinePunct w:val="0"/>
        <w:autoSpaceDE/>
        <w:autoSpaceDN/>
        <w:bidi w:val="0"/>
        <w:adjustRightInd/>
        <w:snapToGrid/>
        <w:spacing w:line="480" w:lineRule="exact"/>
        <w:ind w:leftChars="200"/>
        <w:textAlignment w:val="auto"/>
        <w:rPr>
          <w:rStyle w:val="21"/>
          <w:rFonts w:hint="eastAsia" w:ascii="仿宋" w:hAnsi="仿宋" w:eastAsia="仿宋" w:cs="仿宋"/>
          <w:b w:val="0"/>
          <w:bCs/>
          <w:spacing w:val="-4"/>
          <w:sz w:val="28"/>
          <w:szCs w:val="28"/>
          <w:lang w:val="en-US" w:eastAsia="zh-CN"/>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1</w:t>
      </w:r>
      <w:r>
        <w:rPr>
          <w:rFonts w:hint="eastAsia" w:ascii="仿宋" w:hAnsi="仿宋" w:eastAsia="仿宋" w:cs="仿宋"/>
          <w:sz w:val="28"/>
          <w:szCs w:val="28"/>
          <w:highlight w:val="none"/>
          <w:lang w:eastAsia="zh-CN"/>
        </w:rPr>
        <w:t>）</w:t>
      </w:r>
      <w:r>
        <w:rPr>
          <w:rStyle w:val="21"/>
          <w:rFonts w:hint="eastAsia" w:ascii="仿宋" w:hAnsi="仿宋" w:eastAsia="仿宋" w:cs="仿宋"/>
          <w:b w:val="0"/>
          <w:bCs/>
          <w:spacing w:val="-4"/>
          <w:sz w:val="28"/>
          <w:szCs w:val="28"/>
        </w:rPr>
        <w:t>项目产出目标</w:t>
      </w:r>
    </w:p>
    <w:p>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b w:val="0"/>
          <w:bCs/>
          <w:color w:val="000000" w:themeColor="text1"/>
          <w:sz w:val="28"/>
          <w:szCs w:val="28"/>
          <w:highlight w:val="none"/>
          <w:u w:val="none"/>
          <w:lang w:eastAsia="zh-CN"/>
          <w14:textFill>
            <w14:solidFill>
              <w14:schemeClr w14:val="tx1"/>
            </w14:solidFill>
          </w14:textFill>
        </w:rPr>
      </w:pPr>
      <w:r>
        <w:rPr>
          <w:rFonts w:hint="eastAsia" w:ascii="仿宋" w:hAnsi="仿宋" w:eastAsia="仿宋" w:cs="仿宋"/>
          <w:b w:val="0"/>
          <w:bCs/>
          <w:color w:val="000000" w:themeColor="text1"/>
          <w:sz w:val="28"/>
          <w:szCs w:val="28"/>
          <w:highlight w:val="none"/>
          <w:u w:val="none"/>
          <w:lang w:eastAsia="zh-CN"/>
          <w14:textFill>
            <w14:solidFill>
              <w14:schemeClr w14:val="tx1"/>
            </w14:solidFill>
          </w14:textFill>
        </w:rPr>
        <w:t>①数量指标</w:t>
      </w:r>
    </w:p>
    <w:p>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outlineLvl w:val="0"/>
        <w:rPr>
          <w:rFonts w:hint="eastAsia" w:ascii="仿宋" w:hAnsi="仿宋" w:eastAsia="仿宋" w:cs="仿宋"/>
          <w:color w:val="auto"/>
          <w:sz w:val="28"/>
          <w:szCs w:val="28"/>
        </w:rPr>
      </w:pPr>
      <w:r>
        <w:rPr>
          <w:rFonts w:hint="eastAsia" w:ascii="仿宋" w:hAnsi="仿宋" w:eastAsia="仿宋" w:cs="仿宋"/>
          <w:b w:val="0"/>
          <w:bCs/>
          <w:color w:val="auto"/>
          <w:sz w:val="28"/>
          <w:szCs w:val="28"/>
          <w:highlight w:val="none"/>
          <w:u w:val="none"/>
          <w:lang w:val="en-US" w:eastAsia="zh-CN"/>
        </w:rPr>
        <w:t>“</w:t>
      </w:r>
      <w:r>
        <w:rPr>
          <w:rFonts w:hint="eastAsia" w:ascii="仿宋" w:hAnsi="仿宋" w:eastAsia="仿宋" w:cs="仿宋"/>
          <w:color w:val="auto"/>
          <w:sz w:val="28"/>
          <w:szCs w:val="28"/>
          <w:lang w:val="en-US" w:eastAsia="zh-CN"/>
        </w:rPr>
        <w:t>完成建设用地地质灾害危险性评估项目</w:t>
      </w:r>
      <w:r>
        <w:rPr>
          <w:rFonts w:hint="eastAsia" w:ascii="仿宋" w:hAnsi="仿宋" w:eastAsia="仿宋" w:cs="仿宋"/>
          <w:color w:val="auto"/>
          <w:sz w:val="28"/>
          <w:szCs w:val="28"/>
          <w:highlight w:val="none"/>
          <w:lang w:eastAsia="zh-CN"/>
        </w:rPr>
        <w:t>”指标，预期指标值为≥</w:t>
      </w:r>
      <w:r>
        <w:rPr>
          <w:rFonts w:hint="eastAsia" w:ascii="仿宋" w:hAnsi="仿宋" w:eastAsia="仿宋" w:cs="仿宋"/>
          <w:color w:val="auto"/>
          <w:sz w:val="28"/>
          <w:szCs w:val="28"/>
          <w:lang w:val="en-US" w:eastAsia="zh-CN"/>
        </w:rPr>
        <w:t>10个；</w:t>
      </w:r>
    </w:p>
    <w:p>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outlineLvl w:val="0"/>
        <w:rPr>
          <w:rFonts w:hint="eastAsia" w:ascii="仿宋" w:hAnsi="仿宋" w:eastAsia="仿宋" w:cs="仿宋"/>
          <w:color w:val="auto"/>
          <w:sz w:val="28"/>
          <w:szCs w:val="28"/>
          <w:lang w:eastAsia="zh-CN"/>
        </w:rPr>
      </w:pPr>
      <w:r>
        <w:rPr>
          <w:rFonts w:hint="eastAsia" w:ascii="仿宋" w:hAnsi="仿宋" w:eastAsia="仿宋" w:cs="仿宋"/>
          <w:b w:val="0"/>
          <w:bCs/>
          <w:color w:val="auto"/>
          <w:sz w:val="28"/>
          <w:szCs w:val="28"/>
          <w:highlight w:val="none"/>
          <w:u w:val="none"/>
          <w:lang w:val="en-US" w:eastAsia="zh-CN"/>
        </w:rPr>
        <w:t>“</w:t>
      </w:r>
      <w:r>
        <w:rPr>
          <w:rFonts w:hint="eastAsia" w:ascii="仿宋" w:hAnsi="仿宋" w:eastAsia="仿宋" w:cs="仿宋"/>
          <w:color w:val="auto"/>
          <w:sz w:val="28"/>
          <w:szCs w:val="28"/>
          <w:lang w:val="en-US" w:eastAsia="zh-CN"/>
        </w:rPr>
        <w:t>完成监理项目</w:t>
      </w:r>
      <w:r>
        <w:rPr>
          <w:rFonts w:hint="eastAsia" w:ascii="仿宋" w:hAnsi="仿宋" w:eastAsia="仿宋" w:cs="仿宋"/>
          <w:color w:val="auto"/>
          <w:sz w:val="28"/>
          <w:szCs w:val="28"/>
          <w:highlight w:val="none"/>
          <w:lang w:eastAsia="zh-CN"/>
        </w:rPr>
        <w:t>”指标，预期指标值为≥</w:t>
      </w:r>
      <w:r>
        <w:rPr>
          <w:rFonts w:hint="eastAsia" w:ascii="仿宋" w:hAnsi="仿宋" w:eastAsia="仿宋" w:cs="仿宋"/>
          <w:color w:val="auto"/>
          <w:sz w:val="28"/>
          <w:szCs w:val="28"/>
          <w:lang w:val="en-US" w:eastAsia="zh-CN"/>
        </w:rPr>
        <w:t>13个；</w:t>
      </w:r>
    </w:p>
    <w:p>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outlineLvl w:val="0"/>
        <w:rPr>
          <w:rFonts w:hint="eastAsia" w:ascii="仿宋" w:hAnsi="仿宋" w:eastAsia="仿宋" w:cs="仿宋"/>
          <w:color w:val="auto"/>
          <w:sz w:val="28"/>
          <w:szCs w:val="28"/>
          <w:lang w:val="en-US" w:eastAsia="zh-CN"/>
        </w:rPr>
      </w:pPr>
      <w:r>
        <w:rPr>
          <w:rFonts w:hint="eastAsia" w:ascii="仿宋" w:hAnsi="仿宋" w:eastAsia="仿宋" w:cs="仿宋"/>
          <w:b w:val="0"/>
          <w:bCs/>
          <w:color w:val="auto"/>
          <w:sz w:val="28"/>
          <w:szCs w:val="28"/>
          <w:highlight w:val="none"/>
          <w:u w:val="none"/>
          <w:lang w:val="en-US" w:eastAsia="zh-CN"/>
        </w:rPr>
        <w:t>“</w:t>
      </w:r>
      <w:r>
        <w:rPr>
          <w:rFonts w:hint="eastAsia" w:ascii="仿宋" w:hAnsi="仿宋" w:eastAsia="仿宋" w:cs="仿宋"/>
          <w:b w:val="0"/>
          <w:bCs w:val="0"/>
          <w:color w:val="auto"/>
          <w:kern w:val="2"/>
          <w:sz w:val="28"/>
          <w:szCs w:val="28"/>
          <w:lang w:val="en-US" w:eastAsia="zh-CN" w:bidi="ar-SA"/>
        </w:rPr>
        <w:t>完成地下水监测设备校核；</w:t>
      </w:r>
      <w:r>
        <w:rPr>
          <w:rFonts w:hint="eastAsia" w:ascii="仿宋" w:hAnsi="仿宋" w:eastAsia="仿宋" w:cs="仿宋"/>
          <w:color w:val="auto"/>
          <w:sz w:val="28"/>
          <w:szCs w:val="28"/>
          <w:highlight w:val="none"/>
          <w:lang w:eastAsia="zh-CN"/>
        </w:rPr>
        <w:t>”指标，预期指标值为≥</w:t>
      </w:r>
      <w:r>
        <w:rPr>
          <w:rFonts w:hint="eastAsia" w:ascii="仿宋" w:hAnsi="仿宋" w:eastAsia="仿宋" w:cs="仿宋"/>
          <w:b w:val="0"/>
          <w:bCs w:val="0"/>
          <w:color w:val="auto"/>
          <w:kern w:val="2"/>
          <w:sz w:val="28"/>
          <w:szCs w:val="28"/>
          <w:lang w:val="en-US" w:eastAsia="zh-CN" w:bidi="ar-SA"/>
        </w:rPr>
        <w:t>410组；</w:t>
      </w:r>
    </w:p>
    <w:p>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outlineLvl w:val="0"/>
        <w:rPr>
          <w:rFonts w:hint="eastAsia" w:ascii="仿宋" w:hAnsi="仿宋" w:eastAsia="仿宋" w:cs="仿宋"/>
          <w:color w:val="auto"/>
          <w:sz w:val="28"/>
          <w:szCs w:val="28"/>
          <w:lang w:val="en-US" w:eastAsia="zh-CN"/>
        </w:rPr>
      </w:pPr>
      <w:r>
        <w:rPr>
          <w:rFonts w:hint="eastAsia" w:ascii="仿宋" w:hAnsi="仿宋" w:eastAsia="仿宋" w:cs="仿宋"/>
          <w:b w:val="0"/>
          <w:bCs/>
          <w:color w:val="auto"/>
          <w:sz w:val="28"/>
          <w:szCs w:val="28"/>
          <w:highlight w:val="none"/>
          <w:u w:val="none"/>
          <w:lang w:val="en-US" w:eastAsia="zh-CN"/>
        </w:rPr>
        <w:t>“</w:t>
      </w:r>
      <w:r>
        <w:rPr>
          <w:rFonts w:hint="eastAsia" w:ascii="仿宋" w:hAnsi="仿宋" w:eastAsia="仿宋" w:cs="仿宋"/>
          <w:b w:val="0"/>
          <w:bCs w:val="0"/>
          <w:color w:val="auto"/>
          <w:kern w:val="2"/>
          <w:sz w:val="28"/>
          <w:szCs w:val="28"/>
          <w:lang w:val="en-US" w:eastAsia="zh-CN" w:bidi="ar-SA"/>
        </w:rPr>
        <w:t>完成监测井井深测量</w:t>
      </w:r>
      <w:r>
        <w:rPr>
          <w:rFonts w:hint="eastAsia" w:ascii="仿宋" w:hAnsi="仿宋" w:eastAsia="仿宋" w:cs="仿宋"/>
          <w:color w:val="auto"/>
          <w:sz w:val="28"/>
          <w:szCs w:val="28"/>
          <w:highlight w:val="none"/>
          <w:lang w:eastAsia="zh-CN"/>
        </w:rPr>
        <w:t>”指标，预期指标值为</w:t>
      </w:r>
      <w:r>
        <w:rPr>
          <w:rFonts w:hint="eastAsia" w:ascii="仿宋" w:hAnsi="仿宋" w:eastAsia="仿宋" w:cs="仿宋"/>
          <w:b w:val="0"/>
          <w:bCs w:val="0"/>
          <w:color w:val="auto"/>
          <w:kern w:val="2"/>
          <w:sz w:val="28"/>
          <w:szCs w:val="28"/>
          <w:lang w:val="en-US" w:eastAsia="zh-CN" w:bidi="ar-SA"/>
        </w:rPr>
        <w:t>≥400个；</w:t>
      </w:r>
    </w:p>
    <w:p>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outlineLvl w:val="0"/>
        <w:rPr>
          <w:rFonts w:hint="eastAsia" w:ascii="仿宋" w:hAnsi="仿宋" w:eastAsia="仿宋" w:cs="仿宋"/>
          <w:color w:val="auto"/>
          <w:sz w:val="28"/>
          <w:szCs w:val="28"/>
          <w:lang w:eastAsia="zh-CN"/>
        </w:rPr>
      </w:pPr>
      <w:r>
        <w:rPr>
          <w:rFonts w:hint="eastAsia" w:ascii="仿宋" w:hAnsi="仿宋" w:eastAsia="仿宋" w:cs="仿宋"/>
          <w:b w:val="0"/>
          <w:bCs/>
          <w:color w:val="auto"/>
          <w:sz w:val="28"/>
          <w:szCs w:val="28"/>
          <w:highlight w:val="none"/>
          <w:u w:val="none"/>
          <w:lang w:val="en-US" w:eastAsia="zh-CN"/>
        </w:rPr>
        <w:t>“</w:t>
      </w:r>
      <w:r>
        <w:rPr>
          <w:rFonts w:hint="eastAsia" w:ascii="仿宋" w:hAnsi="仿宋" w:eastAsia="仿宋" w:cs="仿宋"/>
          <w:color w:val="auto"/>
          <w:sz w:val="28"/>
          <w:szCs w:val="28"/>
          <w:lang w:val="en-US" w:eastAsia="zh-CN"/>
        </w:rPr>
        <w:t>完成监测站点辅助设施养护维修</w:t>
      </w:r>
      <w:r>
        <w:rPr>
          <w:rFonts w:hint="eastAsia" w:ascii="仿宋" w:hAnsi="仿宋" w:eastAsia="仿宋" w:cs="仿宋"/>
          <w:color w:val="auto"/>
          <w:sz w:val="28"/>
          <w:szCs w:val="28"/>
          <w:highlight w:val="none"/>
          <w:lang w:eastAsia="zh-CN"/>
        </w:rPr>
        <w:t>”指标，预期指标值为≥</w:t>
      </w:r>
      <w:r>
        <w:rPr>
          <w:rFonts w:hint="eastAsia" w:ascii="仿宋" w:hAnsi="仿宋" w:eastAsia="仿宋" w:cs="仿宋"/>
          <w:color w:val="auto"/>
          <w:sz w:val="28"/>
          <w:szCs w:val="28"/>
          <w:lang w:val="en-US" w:eastAsia="zh-CN"/>
        </w:rPr>
        <w:t>410个。</w:t>
      </w:r>
    </w:p>
    <w:p>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b w:val="0"/>
          <w:bCs/>
          <w:color w:val="auto"/>
          <w:sz w:val="28"/>
          <w:szCs w:val="28"/>
          <w:highlight w:val="none"/>
          <w:u w:val="none"/>
          <w:lang w:eastAsia="zh-CN"/>
        </w:rPr>
      </w:pPr>
      <w:r>
        <w:rPr>
          <w:rFonts w:hint="eastAsia" w:ascii="仿宋" w:hAnsi="仿宋" w:eastAsia="仿宋" w:cs="仿宋"/>
          <w:b w:val="0"/>
          <w:bCs/>
          <w:color w:val="auto"/>
          <w:sz w:val="28"/>
          <w:szCs w:val="28"/>
          <w:highlight w:val="none"/>
          <w:u w:val="none"/>
          <w:lang w:eastAsia="zh-CN"/>
        </w:rPr>
        <w:t>②质量指标</w:t>
      </w:r>
    </w:p>
    <w:p>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b w:val="0"/>
          <w:bCs/>
          <w:color w:val="auto"/>
          <w:sz w:val="28"/>
          <w:szCs w:val="28"/>
          <w:highlight w:val="none"/>
          <w:u w:val="none"/>
          <w:lang w:val="en-US" w:eastAsia="zh-CN"/>
        </w:rPr>
      </w:pPr>
      <w:r>
        <w:rPr>
          <w:rFonts w:hint="eastAsia" w:ascii="仿宋" w:hAnsi="仿宋" w:eastAsia="仿宋" w:cs="仿宋"/>
          <w:b w:val="0"/>
          <w:bCs/>
          <w:color w:val="auto"/>
          <w:sz w:val="28"/>
          <w:szCs w:val="28"/>
          <w:highlight w:val="none"/>
          <w:u w:val="none"/>
          <w:lang w:val="en-US" w:eastAsia="zh-CN"/>
        </w:rPr>
        <w:t>“地下水监测数据传输故障率</w:t>
      </w:r>
      <w:r>
        <w:rPr>
          <w:rFonts w:hint="eastAsia" w:ascii="仿宋" w:hAnsi="仿宋" w:eastAsia="仿宋" w:cs="仿宋"/>
          <w:color w:val="auto"/>
          <w:sz w:val="28"/>
          <w:szCs w:val="28"/>
          <w:highlight w:val="none"/>
          <w:lang w:eastAsia="zh-CN"/>
        </w:rPr>
        <w:t>”指标，预期指标值为</w:t>
      </w:r>
      <w:r>
        <w:rPr>
          <w:rFonts w:hint="eastAsia" w:ascii="仿宋" w:hAnsi="仿宋" w:eastAsia="仿宋" w:cs="仿宋"/>
          <w:b w:val="0"/>
          <w:bCs/>
          <w:color w:val="auto"/>
          <w:sz w:val="28"/>
          <w:szCs w:val="28"/>
          <w:highlight w:val="none"/>
          <w:u w:val="none"/>
          <w:lang w:val="en-US" w:eastAsia="zh-CN"/>
        </w:rPr>
        <w:t>≤10%；</w:t>
      </w:r>
    </w:p>
    <w:p>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b w:val="0"/>
          <w:bCs/>
          <w:color w:val="auto"/>
          <w:sz w:val="28"/>
          <w:szCs w:val="28"/>
          <w:highlight w:val="none"/>
          <w:u w:val="none"/>
          <w:lang w:val="en-US" w:eastAsia="zh-CN"/>
        </w:rPr>
      </w:pPr>
      <w:r>
        <w:rPr>
          <w:rFonts w:hint="eastAsia" w:ascii="仿宋" w:hAnsi="仿宋" w:eastAsia="仿宋" w:cs="仿宋"/>
          <w:b w:val="0"/>
          <w:bCs/>
          <w:color w:val="auto"/>
          <w:sz w:val="28"/>
          <w:szCs w:val="28"/>
          <w:highlight w:val="none"/>
          <w:u w:val="none"/>
          <w:lang w:val="en-US" w:eastAsia="zh-CN"/>
        </w:rPr>
        <w:t>“工作成果质量合格率</w:t>
      </w:r>
      <w:r>
        <w:rPr>
          <w:rFonts w:hint="eastAsia" w:ascii="仿宋" w:hAnsi="仿宋" w:eastAsia="仿宋" w:cs="仿宋"/>
          <w:color w:val="auto"/>
          <w:sz w:val="28"/>
          <w:szCs w:val="28"/>
          <w:highlight w:val="none"/>
          <w:lang w:eastAsia="zh-CN"/>
        </w:rPr>
        <w:t>”指标，预期指标值为</w:t>
      </w:r>
      <w:r>
        <w:rPr>
          <w:rFonts w:hint="eastAsia" w:ascii="仿宋" w:hAnsi="仿宋" w:eastAsia="仿宋" w:cs="仿宋"/>
          <w:color w:val="auto"/>
          <w:sz w:val="28"/>
          <w:szCs w:val="28"/>
          <w:highlight w:val="none"/>
          <w:lang w:val="en-US" w:eastAsia="zh-CN"/>
        </w:rPr>
        <w:t>=</w:t>
      </w:r>
      <w:r>
        <w:rPr>
          <w:rFonts w:hint="eastAsia" w:ascii="仿宋" w:hAnsi="仿宋" w:eastAsia="仿宋" w:cs="仿宋"/>
          <w:b w:val="0"/>
          <w:bCs/>
          <w:color w:val="auto"/>
          <w:sz w:val="28"/>
          <w:szCs w:val="28"/>
          <w:highlight w:val="none"/>
          <w:u w:val="none"/>
          <w:lang w:val="en-US" w:eastAsia="zh-CN"/>
        </w:rPr>
        <w:t>100%；</w:t>
      </w:r>
    </w:p>
    <w:p>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b w:val="0"/>
          <w:bCs/>
          <w:color w:val="auto"/>
          <w:sz w:val="28"/>
          <w:szCs w:val="28"/>
          <w:highlight w:val="none"/>
          <w:u w:val="none"/>
          <w:lang w:val="en-US" w:eastAsia="zh-CN"/>
        </w:rPr>
      </w:pPr>
      <w:r>
        <w:rPr>
          <w:rFonts w:hint="eastAsia" w:ascii="仿宋" w:hAnsi="仿宋" w:eastAsia="仿宋" w:cs="仿宋"/>
          <w:b w:val="0"/>
          <w:bCs/>
          <w:color w:val="auto"/>
          <w:sz w:val="28"/>
          <w:szCs w:val="28"/>
          <w:highlight w:val="none"/>
          <w:u w:val="none"/>
          <w:lang w:val="en-US" w:eastAsia="zh-CN"/>
        </w:rPr>
        <w:t>“监测井运行维护合格率，</w:t>
      </w:r>
      <w:r>
        <w:rPr>
          <w:rFonts w:hint="eastAsia" w:ascii="仿宋" w:hAnsi="仿宋" w:eastAsia="仿宋" w:cs="仿宋"/>
          <w:color w:val="auto"/>
          <w:sz w:val="28"/>
          <w:szCs w:val="28"/>
          <w:highlight w:val="none"/>
          <w:lang w:eastAsia="zh-CN"/>
        </w:rPr>
        <w:t>”指标，预期指标值为</w:t>
      </w:r>
      <w:r>
        <w:rPr>
          <w:rFonts w:hint="eastAsia" w:ascii="仿宋" w:hAnsi="仿宋" w:eastAsia="仿宋" w:cs="仿宋"/>
          <w:color w:val="auto"/>
          <w:sz w:val="28"/>
          <w:szCs w:val="28"/>
          <w:highlight w:val="none"/>
          <w:lang w:val="en-US" w:eastAsia="zh-CN"/>
        </w:rPr>
        <w:t>=</w:t>
      </w:r>
      <w:r>
        <w:rPr>
          <w:rFonts w:hint="eastAsia" w:ascii="仿宋" w:hAnsi="仿宋" w:eastAsia="仿宋" w:cs="仿宋"/>
          <w:b w:val="0"/>
          <w:bCs/>
          <w:color w:val="auto"/>
          <w:sz w:val="28"/>
          <w:szCs w:val="28"/>
          <w:highlight w:val="none"/>
          <w:u w:val="none"/>
          <w:lang w:val="en-US" w:eastAsia="zh-CN"/>
        </w:rPr>
        <w:t>100%；</w:t>
      </w:r>
    </w:p>
    <w:p>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b w:val="0"/>
          <w:bCs/>
          <w:color w:val="auto"/>
          <w:sz w:val="28"/>
          <w:szCs w:val="28"/>
          <w:highlight w:val="none"/>
          <w:u w:val="none"/>
          <w:lang w:val="en-US" w:eastAsia="zh-CN"/>
        </w:rPr>
      </w:pPr>
      <w:r>
        <w:rPr>
          <w:rFonts w:hint="eastAsia" w:ascii="仿宋" w:hAnsi="仿宋" w:eastAsia="仿宋" w:cs="仿宋"/>
          <w:b w:val="0"/>
          <w:bCs/>
          <w:color w:val="auto"/>
          <w:sz w:val="28"/>
          <w:szCs w:val="28"/>
          <w:highlight w:val="none"/>
          <w:u w:val="none"/>
          <w:lang w:val="en-US" w:eastAsia="zh-CN"/>
        </w:rPr>
        <w:t>“地下水均衡试验场运行故障率</w:t>
      </w:r>
      <w:r>
        <w:rPr>
          <w:rFonts w:hint="eastAsia" w:ascii="仿宋" w:hAnsi="仿宋" w:eastAsia="仿宋" w:cs="仿宋"/>
          <w:color w:val="auto"/>
          <w:sz w:val="28"/>
          <w:szCs w:val="28"/>
          <w:highlight w:val="none"/>
          <w:lang w:eastAsia="zh-CN"/>
        </w:rPr>
        <w:t>”指标，预期指标值为</w:t>
      </w:r>
      <w:r>
        <w:rPr>
          <w:rFonts w:hint="eastAsia" w:ascii="仿宋" w:hAnsi="仿宋" w:eastAsia="仿宋" w:cs="仿宋"/>
          <w:b w:val="0"/>
          <w:bCs/>
          <w:color w:val="auto"/>
          <w:sz w:val="28"/>
          <w:szCs w:val="28"/>
          <w:highlight w:val="none"/>
          <w:u w:val="none"/>
          <w:lang w:val="en-US" w:eastAsia="zh-CN"/>
        </w:rPr>
        <w:t>≤20%。</w:t>
      </w:r>
    </w:p>
    <w:p>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b w:val="0"/>
          <w:bCs/>
          <w:color w:val="auto"/>
          <w:kern w:val="2"/>
          <w:sz w:val="28"/>
          <w:szCs w:val="28"/>
          <w:highlight w:val="none"/>
          <w:u w:val="none"/>
          <w:lang w:val="en-US" w:eastAsia="zh-CN"/>
        </w:rPr>
      </w:pPr>
      <w:r>
        <w:rPr>
          <w:rFonts w:hint="eastAsia" w:ascii="仿宋" w:hAnsi="仿宋" w:eastAsia="仿宋" w:cs="仿宋"/>
          <w:b w:val="0"/>
          <w:bCs/>
          <w:color w:val="auto"/>
          <w:kern w:val="2"/>
          <w:sz w:val="28"/>
          <w:szCs w:val="28"/>
          <w:highlight w:val="none"/>
          <w:u w:val="none"/>
          <w:lang w:val="en-US" w:eastAsia="zh-CN"/>
        </w:rPr>
        <w:t>③成本指标</w:t>
      </w:r>
    </w:p>
    <w:p>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b w:val="0"/>
          <w:bCs/>
          <w:color w:val="auto"/>
          <w:kern w:val="2"/>
          <w:sz w:val="28"/>
          <w:szCs w:val="28"/>
          <w:highlight w:val="none"/>
          <w:u w:val="none"/>
          <w:lang w:val="en-US" w:eastAsia="zh-CN"/>
        </w:rPr>
      </w:pPr>
      <w:r>
        <w:rPr>
          <w:rFonts w:hint="eastAsia" w:ascii="仿宋" w:hAnsi="仿宋" w:eastAsia="仿宋" w:cs="仿宋"/>
          <w:b w:val="0"/>
          <w:bCs/>
          <w:color w:val="auto"/>
          <w:sz w:val="28"/>
          <w:szCs w:val="28"/>
          <w:highlight w:val="none"/>
          <w:u w:val="none"/>
          <w:lang w:val="en-US" w:eastAsia="zh-CN"/>
        </w:rPr>
        <w:t>“</w:t>
      </w:r>
      <w:r>
        <w:rPr>
          <w:rFonts w:hint="eastAsia" w:ascii="仿宋" w:hAnsi="仿宋" w:eastAsia="仿宋" w:cs="仿宋"/>
          <w:b w:val="0"/>
          <w:bCs/>
          <w:color w:val="auto"/>
          <w:kern w:val="2"/>
          <w:sz w:val="28"/>
          <w:szCs w:val="28"/>
          <w:highlight w:val="none"/>
          <w:u w:val="none"/>
          <w:lang w:val="en-US" w:eastAsia="zh-CN"/>
        </w:rPr>
        <w:t>建设用地地质灾害危险性评估项目经费</w:t>
      </w:r>
      <w:r>
        <w:rPr>
          <w:rFonts w:hint="eastAsia" w:ascii="仿宋" w:hAnsi="仿宋" w:eastAsia="仿宋" w:cs="仿宋"/>
          <w:color w:val="auto"/>
          <w:sz w:val="28"/>
          <w:szCs w:val="28"/>
          <w:highlight w:val="none"/>
          <w:lang w:eastAsia="zh-CN"/>
        </w:rPr>
        <w:t>”指标，预期指标值为</w:t>
      </w:r>
      <w:r>
        <w:rPr>
          <w:rFonts w:hint="eastAsia" w:ascii="仿宋" w:hAnsi="仿宋" w:eastAsia="仿宋" w:cs="仿宋"/>
          <w:b w:val="0"/>
          <w:bCs/>
          <w:color w:val="auto"/>
          <w:kern w:val="2"/>
          <w:sz w:val="28"/>
          <w:szCs w:val="28"/>
          <w:highlight w:val="none"/>
          <w:u w:val="none"/>
          <w:lang w:val="en-US" w:eastAsia="zh-CN"/>
        </w:rPr>
        <w:t>≤185万元；</w:t>
      </w:r>
    </w:p>
    <w:p>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b w:val="0"/>
          <w:bCs/>
          <w:color w:val="auto"/>
          <w:kern w:val="2"/>
          <w:sz w:val="28"/>
          <w:szCs w:val="28"/>
          <w:highlight w:val="none"/>
          <w:u w:val="none"/>
          <w:lang w:val="en-US" w:eastAsia="zh-CN"/>
        </w:rPr>
      </w:pPr>
      <w:r>
        <w:rPr>
          <w:rFonts w:hint="eastAsia" w:ascii="仿宋" w:hAnsi="仿宋" w:eastAsia="仿宋" w:cs="仿宋"/>
          <w:b w:val="0"/>
          <w:bCs/>
          <w:color w:val="auto"/>
          <w:sz w:val="28"/>
          <w:szCs w:val="28"/>
          <w:highlight w:val="none"/>
          <w:u w:val="none"/>
          <w:lang w:val="en-US" w:eastAsia="zh-CN"/>
        </w:rPr>
        <w:t>“</w:t>
      </w:r>
      <w:r>
        <w:rPr>
          <w:rFonts w:hint="eastAsia" w:ascii="仿宋" w:hAnsi="仿宋" w:eastAsia="仿宋" w:cs="仿宋"/>
          <w:b w:val="0"/>
          <w:bCs/>
          <w:color w:val="auto"/>
          <w:kern w:val="2"/>
          <w:sz w:val="28"/>
          <w:szCs w:val="28"/>
          <w:highlight w:val="none"/>
          <w:u w:val="none"/>
          <w:lang w:val="en-US" w:eastAsia="zh-CN"/>
        </w:rPr>
        <w:t>项目监理费</w:t>
      </w:r>
      <w:r>
        <w:rPr>
          <w:rFonts w:hint="eastAsia" w:ascii="仿宋" w:hAnsi="仿宋" w:eastAsia="仿宋" w:cs="仿宋"/>
          <w:color w:val="auto"/>
          <w:sz w:val="28"/>
          <w:szCs w:val="28"/>
          <w:highlight w:val="none"/>
          <w:lang w:eastAsia="zh-CN"/>
        </w:rPr>
        <w:t>”指标，预期指标值为</w:t>
      </w:r>
      <w:r>
        <w:rPr>
          <w:rFonts w:hint="eastAsia" w:ascii="仿宋" w:hAnsi="仿宋" w:eastAsia="仿宋" w:cs="仿宋"/>
          <w:b w:val="0"/>
          <w:bCs/>
          <w:color w:val="auto"/>
          <w:kern w:val="2"/>
          <w:sz w:val="28"/>
          <w:szCs w:val="28"/>
          <w:highlight w:val="none"/>
          <w:u w:val="none"/>
          <w:lang w:val="en-US" w:eastAsia="zh-CN"/>
        </w:rPr>
        <w:t>≤150万元；</w:t>
      </w:r>
    </w:p>
    <w:p>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b w:val="0"/>
          <w:bCs/>
          <w:color w:val="auto"/>
          <w:kern w:val="2"/>
          <w:sz w:val="28"/>
          <w:szCs w:val="28"/>
          <w:highlight w:val="none"/>
          <w:u w:val="none"/>
          <w:lang w:val="en-US" w:eastAsia="zh-CN"/>
        </w:rPr>
      </w:pPr>
      <w:r>
        <w:rPr>
          <w:rFonts w:hint="eastAsia" w:ascii="仿宋" w:hAnsi="仿宋" w:eastAsia="仿宋" w:cs="仿宋"/>
          <w:b w:val="0"/>
          <w:bCs/>
          <w:color w:val="auto"/>
          <w:sz w:val="28"/>
          <w:szCs w:val="28"/>
          <w:highlight w:val="none"/>
          <w:u w:val="none"/>
          <w:lang w:val="en-US" w:eastAsia="zh-CN"/>
        </w:rPr>
        <w:t>“</w:t>
      </w:r>
      <w:r>
        <w:rPr>
          <w:rFonts w:hint="eastAsia" w:ascii="仿宋" w:hAnsi="仿宋" w:eastAsia="仿宋" w:cs="仿宋"/>
          <w:b w:val="0"/>
          <w:bCs/>
          <w:color w:val="auto"/>
          <w:kern w:val="2"/>
          <w:sz w:val="28"/>
          <w:szCs w:val="28"/>
          <w:highlight w:val="none"/>
          <w:u w:val="none"/>
          <w:lang w:val="en-US" w:eastAsia="zh-CN"/>
        </w:rPr>
        <w:t>完成地下水监测站点运行维护工作经费</w:t>
      </w:r>
      <w:r>
        <w:rPr>
          <w:rFonts w:hint="eastAsia" w:ascii="仿宋" w:hAnsi="仿宋" w:eastAsia="仿宋" w:cs="仿宋"/>
          <w:color w:val="auto"/>
          <w:sz w:val="28"/>
          <w:szCs w:val="28"/>
          <w:highlight w:val="none"/>
          <w:lang w:eastAsia="zh-CN"/>
        </w:rPr>
        <w:t>”指标，预期指标值为</w:t>
      </w:r>
      <w:r>
        <w:rPr>
          <w:rFonts w:hint="eastAsia" w:ascii="仿宋" w:hAnsi="仿宋" w:eastAsia="仿宋" w:cs="仿宋"/>
          <w:b w:val="0"/>
          <w:bCs/>
          <w:color w:val="auto"/>
          <w:kern w:val="2"/>
          <w:sz w:val="28"/>
          <w:szCs w:val="28"/>
          <w:highlight w:val="none"/>
          <w:u w:val="none"/>
          <w:lang w:val="en-US" w:eastAsia="zh-CN"/>
        </w:rPr>
        <w:t>≤0.46万元/个。</w:t>
      </w:r>
    </w:p>
    <w:p>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b w:val="0"/>
          <w:bCs/>
          <w:color w:val="auto"/>
          <w:kern w:val="2"/>
          <w:sz w:val="28"/>
          <w:szCs w:val="28"/>
          <w:highlight w:val="none"/>
          <w:u w:val="none"/>
          <w:lang w:val="en-US" w:eastAsia="zh-CN"/>
        </w:rPr>
      </w:pPr>
      <w:r>
        <w:rPr>
          <w:rFonts w:hint="eastAsia" w:ascii="仿宋" w:hAnsi="仿宋" w:eastAsia="仿宋" w:cs="仿宋"/>
          <w:b w:val="0"/>
          <w:bCs/>
          <w:color w:val="auto"/>
          <w:kern w:val="2"/>
          <w:sz w:val="28"/>
          <w:szCs w:val="28"/>
          <w:highlight w:val="none"/>
          <w:u w:val="none"/>
          <w:lang w:val="en-US" w:eastAsia="zh-CN"/>
        </w:rPr>
        <w:t>（2）项目效益目标</w:t>
      </w:r>
    </w:p>
    <w:p>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b w:val="0"/>
          <w:bCs/>
          <w:color w:val="auto"/>
          <w:kern w:val="2"/>
          <w:sz w:val="28"/>
          <w:szCs w:val="28"/>
          <w:highlight w:val="none"/>
          <w:u w:val="none"/>
          <w:lang w:val="en-US" w:eastAsia="zh-CN"/>
        </w:rPr>
      </w:pPr>
      <w:r>
        <w:rPr>
          <w:rFonts w:hint="eastAsia" w:ascii="仿宋" w:hAnsi="仿宋" w:eastAsia="仿宋" w:cs="仿宋"/>
          <w:b w:val="0"/>
          <w:bCs/>
          <w:color w:val="auto"/>
          <w:kern w:val="2"/>
          <w:sz w:val="28"/>
          <w:szCs w:val="28"/>
          <w:highlight w:val="none"/>
          <w:u w:val="none"/>
          <w:lang w:val="en-US" w:eastAsia="zh-CN"/>
        </w:rPr>
        <w:t>①社会效益指标</w:t>
      </w:r>
    </w:p>
    <w:p>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b w:val="0"/>
          <w:bCs/>
          <w:color w:val="auto"/>
          <w:kern w:val="2"/>
          <w:sz w:val="28"/>
          <w:szCs w:val="28"/>
          <w:highlight w:val="none"/>
          <w:u w:val="none"/>
          <w:lang w:val="en-US" w:eastAsia="zh-CN"/>
        </w:rPr>
      </w:pPr>
      <w:r>
        <w:rPr>
          <w:rFonts w:hint="eastAsia" w:ascii="仿宋" w:hAnsi="仿宋" w:eastAsia="仿宋" w:cs="仿宋"/>
          <w:b w:val="0"/>
          <w:bCs/>
          <w:color w:val="auto"/>
          <w:sz w:val="28"/>
          <w:szCs w:val="28"/>
          <w:highlight w:val="none"/>
          <w:u w:val="none"/>
          <w:lang w:val="en-US" w:eastAsia="zh-CN"/>
        </w:rPr>
        <w:t>“</w:t>
      </w:r>
      <w:r>
        <w:rPr>
          <w:rFonts w:hint="eastAsia" w:ascii="仿宋" w:hAnsi="仿宋" w:eastAsia="仿宋" w:cs="仿宋"/>
          <w:b w:val="0"/>
          <w:bCs/>
          <w:color w:val="auto"/>
          <w:kern w:val="2"/>
          <w:sz w:val="28"/>
          <w:szCs w:val="28"/>
          <w:highlight w:val="none"/>
          <w:u w:val="none"/>
          <w:lang w:val="en-US" w:eastAsia="zh-CN"/>
        </w:rPr>
        <w:t>提高我区地质灾害防治能力</w:t>
      </w:r>
      <w:r>
        <w:rPr>
          <w:rFonts w:hint="eastAsia" w:ascii="仿宋" w:hAnsi="仿宋" w:eastAsia="仿宋" w:cs="仿宋"/>
          <w:color w:val="auto"/>
          <w:sz w:val="28"/>
          <w:szCs w:val="28"/>
          <w:highlight w:val="none"/>
          <w:lang w:eastAsia="zh-CN"/>
        </w:rPr>
        <w:t>”指标，预期指标值为</w:t>
      </w:r>
      <w:r>
        <w:rPr>
          <w:rFonts w:hint="eastAsia" w:ascii="仿宋" w:hAnsi="仿宋" w:eastAsia="仿宋" w:cs="仿宋"/>
          <w:b w:val="0"/>
          <w:bCs/>
          <w:color w:val="auto"/>
          <w:kern w:val="2"/>
          <w:sz w:val="28"/>
          <w:szCs w:val="28"/>
          <w:highlight w:val="none"/>
          <w:u w:val="none"/>
          <w:lang w:val="en-US" w:eastAsia="zh-CN"/>
        </w:rPr>
        <w:t>有效提高；</w:t>
      </w:r>
    </w:p>
    <w:p>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b w:val="0"/>
          <w:bCs/>
          <w:color w:val="auto"/>
          <w:kern w:val="2"/>
          <w:sz w:val="28"/>
          <w:szCs w:val="28"/>
          <w:highlight w:val="none"/>
          <w:u w:val="none"/>
          <w:lang w:val="en-US" w:eastAsia="zh-CN"/>
        </w:rPr>
      </w:pPr>
      <w:r>
        <w:rPr>
          <w:rFonts w:hint="eastAsia" w:ascii="仿宋" w:hAnsi="仿宋" w:eastAsia="仿宋" w:cs="仿宋"/>
          <w:b w:val="0"/>
          <w:bCs/>
          <w:color w:val="auto"/>
          <w:sz w:val="28"/>
          <w:szCs w:val="28"/>
          <w:highlight w:val="none"/>
          <w:u w:val="none"/>
          <w:lang w:val="en-US" w:eastAsia="zh-CN"/>
        </w:rPr>
        <w:t>“</w:t>
      </w:r>
      <w:r>
        <w:rPr>
          <w:rFonts w:hint="eastAsia" w:ascii="仿宋" w:hAnsi="仿宋" w:eastAsia="仿宋" w:cs="仿宋"/>
          <w:b w:val="0"/>
          <w:bCs/>
          <w:color w:val="auto"/>
          <w:kern w:val="2"/>
          <w:sz w:val="28"/>
          <w:szCs w:val="28"/>
          <w:highlight w:val="none"/>
          <w:u w:val="none"/>
          <w:lang w:val="en-US" w:eastAsia="zh-CN"/>
        </w:rPr>
        <w:t>提升我区地下水资源监测能力</w:t>
      </w:r>
      <w:r>
        <w:rPr>
          <w:rFonts w:hint="eastAsia" w:ascii="仿宋" w:hAnsi="仿宋" w:eastAsia="仿宋" w:cs="仿宋"/>
          <w:color w:val="auto"/>
          <w:sz w:val="28"/>
          <w:szCs w:val="28"/>
          <w:highlight w:val="none"/>
          <w:lang w:eastAsia="zh-CN"/>
        </w:rPr>
        <w:t>”指标，预期指标值为</w:t>
      </w:r>
      <w:r>
        <w:rPr>
          <w:rFonts w:hint="eastAsia" w:ascii="仿宋" w:hAnsi="仿宋" w:eastAsia="仿宋" w:cs="仿宋"/>
          <w:b w:val="0"/>
          <w:bCs/>
          <w:color w:val="auto"/>
          <w:kern w:val="2"/>
          <w:sz w:val="28"/>
          <w:szCs w:val="28"/>
          <w:highlight w:val="none"/>
          <w:u w:val="none"/>
          <w:lang w:val="en-US" w:eastAsia="zh-CN"/>
        </w:rPr>
        <w:t>有效提升。</w:t>
      </w:r>
    </w:p>
    <w:p>
      <w:pPr>
        <w:ind w:firstLine="640" w:firstLineChars="200"/>
        <w:rPr>
          <w:rFonts w:hint="eastAsia" w:ascii="方正黑体_GBK" w:hAnsi="方正黑体_GBK" w:eastAsia="方正黑体_GBK" w:cs="方正黑体_GBK"/>
          <w:b/>
          <w:bCs/>
          <w:sz w:val="32"/>
          <w:szCs w:val="32"/>
          <w:highlight w:val="none"/>
        </w:rPr>
      </w:pPr>
      <w:r>
        <w:rPr>
          <w:rFonts w:hint="eastAsia" w:ascii="方正黑体_GBK" w:hAnsi="方正黑体_GBK" w:eastAsia="方正黑体_GBK" w:cs="方正黑体_GBK"/>
          <w:b/>
          <w:bCs/>
          <w:sz w:val="32"/>
          <w:szCs w:val="32"/>
          <w:highlight w:val="none"/>
        </w:rPr>
        <w:t>二、绩效评价工作开展情况</w:t>
      </w:r>
    </w:p>
    <w:p>
      <w:pPr>
        <w:keepNext w:val="0"/>
        <w:keepLines w:val="0"/>
        <w:pageBreakBefore w:val="0"/>
        <w:kinsoku/>
        <w:wordWrap/>
        <w:overflowPunct/>
        <w:topLinePunct w:val="0"/>
        <w:autoSpaceDE/>
        <w:autoSpaceDN/>
        <w:bidi w:val="0"/>
        <w:adjustRightInd/>
        <w:snapToGrid/>
        <w:spacing w:line="480" w:lineRule="exact"/>
        <w:ind w:left="0" w:leftChars="0" w:firstLine="546" w:firstLineChars="200"/>
        <w:textAlignment w:val="auto"/>
        <w:rPr>
          <w:rStyle w:val="21"/>
          <w:rFonts w:hint="eastAsia" w:ascii="仿宋" w:hAnsi="仿宋" w:eastAsia="仿宋" w:cs="仿宋"/>
          <w:b/>
          <w:bCs w:val="0"/>
          <w:spacing w:val="-4"/>
          <w:sz w:val="28"/>
          <w:szCs w:val="28"/>
        </w:rPr>
      </w:pPr>
      <w:r>
        <w:rPr>
          <w:rStyle w:val="21"/>
          <w:rFonts w:hint="eastAsia" w:ascii="仿宋" w:hAnsi="仿宋" w:eastAsia="仿宋" w:cs="仿宋"/>
          <w:b/>
          <w:bCs w:val="0"/>
          <w:spacing w:val="-4"/>
          <w:sz w:val="28"/>
          <w:szCs w:val="28"/>
        </w:rPr>
        <w:t>（一）绩效评价目的、对象和范围。</w:t>
      </w:r>
    </w:p>
    <w:p>
      <w:pPr>
        <w:keepNext w:val="0"/>
        <w:keepLines w:val="0"/>
        <w:pageBreakBefore w:val="0"/>
        <w:kinsoku/>
        <w:wordWrap/>
        <w:overflowPunct/>
        <w:topLinePunct w:val="0"/>
        <w:autoSpaceDE/>
        <w:autoSpaceDN/>
        <w:bidi w:val="0"/>
        <w:adjustRightInd/>
        <w:snapToGrid/>
        <w:spacing w:line="480" w:lineRule="exact"/>
        <w:ind w:left="0" w:leftChars="0" w:firstLine="546" w:firstLineChars="200"/>
        <w:textAlignment w:val="auto"/>
        <w:rPr>
          <w:rStyle w:val="21"/>
          <w:rFonts w:hint="eastAsia" w:ascii="仿宋" w:hAnsi="仿宋" w:eastAsia="仿宋" w:cs="仿宋"/>
          <w:b/>
          <w:bCs w:val="0"/>
          <w:spacing w:val="-4"/>
          <w:sz w:val="28"/>
          <w:szCs w:val="28"/>
        </w:rPr>
      </w:pPr>
      <w:r>
        <w:rPr>
          <w:rStyle w:val="21"/>
          <w:rFonts w:hint="eastAsia" w:ascii="仿宋" w:hAnsi="仿宋" w:eastAsia="仿宋" w:cs="仿宋"/>
          <w:b/>
          <w:bCs w:val="0"/>
          <w:spacing w:val="-4"/>
          <w:sz w:val="28"/>
          <w:szCs w:val="28"/>
        </w:rPr>
        <w:t>1.绩效评价目的</w:t>
      </w:r>
    </w:p>
    <w:p>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keepNext w:val="0"/>
        <w:keepLines w:val="0"/>
        <w:pageBreakBefore w:val="0"/>
        <w:numPr>
          <w:ilvl w:val="0"/>
          <w:numId w:val="1"/>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项目在实施前向项目负责人提供财政支出绩效方面的资金管理信息，促进项目支出严格按照资金管理规定进行。</w:t>
      </w:r>
    </w:p>
    <w:p>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（2）项目绩效管理财政支出运行提供及时、有效的信息。</w:t>
      </w:r>
    </w:p>
    <w:p>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Style w:val="21"/>
          <w:rFonts w:hint="eastAsia" w:ascii="仿宋" w:hAnsi="仿宋" w:eastAsia="仿宋" w:cs="仿宋"/>
          <w:b w:val="0"/>
          <w:bCs/>
          <w:spacing w:val="-4"/>
          <w:sz w:val="28"/>
          <w:szCs w:val="28"/>
          <w:lang w:eastAsia="zh-CN"/>
        </w:rPr>
      </w:pPr>
      <w:r>
        <w:rPr>
          <w:rFonts w:hint="eastAsia" w:ascii="仿宋" w:hAnsi="仿宋" w:eastAsia="仿宋" w:cs="仿宋"/>
          <w:sz w:val="28"/>
          <w:szCs w:val="28"/>
        </w:rPr>
        <w:t>综合来看，通过开展有效的财政支出绩效评价管理，达到改进预算管理、控制节约成本，提高预算资金使用效益的目的。</w:t>
      </w:r>
    </w:p>
    <w:p>
      <w:pPr>
        <w:keepNext w:val="0"/>
        <w:keepLines w:val="0"/>
        <w:pageBreakBefore w:val="0"/>
        <w:kinsoku/>
        <w:wordWrap/>
        <w:overflowPunct/>
        <w:topLinePunct w:val="0"/>
        <w:autoSpaceDE/>
        <w:autoSpaceDN/>
        <w:bidi w:val="0"/>
        <w:adjustRightInd/>
        <w:snapToGrid/>
        <w:spacing w:line="480" w:lineRule="exact"/>
        <w:ind w:left="0" w:leftChars="0" w:firstLine="546" w:firstLineChars="200"/>
        <w:textAlignment w:val="auto"/>
        <w:rPr>
          <w:rStyle w:val="21"/>
          <w:rFonts w:hint="eastAsia" w:ascii="仿宋" w:hAnsi="仿宋" w:eastAsia="仿宋" w:cs="仿宋"/>
          <w:b/>
          <w:bCs w:val="0"/>
          <w:spacing w:val="-4"/>
          <w:sz w:val="28"/>
          <w:szCs w:val="28"/>
          <w:lang w:val="en-US" w:eastAsia="zh-CN"/>
        </w:rPr>
      </w:pPr>
      <w:r>
        <w:rPr>
          <w:rStyle w:val="21"/>
          <w:rFonts w:hint="eastAsia" w:ascii="仿宋" w:hAnsi="仿宋" w:eastAsia="仿宋" w:cs="仿宋"/>
          <w:b/>
          <w:bCs w:val="0"/>
          <w:spacing w:val="-4"/>
          <w:sz w:val="28"/>
          <w:szCs w:val="28"/>
          <w:lang w:val="en-US" w:eastAsia="zh-CN"/>
        </w:rPr>
        <w:t>2.绩效评价对象</w:t>
      </w:r>
    </w:p>
    <w:p>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rPr>
        <w:t>新疆地质</w:t>
      </w:r>
      <w:r>
        <w:rPr>
          <w:rFonts w:hint="eastAsia" w:ascii="仿宋" w:hAnsi="仿宋" w:eastAsia="仿宋" w:cs="仿宋"/>
          <w:sz w:val="28"/>
          <w:szCs w:val="28"/>
          <w:lang w:val="en-US" w:eastAsia="zh-CN"/>
        </w:rPr>
        <w:t>市场经营</w:t>
      </w:r>
      <w:r>
        <w:rPr>
          <w:rFonts w:hint="eastAsia" w:ascii="仿宋" w:hAnsi="仿宋" w:eastAsia="仿宋" w:cs="仿宋"/>
          <w:sz w:val="28"/>
          <w:szCs w:val="28"/>
        </w:rPr>
        <w:t>项目所包含的全部项目建设内容。</w:t>
      </w:r>
    </w:p>
    <w:p>
      <w:pPr>
        <w:keepNext w:val="0"/>
        <w:keepLines w:val="0"/>
        <w:pageBreakBefore w:val="0"/>
        <w:kinsoku/>
        <w:wordWrap/>
        <w:overflowPunct/>
        <w:topLinePunct w:val="0"/>
        <w:autoSpaceDE/>
        <w:autoSpaceDN/>
        <w:bidi w:val="0"/>
        <w:adjustRightInd/>
        <w:snapToGrid/>
        <w:spacing w:line="480" w:lineRule="exact"/>
        <w:ind w:left="0" w:leftChars="0" w:firstLine="546" w:firstLineChars="200"/>
        <w:textAlignment w:val="auto"/>
        <w:rPr>
          <w:rStyle w:val="21"/>
          <w:rFonts w:hint="eastAsia" w:ascii="仿宋" w:hAnsi="仿宋" w:eastAsia="仿宋" w:cs="仿宋"/>
          <w:b/>
          <w:bCs w:val="0"/>
          <w:spacing w:val="-4"/>
          <w:sz w:val="28"/>
          <w:szCs w:val="28"/>
        </w:rPr>
      </w:pPr>
      <w:r>
        <w:rPr>
          <w:rStyle w:val="21"/>
          <w:rFonts w:hint="eastAsia" w:ascii="仿宋" w:hAnsi="仿宋" w:eastAsia="仿宋" w:cs="仿宋"/>
          <w:b/>
          <w:bCs w:val="0"/>
          <w:spacing w:val="-4"/>
          <w:sz w:val="28"/>
          <w:szCs w:val="28"/>
          <w:lang w:val="en-US" w:eastAsia="zh-CN"/>
        </w:rPr>
        <w:t>3.</w:t>
      </w:r>
      <w:r>
        <w:rPr>
          <w:rStyle w:val="21"/>
          <w:rFonts w:hint="eastAsia" w:ascii="仿宋" w:hAnsi="仿宋" w:eastAsia="仿宋" w:cs="仿宋"/>
          <w:b/>
          <w:bCs w:val="0"/>
          <w:spacing w:val="-4"/>
          <w:sz w:val="28"/>
          <w:szCs w:val="28"/>
        </w:rPr>
        <w:t>绩效评价范围</w:t>
      </w:r>
    </w:p>
    <w:p>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highlight w:val="none"/>
        </w:rPr>
        <w:t>本次评价从项目决策（包括绩效目标、决策过程）、项目管理（包括项目资金、项目实施）、项目产出（包括项目产出数量、产出质量、产出时效和产出成本）</w:t>
      </w:r>
      <w:r>
        <w:rPr>
          <w:rFonts w:hint="eastAsia" w:ascii="仿宋" w:hAnsi="仿宋" w:eastAsia="仿宋" w:cs="仿宋"/>
          <w:sz w:val="28"/>
          <w:szCs w:val="28"/>
          <w:highlight w:val="none"/>
          <w:lang w:val="en-US" w:eastAsia="zh-CN"/>
        </w:rPr>
        <w:t>和</w:t>
      </w:r>
      <w:r>
        <w:rPr>
          <w:rFonts w:hint="eastAsia" w:ascii="仿宋" w:hAnsi="仿宋" w:eastAsia="仿宋" w:cs="仿宋"/>
          <w:sz w:val="28"/>
          <w:szCs w:val="28"/>
          <w:highlight w:val="none"/>
        </w:rPr>
        <w:t>项目效益四个维度对</w:t>
      </w:r>
      <w:r>
        <w:rPr>
          <w:rFonts w:hint="eastAsia" w:ascii="仿宋" w:hAnsi="仿宋" w:eastAsia="仿宋" w:cs="仿宋"/>
          <w:sz w:val="28"/>
          <w:szCs w:val="28"/>
        </w:rPr>
        <w:t>新疆地质</w:t>
      </w:r>
      <w:r>
        <w:rPr>
          <w:rFonts w:hint="eastAsia" w:ascii="仿宋" w:hAnsi="仿宋" w:eastAsia="仿宋" w:cs="仿宋"/>
          <w:sz w:val="28"/>
          <w:szCs w:val="28"/>
          <w:lang w:val="en-US" w:eastAsia="zh-CN"/>
        </w:rPr>
        <w:t>市场经营</w:t>
      </w:r>
      <w:r>
        <w:rPr>
          <w:rFonts w:hint="eastAsia" w:ascii="仿宋" w:hAnsi="仿宋" w:eastAsia="仿宋" w:cs="仿宋"/>
          <w:sz w:val="28"/>
          <w:szCs w:val="28"/>
        </w:rPr>
        <w:t>项目</w:t>
      </w:r>
      <w:r>
        <w:rPr>
          <w:rFonts w:hint="eastAsia" w:ascii="仿宋" w:hAnsi="仿宋" w:eastAsia="仿宋" w:cs="仿宋"/>
          <w:sz w:val="28"/>
          <w:szCs w:val="28"/>
          <w:highlight w:val="none"/>
        </w:rPr>
        <w:t>进行评价，评价核心为专项资金的支出完成情况和效果。</w:t>
      </w:r>
    </w:p>
    <w:p>
      <w:pPr>
        <w:keepNext w:val="0"/>
        <w:keepLines w:val="0"/>
        <w:pageBreakBefore w:val="0"/>
        <w:kinsoku/>
        <w:wordWrap/>
        <w:overflowPunct/>
        <w:topLinePunct w:val="0"/>
        <w:autoSpaceDE/>
        <w:autoSpaceDN/>
        <w:bidi w:val="0"/>
        <w:adjustRightInd/>
        <w:snapToGrid/>
        <w:spacing w:line="480" w:lineRule="exact"/>
        <w:ind w:left="0" w:leftChars="0" w:firstLine="546" w:firstLineChars="200"/>
        <w:textAlignment w:val="auto"/>
        <w:rPr>
          <w:rStyle w:val="21"/>
          <w:rFonts w:hint="eastAsia" w:ascii="仿宋" w:hAnsi="仿宋" w:eastAsia="仿宋" w:cs="仿宋"/>
          <w:b/>
          <w:bCs w:val="0"/>
          <w:spacing w:val="-4"/>
          <w:sz w:val="28"/>
          <w:szCs w:val="28"/>
        </w:rPr>
      </w:pPr>
      <w:r>
        <w:rPr>
          <w:rStyle w:val="21"/>
          <w:rFonts w:hint="eastAsia" w:ascii="仿宋" w:hAnsi="仿宋" w:eastAsia="仿宋" w:cs="仿宋"/>
          <w:b/>
          <w:bCs w:val="0"/>
          <w:spacing w:val="-4"/>
          <w:sz w:val="28"/>
          <w:szCs w:val="28"/>
        </w:rPr>
        <w:t>（二）绩效评价原则、评价指标体系、评价方法、评价标准。</w:t>
      </w:r>
    </w:p>
    <w:p>
      <w:pPr>
        <w:keepNext w:val="0"/>
        <w:keepLines w:val="0"/>
        <w:pageBreakBefore w:val="0"/>
        <w:kinsoku/>
        <w:wordWrap/>
        <w:overflowPunct/>
        <w:topLinePunct w:val="0"/>
        <w:autoSpaceDE/>
        <w:autoSpaceDN/>
        <w:bidi w:val="0"/>
        <w:adjustRightInd/>
        <w:snapToGrid/>
        <w:spacing w:line="480" w:lineRule="exact"/>
        <w:ind w:left="0" w:leftChars="0" w:firstLine="546" w:firstLineChars="200"/>
        <w:textAlignment w:val="auto"/>
        <w:rPr>
          <w:rStyle w:val="21"/>
          <w:rFonts w:hint="eastAsia" w:ascii="仿宋" w:hAnsi="仿宋" w:eastAsia="仿宋" w:cs="仿宋"/>
          <w:b w:val="0"/>
          <w:bCs/>
          <w:spacing w:val="-4"/>
          <w:sz w:val="28"/>
          <w:szCs w:val="28"/>
        </w:rPr>
      </w:pPr>
      <w:r>
        <w:rPr>
          <w:rStyle w:val="21"/>
          <w:rFonts w:hint="eastAsia" w:ascii="仿宋" w:hAnsi="仿宋" w:eastAsia="仿宋" w:cs="仿宋"/>
          <w:b/>
          <w:bCs w:val="0"/>
          <w:spacing w:val="-4"/>
          <w:sz w:val="28"/>
          <w:szCs w:val="28"/>
        </w:rPr>
        <w:t>1.绩效评价原则</w:t>
      </w:r>
    </w:p>
    <w:p>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本次项目绩效评价遵循以下基本原则：</w:t>
      </w:r>
    </w:p>
    <w:p>
      <w:pPr>
        <w:pStyle w:val="18"/>
        <w:keepNext w:val="0"/>
        <w:keepLines w:val="0"/>
        <w:pageBreakBefore w:val="0"/>
        <w:kinsoku/>
        <w:wordWrap/>
        <w:overflowPunct/>
        <w:topLinePunct w:val="0"/>
        <w:autoSpaceDE/>
        <w:autoSpaceDN/>
        <w:bidi w:val="0"/>
        <w:adjustRightInd/>
        <w:snapToGrid/>
        <w:spacing w:before="0" w:after="0" w:line="480" w:lineRule="exact"/>
        <w:ind w:left="0" w:leftChars="0" w:firstLine="560" w:firstLineChars="200"/>
        <w:jc w:val="both"/>
        <w:textAlignment w:val="auto"/>
        <w:outlineLvl w:val="9"/>
        <w:rPr>
          <w:rFonts w:hint="eastAsia" w:ascii="仿宋" w:hAnsi="仿宋" w:eastAsia="仿宋" w:cs="仿宋"/>
          <w:b w:val="0"/>
          <w:bCs w:val="0"/>
          <w:sz w:val="28"/>
          <w:szCs w:val="28"/>
        </w:rPr>
      </w:pPr>
      <w:r>
        <w:rPr>
          <w:rFonts w:hint="eastAsia" w:ascii="仿宋" w:hAnsi="仿宋" w:eastAsia="仿宋" w:cs="仿宋"/>
          <w:b w:val="0"/>
          <w:bCs w:val="0"/>
          <w:sz w:val="28"/>
          <w:szCs w:val="28"/>
        </w:rPr>
        <w:t>（1）科学公正。绩效评价应当运用科学合理的方法，按照规范的程序，对项目绩效进行客观、公正的反映。</w:t>
      </w:r>
    </w:p>
    <w:p>
      <w:pPr>
        <w:pStyle w:val="18"/>
        <w:keepNext w:val="0"/>
        <w:keepLines w:val="0"/>
        <w:pageBreakBefore w:val="0"/>
        <w:kinsoku/>
        <w:wordWrap/>
        <w:overflowPunct/>
        <w:topLinePunct w:val="0"/>
        <w:autoSpaceDE/>
        <w:autoSpaceDN/>
        <w:bidi w:val="0"/>
        <w:adjustRightInd/>
        <w:snapToGrid/>
        <w:spacing w:before="0" w:after="0" w:line="480" w:lineRule="exact"/>
        <w:ind w:left="0" w:leftChars="0" w:firstLine="560" w:firstLineChars="200"/>
        <w:jc w:val="both"/>
        <w:textAlignment w:val="auto"/>
        <w:outlineLvl w:val="9"/>
        <w:rPr>
          <w:rFonts w:hint="eastAsia" w:ascii="仿宋" w:hAnsi="仿宋" w:eastAsia="仿宋" w:cs="仿宋"/>
          <w:b w:val="0"/>
          <w:bCs w:val="0"/>
          <w:sz w:val="28"/>
          <w:szCs w:val="28"/>
        </w:rPr>
      </w:pPr>
      <w:r>
        <w:rPr>
          <w:rFonts w:hint="eastAsia" w:ascii="仿宋" w:hAnsi="仿宋" w:eastAsia="仿宋" w:cs="仿宋"/>
          <w:b w:val="0"/>
          <w:bCs w:val="0"/>
          <w:sz w:val="28"/>
          <w:szCs w:val="28"/>
        </w:rPr>
        <w:t>（2）统筹兼顾。单位自评、部门评价和财政评价应职责明确，各有侧重，相互衔接。单位自评应由项目单位自主实施，即“谁支出、谁自评”。部门评价和财政评价应在单位自评的基础上开展。</w:t>
      </w:r>
    </w:p>
    <w:p>
      <w:pPr>
        <w:pStyle w:val="18"/>
        <w:keepNext w:val="0"/>
        <w:keepLines w:val="0"/>
        <w:pageBreakBefore w:val="0"/>
        <w:kinsoku/>
        <w:wordWrap/>
        <w:overflowPunct/>
        <w:topLinePunct w:val="0"/>
        <w:autoSpaceDE/>
        <w:autoSpaceDN/>
        <w:bidi w:val="0"/>
        <w:adjustRightInd/>
        <w:snapToGrid/>
        <w:spacing w:before="0" w:after="0" w:line="480" w:lineRule="exact"/>
        <w:ind w:left="0" w:leftChars="0" w:firstLine="560" w:firstLineChars="200"/>
        <w:jc w:val="both"/>
        <w:textAlignment w:val="auto"/>
        <w:outlineLvl w:val="9"/>
        <w:rPr>
          <w:rFonts w:hint="eastAsia" w:ascii="仿宋" w:hAnsi="仿宋" w:eastAsia="仿宋" w:cs="仿宋"/>
          <w:b w:val="0"/>
          <w:bCs w:val="0"/>
          <w:sz w:val="28"/>
          <w:szCs w:val="28"/>
        </w:rPr>
      </w:pPr>
      <w:r>
        <w:rPr>
          <w:rFonts w:hint="eastAsia" w:ascii="仿宋" w:hAnsi="仿宋" w:eastAsia="仿宋" w:cs="仿宋"/>
          <w:b w:val="0"/>
          <w:bCs w:val="0"/>
          <w:sz w:val="28"/>
          <w:szCs w:val="28"/>
        </w:rPr>
        <w:t>（3）激励约束。绩效评价结果应与预算安排、政策调整、改进管理实质性挂钩，体现奖优罚劣和激励相容导向，有效要安排、低效要压减、无效要问责。</w:t>
      </w:r>
    </w:p>
    <w:p>
      <w:pPr>
        <w:pStyle w:val="18"/>
        <w:keepNext w:val="0"/>
        <w:keepLines w:val="0"/>
        <w:pageBreakBefore w:val="0"/>
        <w:kinsoku/>
        <w:wordWrap/>
        <w:overflowPunct/>
        <w:topLinePunct w:val="0"/>
        <w:autoSpaceDE/>
        <w:autoSpaceDN/>
        <w:bidi w:val="0"/>
        <w:adjustRightInd/>
        <w:snapToGrid/>
        <w:spacing w:before="0" w:after="0" w:line="480" w:lineRule="exact"/>
        <w:ind w:left="0" w:leftChars="0" w:firstLine="560" w:firstLineChars="200"/>
        <w:jc w:val="both"/>
        <w:textAlignment w:val="auto"/>
        <w:outlineLvl w:val="9"/>
        <w:rPr>
          <w:rFonts w:hint="eastAsia" w:ascii="仿宋" w:hAnsi="仿宋" w:eastAsia="仿宋" w:cs="仿宋"/>
          <w:sz w:val="28"/>
          <w:szCs w:val="28"/>
          <w:lang w:eastAsia="zh-CN"/>
        </w:rPr>
      </w:pPr>
      <w:r>
        <w:rPr>
          <w:rFonts w:hint="eastAsia" w:ascii="仿宋" w:hAnsi="仿宋" w:eastAsia="仿宋" w:cs="仿宋"/>
          <w:b w:val="0"/>
          <w:bCs w:val="0"/>
          <w:sz w:val="28"/>
          <w:szCs w:val="28"/>
        </w:rPr>
        <w:t>（4）公开透明。绩效评价结果应依法依规公开，并自觉接受社会监督。</w:t>
      </w:r>
    </w:p>
    <w:p>
      <w:pPr>
        <w:keepNext w:val="0"/>
        <w:keepLines w:val="0"/>
        <w:pageBreakBefore w:val="0"/>
        <w:kinsoku/>
        <w:wordWrap/>
        <w:overflowPunct/>
        <w:topLinePunct w:val="0"/>
        <w:autoSpaceDE/>
        <w:autoSpaceDN/>
        <w:bidi w:val="0"/>
        <w:adjustRightInd/>
        <w:snapToGrid/>
        <w:spacing w:line="480" w:lineRule="exact"/>
        <w:ind w:left="0" w:leftChars="0" w:firstLine="546" w:firstLineChars="200"/>
        <w:textAlignment w:val="auto"/>
        <w:rPr>
          <w:rStyle w:val="21"/>
          <w:rFonts w:hint="eastAsia" w:ascii="仿宋" w:hAnsi="仿宋" w:eastAsia="仿宋" w:cs="仿宋"/>
          <w:b/>
          <w:bCs w:val="0"/>
          <w:spacing w:val="-4"/>
          <w:sz w:val="28"/>
          <w:szCs w:val="28"/>
        </w:rPr>
      </w:pPr>
      <w:r>
        <w:rPr>
          <w:rStyle w:val="21"/>
          <w:rFonts w:hint="eastAsia" w:ascii="仿宋" w:hAnsi="仿宋" w:eastAsia="仿宋" w:cs="仿宋"/>
          <w:b/>
          <w:bCs w:val="0"/>
          <w:spacing w:val="-4"/>
          <w:sz w:val="28"/>
          <w:szCs w:val="28"/>
        </w:rPr>
        <w:t>2.绩效评价指标体系</w:t>
      </w:r>
    </w:p>
    <w:p>
      <w:pPr>
        <w:pStyle w:val="49"/>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b w:val="0"/>
          <w:bCs/>
          <w:sz w:val="28"/>
          <w:szCs w:val="28"/>
          <w:highlight w:val="none"/>
        </w:rPr>
      </w:pPr>
      <w:r>
        <w:rPr>
          <w:rFonts w:hint="eastAsia" w:ascii="仿宋" w:hAnsi="仿宋" w:eastAsia="仿宋" w:cs="仿宋"/>
          <w:b w:val="0"/>
          <w:bCs/>
          <w:sz w:val="28"/>
          <w:szCs w:val="28"/>
          <w:highlight w:val="none"/>
        </w:rPr>
        <w:t>绩效评价指标体系根据《预算绩效评价共性指标体系框架》（财预〔2013〕53号）、《自治区党委 自治区人民政府关于全面实施预算绩效管理的实施意见》（新党发〔2018〕30号）、《关于印发</w:t>
      </w:r>
      <w:r>
        <w:rPr>
          <w:rFonts w:hint="eastAsia" w:ascii="仿宋" w:hAnsi="仿宋" w:eastAsia="仿宋" w:cs="仿宋"/>
          <w:b w:val="0"/>
          <w:bCs/>
          <w:sz w:val="28"/>
          <w:szCs w:val="28"/>
          <w:highlight w:val="none"/>
          <w:lang w:eastAsia="zh-CN"/>
        </w:rPr>
        <w:t>〈</w:t>
      </w:r>
      <w:r>
        <w:rPr>
          <w:rFonts w:hint="eastAsia" w:ascii="仿宋" w:hAnsi="仿宋" w:eastAsia="仿宋" w:cs="仿宋"/>
          <w:b w:val="0"/>
          <w:bCs/>
          <w:sz w:val="28"/>
          <w:szCs w:val="28"/>
          <w:highlight w:val="none"/>
        </w:rPr>
        <w:t>项目支出绩效评价管理办法</w:t>
      </w:r>
      <w:r>
        <w:rPr>
          <w:rFonts w:hint="eastAsia" w:ascii="仿宋" w:hAnsi="仿宋" w:eastAsia="仿宋" w:cs="仿宋"/>
          <w:b w:val="0"/>
          <w:bCs/>
          <w:sz w:val="28"/>
          <w:szCs w:val="28"/>
          <w:highlight w:val="none"/>
          <w:lang w:eastAsia="zh-CN"/>
        </w:rPr>
        <w:t>〉</w:t>
      </w:r>
      <w:r>
        <w:rPr>
          <w:rFonts w:hint="eastAsia" w:ascii="仿宋" w:hAnsi="仿宋" w:eastAsia="仿宋" w:cs="仿宋"/>
          <w:b w:val="0"/>
          <w:bCs/>
          <w:sz w:val="28"/>
          <w:szCs w:val="28"/>
          <w:highlight w:val="none"/>
        </w:rPr>
        <w:t>的通知》（财预﹝2020﹞10号）等文件精神，结合专项特点，在与专家组、项目充分协商的基础上，评价工作组细化了该项目的绩效评价指标体系（详见附表1）：</w:t>
      </w:r>
    </w:p>
    <w:p>
      <w:pPr>
        <w:pStyle w:val="49"/>
        <w:keepNext w:val="0"/>
        <w:keepLines w:val="0"/>
        <w:pageBreakBefore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b w:val="0"/>
          <w:bCs/>
          <w:sz w:val="28"/>
          <w:szCs w:val="28"/>
          <w:highlight w:val="none"/>
        </w:rPr>
      </w:pPr>
      <w:r>
        <w:rPr>
          <w:rFonts w:hint="eastAsia" w:ascii="仿宋" w:hAnsi="仿宋" w:eastAsia="仿宋" w:cs="仿宋"/>
          <w:b w:val="0"/>
          <w:bCs/>
          <w:sz w:val="28"/>
          <w:szCs w:val="28"/>
          <w:highlight w:val="none"/>
          <w:lang w:eastAsia="zh-CN"/>
        </w:rPr>
        <w:t>　　</w:t>
      </w:r>
      <w:r>
        <w:rPr>
          <w:rFonts w:hint="eastAsia" w:ascii="仿宋" w:hAnsi="仿宋" w:eastAsia="仿宋" w:cs="仿宋"/>
          <w:b w:val="0"/>
          <w:bCs/>
          <w:sz w:val="28"/>
          <w:szCs w:val="28"/>
          <w:highlight w:val="none"/>
        </w:rPr>
        <w:t>一级指标为：决策、过程、产出、效益。</w:t>
      </w:r>
    </w:p>
    <w:p>
      <w:pPr>
        <w:pStyle w:val="49"/>
        <w:keepNext w:val="0"/>
        <w:keepLines w:val="0"/>
        <w:pageBreakBefore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b w:val="0"/>
          <w:bCs/>
          <w:sz w:val="28"/>
          <w:szCs w:val="28"/>
          <w:highlight w:val="none"/>
        </w:rPr>
      </w:pPr>
      <w:r>
        <w:rPr>
          <w:rFonts w:hint="eastAsia" w:ascii="仿宋" w:hAnsi="仿宋" w:eastAsia="仿宋" w:cs="仿宋"/>
          <w:b w:val="0"/>
          <w:bCs/>
          <w:sz w:val="28"/>
          <w:szCs w:val="28"/>
          <w:highlight w:val="none"/>
          <w:lang w:eastAsia="zh-CN"/>
        </w:rPr>
        <w:t>　　</w:t>
      </w:r>
      <w:r>
        <w:rPr>
          <w:rFonts w:hint="eastAsia" w:ascii="仿宋" w:hAnsi="仿宋" w:eastAsia="仿宋" w:cs="仿宋"/>
          <w:b w:val="0"/>
          <w:bCs/>
          <w:sz w:val="28"/>
          <w:szCs w:val="28"/>
          <w:highlight w:val="none"/>
        </w:rPr>
        <w:t>二级指标为：项目立项、绩效目标、资金投入、资金管理、组织实施、产出数量、产出质量、产出时效、产出成本、项目效益。</w:t>
      </w:r>
    </w:p>
    <w:p>
      <w:pPr>
        <w:pStyle w:val="18"/>
        <w:keepNext w:val="0"/>
        <w:keepLines w:val="0"/>
        <w:pageBreakBefore w:val="0"/>
        <w:kinsoku/>
        <w:wordWrap/>
        <w:overflowPunct/>
        <w:topLinePunct w:val="0"/>
        <w:autoSpaceDE/>
        <w:autoSpaceDN/>
        <w:bidi w:val="0"/>
        <w:adjustRightInd/>
        <w:snapToGrid/>
        <w:spacing w:before="0" w:after="0" w:line="480" w:lineRule="exact"/>
        <w:ind w:left="0" w:leftChars="0" w:firstLine="560" w:firstLineChars="200"/>
        <w:jc w:val="both"/>
        <w:textAlignment w:val="auto"/>
        <w:rPr>
          <w:rFonts w:hint="eastAsia" w:ascii="仿宋" w:hAnsi="仿宋" w:eastAsia="仿宋" w:cs="仿宋"/>
          <w:sz w:val="28"/>
          <w:szCs w:val="28"/>
          <w:lang w:eastAsia="zh-CN"/>
        </w:rPr>
      </w:pPr>
      <w:r>
        <w:rPr>
          <w:rFonts w:hint="eastAsia" w:ascii="仿宋" w:hAnsi="仿宋" w:eastAsia="仿宋" w:cs="仿宋"/>
          <w:b w:val="0"/>
          <w:bCs/>
          <w:sz w:val="28"/>
          <w:szCs w:val="28"/>
          <w:highlight w:val="none"/>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p>
    <w:p>
      <w:pPr>
        <w:keepNext w:val="0"/>
        <w:keepLines w:val="0"/>
        <w:pageBreakBefore w:val="0"/>
        <w:kinsoku/>
        <w:wordWrap/>
        <w:overflowPunct/>
        <w:topLinePunct w:val="0"/>
        <w:autoSpaceDE/>
        <w:autoSpaceDN/>
        <w:bidi w:val="0"/>
        <w:adjustRightInd/>
        <w:snapToGrid/>
        <w:spacing w:line="480" w:lineRule="exact"/>
        <w:ind w:left="0" w:leftChars="0" w:firstLine="546" w:firstLineChars="200"/>
        <w:textAlignment w:val="auto"/>
        <w:rPr>
          <w:rStyle w:val="21"/>
          <w:rFonts w:hint="eastAsia" w:ascii="仿宋" w:hAnsi="仿宋" w:eastAsia="仿宋" w:cs="仿宋"/>
          <w:b/>
          <w:bCs w:val="0"/>
          <w:spacing w:val="-4"/>
          <w:sz w:val="28"/>
          <w:szCs w:val="28"/>
        </w:rPr>
      </w:pPr>
      <w:r>
        <w:rPr>
          <w:rStyle w:val="21"/>
          <w:rFonts w:hint="eastAsia" w:ascii="仿宋" w:hAnsi="仿宋" w:eastAsia="仿宋" w:cs="仿宋"/>
          <w:b/>
          <w:bCs w:val="0"/>
          <w:spacing w:val="-4"/>
          <w:sz w:val="28"/>
          <w:szCs w:val="28"/>
          <w:lang w:val="en-US" w:eastAsia="zh-CN"/>
        </w:rPr>
        <w:t>3.</w:t>
      </w:r>
      <w:r>
        <w:rPr>
          <w:rStyle w:val="21"/>
          <w:rFonts w:hint="eastAsia" w:ascii="仿宋" w:hAnsi="仿宋" w:eastAsia="仿宋" w:cs="仿宋"/>
          <w:b/>
          <w:bCs w:val="0"/>
          <w:spacing w:val="-4"/>
          <w:sz w:val="28"/>
          <w:szCs w:val="28"/>
        </w:rPr>
        <w:t>绩效评价方法</w:t>
      </w:r>
    </w:p>
    <w:p>
      <w:pPr>
        <w:keepNext w:val="0"/>
        <w:keepLines w:val="0"/>
        <w:pageBreakBefore w:val="0"/>
        <w:kinsoku/>
        <w:wordWrap/>
        <w:overflowPunct/>
        <w:topLinePunct w:val="0"/>
        <w:autoSpaceDE/>
        <w:autoSpaceDN/>
        <w:bidi w:val="0"/>
        <w:adjustRightInd/>
        <w:snapToGrid/>
        <w:spacing w:line="480" w:lineRule="exact"/>
        <w:ind w:left="0" w:leftChars="0" w:firstLine="628" w:firstLineChars="200"/>
        <w:textAlignment w:val="auto"/>
        <w:rPr>
          <w:rFonts w:hint="eastAsia" w:ascii="仿宋" w:hAnsi="仿宋" w:eastAsia="仿宋" w:cs="仿宋"/>
          <w:color w:val="000000"/>
          <w:spacing w:val="17"/>
          <w:sz w:val="28"/>
          <w:szCs w:val="28"/>
        </w:rPr>
      </w:pPr>
      <w:r>
        <w:rPr>
          <w:rFonts w:hint="eastAsia" w:ascii="仿宋" w:hAnsi="仿宋" w:eastAsia="仿宋" w:cs="仿宋"/>
          <w:color w:val="000000"/>
          <w:spacing w:val="17"/>
          <w:sz w:val="28"/>
          <w:szCs w:val="28"/>
        </w:rPr>
        <w:t>绩效评价从项目决策、项目过程、项目产出、项目效益四个维度进行评价。评价对象为项目目标实施情况，评价核心为资金的支出完成情况和项目的产出效益。</w:t>
      </w:r>
    </w:p>
    <w:p>
      <w:pPr>
        <w:keepNext w:val="0"/>
        <w:keepLines w:val="0"/>
        <w:pageBreakBefore w:val="0"/>
        <w:kinsoku/>
        <w:wordWrap/>
        <w:overflowPunct/>
        <w:topLinePunct w:val="0"/>
        <w:autoSpaceDE/>
        <w:autoSpaceDN/>
        <w:bidi w:val="0"/>
        <w:adjustRightInd/>
        <w:snapToGrid/>
        <w:spacing w:line="480" w:lineRule="exact"/>
        <w:ind w:left="0" w:leftChars="0" w:firstLine="628" w:firstLineChars="200"/>
        <w:textAlignment w:val="auto"/>
        <w:rPr>
          <w:rFonts w:hint="eastAsia" w:ascii="仿宋" w:hAnsi="仿宋" w:eastAsia="仿宋" w:cs="仿宋"/>
          <w:color w:val="000000"/>
          <w:spacing w:val="17"/>
          <w:sz w:val="28"/>
          <w:szCs w:val="28"/>
          <w:lang w:val="en-US" w:eastAsia="zh-CN"/>
        </w:rPr>
      </w:pPr>
      <w:r>
        <w:rPr>
          <w:rFonts w:hint="eastAsia" w:ascii="仿宋" w:hAnsi="仿宋" w:eastAsia="仿宋" w:cs="仿宋"/>
          <w:color w:val="000000"/>
          <w:spacing w:val="17"/>
          <w:sz w:val="28"/>
          <w:szCs w:val="28"/>
        </w:rPr>
        <w:t>本次评价指标中，既有定性指标又有定量指标，各类指标因考核内容不同和客观标准不同存在较大差异，因此核定具体指标时采用了不同方法，具体评价方法如</w:t>
      </w:r>
      <w:r>
        <w:rPr>
          <w:rFonts w:hint="eastAsia" w:ascii="仿宋" w:hAnsi="仿宋" w:eastAsia="仿宋" w:cs="仿宋"/>
          <w:color w:val="000000"/>
          <w:spacing w:val="17"/>
          <w:sz w:val="28"/>
          <w:szCs w:val="28"/>
          <w:lang w:val="en-US" w:eastAsia="zh-CN"/>
        </w:rPr>
        <w:t>下：</w:t>
      </w:r>
    </w:p>
    <w:p>
      <w:pPr>
        <w:keepNext w:val="0"/>
        <w:keepLines w:val="0"/>
        <w:pageBreakBefore w:val="0"/>
        <w:kinsoku/>
        <w:wordWrap/>
        <w:overflowPunct/>
        <w:topLinePunct w:val="0"/>
        <w:autoSpaceDE/>
        <w:autoSpaceDN/>
        <w:bidi w:val="0"/>
        <w:adjustRightInd/>
        <w:snapToGrid/>
        <w:spacing w:line="480" w:lineRule="exact"/>
        <w:ind w:left="0" w:leftChars="0" w:firstLine="628" w:firstLineChars="200"/>
        <w:textAlignment w:val="auto"/>
        <w:rPr>
          <w:rFonts w:hint="eastAsia" w:ascii="仿宋" w:hAnsi="仿宋" w:eastAsia="仿宋" w:cs="仿宋"/>
          <w:color w:val="000000"/>
          <w:spacing w:val="17"/>
          <w:sz w:val="28"/>
          <w:szCs w:val="28"/>
        </w:rPr>
      </w:pPr>
      <w:r>
        <w:rPr>
          <w:rFonts w:hint="eastAsia" w:ascii="仿宋" w:hAnsi="仿宋" w:eastAsia="仿宋" w:cs="仿宋"/>
          <w:color w:val="000000"/>
          <w:spacing w:val="17"/>
          <w:sz w:val="28"/>
          <w:szCs w:val="28"/>
        </w:rPr>
        <w:t>（1）比较法</w:t>
      </w:r>
    </w:p>
    <w:p>
      <w:pPr>
        <w:keepNext w:val="0"/>
        <w:keepLines w:val="0"/>
        <w:pageBreakBefore w:val="0"/>
        <w:kinsoku/>
        <w:wordWrap/>
        <w:overflowPunct/>
        <w:topLinePunct w:val="0"/>
        <w:autoSpaceDE/>
        <w:autoSpaceDN/>
        <w:bidi w:val="0"/>
        <w:adjustRightInd/>
        <w:snapToGrid/>
        <w:spacing w:line="480" w:lineRule="exact"/>
        <w:ind w:left="0" w:leftChars="0" w:firstLine="628" w:firstLineChars="200"/>
        <w:textAlignment w:val="auto"/>
        <w:rPr>
          <w:rFonts w:hint="eastAsia" w:ascii="仿宋" w:hAnsi="仿宋" w:eastAsia="仿宋" w:cs="仿宋"/>
          <w:color w:val="000000"/>
          <w:spacing w:val="17"/>
          <w:sz w:val="28"/>
          <w:szCs w:val="28"/>
        </w:rPr>
      </w:pPr>
      <w:r>
        <w:rPr>
          <w:rFonts w:hint="eastAsia" w:ascii="仿宋" w:hAnsi="仿宋" w:eastAsia="仿宋" w:cs="仿宋"/>
          <w:color w:val="000000"/>
          <w:spacing w:val="17"/>
          <w:sz w:val="28"/>
          <w:szCs w:val="28"/>
        </w:rPr>
        <w:t>通过对绩效目标与实施效果、历史与当期情况，综合分析绩效目标实现程度。对项目最终验收情况与年度绩效目标对比、预算资金执行情况等相关因素进行比较。</w:t>
      </w:r>
    </w:p>
    <w:p>
      <w:pPr>
        <w:keepNext w:val="0"/>
        <w:keepLines w:val="0"/>
        <w:pageBreakBefore w:val="0"/>
        <w:kinsoku/>
        <w:wordWrap/>
        <w:overflowPunct/>
        <w:topLinePunct w:val="0"/>
        <w:autoSpaceDE/>
        <w:autoSpaceDN/>
        <w:bidi w:val="0"/>
        <w:adjustRightInd/>
        <w:snapToGrid/>
        <w:spacing w:line="480" w:lineRule="exact"/>
        <w:ind w:left="0" w:leftChars="0" w:firstLine="628" w:firstLineChars="200"/>
        <w:textAlignment w:val="auto"/>
        <w:rPr>
          <w:rFonts w:hint="eastAsia" w:ascii="仿宋" w:hAnsi="仿宋" w:eastAsia="仿宋" w:cs="仿宋"/>
          <w:color w:val="000000"/>
          <w:spacing w:val="17"/>
          <w:sz w:val="28"/>
          <w:szCs w:val="28"/>
        </w:rPr>
      </w:pPr>
      <w:r>
        <w:rPr>
          <w:rFonts w:hint="eastAsia" w:ascii="仿宋" w:hAnsi="仿宋" w:eastAsia="仿宋" w:cs="仿宋"/>
          <w:color w:val="000000"/>
          <w:spacing w:val="17"/>
          <w:sz w:val="28"/>
          <w:szCs w:val="28"/>
        </w:rPr>
        <w:t>（2）因素分析法</w:t>
      </w:r>
    </w:p>
    <w:p>
      <w:pPr>
        <w:keepNext w:val="0"/>
        <w:keepLines w:val="0"/>
        <w:pageBreakBefore w:val="0"/>
        <w:kinsoku/>
        <w:wordWrap/>
        <w:overflowPunct/>
        <w:topLinePunct w:val="0"/>
        <w:autoSpaceDE/>
        <w:autoSpaceDN/>
        <w:bidi w:val="0"/>
        <w:adjustRightInd/>
        <w:snapToGrid/>
        <w:spacing w:line="480" w:lineRule="exact"/>
        <w:ind w:left="0" w:leftChars="0" w:firstLine="628" w:firstLineChars="200"/>
        <w:textAlignment w:val="auto"/>
        <w:rPr>
          <w:rFonts w:hint="eastAsia" w:ascii="仿宋" w:hAnsi="仿宋" w:eastAsia="仿宋" w:cs="仿宋"/>
          <w:color w:val="000000"/>
          <w:spacing w:val="17"/>
          <w:sz w:val="28"/>
          <w:szCs w:val="28"/>
        </w:rPr>
      </w:pPr>
      <w:r>
        <w:rPr>
          <w:rFonts w:hint="eastAsia" w:ascii="仿宋" w:hAnsi="仿宋" w:eastAsia="仿宋" w:cs="仿宋"/>
          <w:color w:val="000000"/>
          <w:spacing w:val="17"/>
          <w:sz w:val="28"/>
          <w:szCs w:val="28"/>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pPr>
        <w:keepNext w:val="0"/>
        <w:keepLines w:val="0"/>
        <w:pageBreakBefore w:val="0"/>
        <w:kinsoku/>
        <w:wordWrap/>
        <w:overflowPunct/>
        <w:topLinePunct w:val="0"/>
        <w:autoSpaceDE/>
        <w:autoSpaceDN/>
        <w:bidi w:val="0"/>
        <w:adjustRightInd/>
        <w:snapToGrid/>
        <w:spacing w:line="480" w:lineRule="exact"/>
        <w:ind w:left="0" w:leftChars="0" w:firstLine="546" w:firstLineChars="200"/>
        <w:textAlignment w:val="auto"/>
        <w:rPr>
          <w:rStyle w:val="21"/>
          <w:rFonts w:hint="eastAsia" w:ascii="仿宋" w:hAnsi="仿宋" w:eastAsia="仿宋" w:cs="仿宋"/>
          <w:b/>
          <w:bCs w:val="0"/>
          <w:spacing w:val="-4"/>
          <w:sz w:val="28"/>
          <w:szCs w:val="28"/>
        </w:rPr>
      </w:pPr>
      <w:r>
        <w:rPr>
          <w:rStyle w:val="21"/>
          <w:rFonts w:hint="eastAsia" w:ascii="仿宋" w:hAnsi="仿宋" w:eastAsia="仿宋" w:cs="仿宋"/>
          <w:b/>
          <w:bCs w:val="0"/>
          <w:spacing w:val="-4"/>
          <w:sz w:val="28"/>
          <w:szCs w:val="28"/>
        </w:rPr>
        <w:t>4、评价标准</w:t>
      </w:r>
    </w:p>
    <w:p>
      <w:pPr>
        <w:keepNext w:val="0"/>
        <w:keepLines w:val="0"/>
        <w:pageBreakBefore w:val="0"/>
        <w:kinsoku/>
        <w:wordWrap/>
        <w:overflowPunct/>
        <w:topLinePunct w:val="0"/>
        <w:autoSpaceDE/>
        <w:autoSpaceDN/>
        <w:bidi w:val="0"/>
        <w:adjustRightInd/>
        <w:snapToGrid/>
        <w:spacing w:line="480" w:lineRule="exact"/>
        <w:ind w:left="0" w:leftChars="0" w:firstLine="628" w:firstLineChars="200"/>
        <w:textAlignment w:val="auto"/>
        <w:rPr>
          <w:rFonts w:hint="eastAsia" w:ascii="仿宋" w:hAnsi="仿宋" w:eastAsia="仿宋" w:cs="仿宋"/>
          <w:color w:val="000000"/>
          <w:spacing w:val="17"/>
          <w:sz w:val="28"/>
          <w:szCs w:val="28"/>
          <w:lang w:val="en-US" w:eastAsia="zh-CN"/>
        </w:rPr>
      </w:pPr>
      <w:r>
        <w:rPr>
          <w:rFonts w:hint="eastAsia" w:ascii="仿宋" w:hAnsi="仿宋" w:eastAsia="仿宋" w:cs="仿宋"/>
          <w:color w:val="000000"/>
          <w:spacing w:val="17"/>
          <w:sz w:val="28"/>
          <w:szCs w:val="28"/>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keepNext w:val="0"/>
        <w:keepLines w:val="0"/>
        <w:pageBreakBefore w:val="0"/>
        <w:kinsoku/>
        <w:wordWrap/>
        <w:overflowPunct/>
        <w:topLinePunct w:val="0"/>
        <w:autoSpaceDE/>
        <w:autoSpaceDN/>
        <w:bidi w:val="0"/>
        <w:adjustRightInd/>
        <w:snapToGrid/>
        <w:spacing w:line="480" w:lineRule="exact"/>
        <w:ind w:left="0" w:leftChars="0" w:firstLine="546" w:firstLineChars="200"/>
        <w:textAlignment w:val="auto"/>
        <w:rPr>
          <w:rStyle w:val="21"/>
          <w:rFonts w:hint="eastAsia" w:ascii="仿宋" w:hAnsi="仿宋" w:eastAsia="仿宋" w:cs="仿宋"/>
          <w:b/>
          <w:bCs w:val="0"/>
          <w:spacing w:val="-4"/>
          <w:sz w:val="28"/>
          <w:szCs w:val="28"/>
        </w:rPr>
      </w:pPr>
      <w:r>
        <w:rPr>
          <w:rStyle w:val="21"/>
          <w:rFonts w:hint="eastAsia" w:ascii="仿宋" w:hAnsi="仿宋" w:eastAsia="仿宋" w:cs="仿宋"/>
          <w:b/>
          <w:bCs w:val="0"/>
          <w:spacing w:val="-4"/>
          <w:sz w:val="28"/>
          <w:szCs w:val="28"/>
          <w:lang w:eastAsia="zh-CN"/>
        </w:rPr>
        <w:t>（</w:t>
      </w:r>
      <w:r>
        <w:rPr>
          <w:rStyle w:val="21"/>
          <w:rFonts w:hint="eastAsia" w:ascii="仿宋" w:hAnsi="仿宋" w:eastAsia="仿宋" w:cs="仿宋"/>
          <w:b/>
          <w:bCs w:val="0"/>
          <w:spacing w:val="-4"/>
          <w:sz w:val="28"/>
          <w:szCs w:val="28"/>
          <w:lang w:val="en-US" w:eastAsia="zh-CN"/>
        </w:rPr>
        <w:t>三</w:t>
      </w:r>
      <w:r>
        <w:rPr>
          <w:rStyle w:val="21"/>
          <w:rFonts w:hint="eastAsia" w:ascii="仿宋" w:hAnsi="仿宋" w:eastAsia="仿宋" w:cs="仿宋"/>
          <w:b/>
          <w:bCs w:val="0"/>
          <w:spacing w:val="-4"/>
          <w:sz w:val="28"/>
          <w:szCs w:val="28"/>
          <w:lang w:eastAsia="zh-CN"/>
        </w:rPr>
        <w:t>）</w:t>
      </w:r>
      <w:r>
        <w:rPr>
          <w:rStyle w:val="21"/>
          <w:rFonts w:hint="eastAsia" w:ascii="仿宋" w:hAnsi="仿宋" w:eastAsia="仿宋" w:cs="仿宋"/>
          <w:b/>
          <w:bCs w:val="0"/>
          <w:spacing w:val="-4"/>
          <w:sz w:val="28"/>
          <w:szCs w:val="28"/>
        </w:rPr>
        <w:t>绩效评价工作过程。</w:t>
      </w:r>
    </w:p>
    <w:p>
      <w:pPr>
        <w:pStyle w:val="49"/>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　　</w:t>
      </w:r>
      <w:r>
        <w:rPr>
          <w:rFonts w:hint="eastAsia" w:ascii="仿宋" w:hAnsi="仿宋" w:eastAsia="仿宋" w:cs="仿宋"/>
          <w:sz w:val="28"/>
          <w:szCs w:val="28"/>
          <w:highlight w:val="none"/>
        </w:rPr>
        <w:t>本次评价设计了评价方案、评价指标体系，通过资料分析、调研、访谈满意度调查等方式形成评价结论，在与项目单位沟通后确定评价意见，并出具评价报告。</w:t>
      </w:r>
    </w:p>
    <w:p>
      <w:pPr>
        <w:pStyle w:val="49"/>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　　</w:t>
      </w:r>
      <w:r>
        <w:rPr>
          <w:rFonts w:hint="eastAsia" w:ascii="仿宋" w:hAnsi="仿宋" w:eastAsia="仿宋" w:cs="仿宋"/>
          <w:sz w:val="28"/>
          <w:szCs w:val="28"/>
          <w:highlight w:val="none"/>
        </w:rPr>
        <w:t>第一阶段：前期准备。认真学习相关要求与规定，成立绩效评价工作组，作为绩效评价工作具体实施机构。成员构成如下：</w:t>
      </w:r>
    </w:p>
    <w:p>
      <w:pPr>
        <w:pStyle w:val="49"/>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　　阿地力·阿不拉</w:t>
      </w:r>
      <w:r>
        <w:rPr>
          <w:rFonts w:hint="eastAsia" w:ascii="仿宋" w:hAnsi="仿宋" w:eastAsia="仿宋" w:cs="仿宋"/>
          <w:color w:val="auto"/>
          <w:sz w:val="28"/>
          <w:szCs w:val="28"/>
          <w:highlight w:val="none"/>
        </w:rPr>
        <w:t>任评价组组长，职务为</w:t>
      </w:r>
      <w:r>
        <w:rPr>
          <w:rFonts w:hint="eastAsia" w:ascii="仿宋" w:hAnsi="仿宋" w:eastAsia="仿宋" w:cs="仿宋"/>
          <w:color w:val="auto"/>
          <w:sz w:val="28"/>
          <w:szCs w:val="28"/>
          <w:highlight w:val="none"/>
          <w:lang w:val="en-US" w:eastAsia="zh-CN"/>
        </w:rPr>
        <w:t>党总支书记、院长</w:t>
      </w:r>
      <w:r>
        <w:rPr>
          <w:rFonts w:hint="eastAsia" w:ascii="仿宋" w:hAnsi="仿宋" w:eastAsia="仿宋" w:cs="仿宋"/>
          <w:color w:val="auto"/>
          <w:sz w:val="28"/>
          <w:szCs w:val="28"/>
          <w:highlight w:val="none"/>
        </w:rPr>
        <w:t>，绩效评价工作职责为负责全盘工作。</w:t>
      </w:r>
    </w:p>
    <w:p>
      <w:pPr>
        <w:pStyle w:val="49"/>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　　乔华、王占和</w:t>
      </w:r>
      <w:r>
        <w:rPr>
          <w:rFonts w:hint="eastAsia" w:ascii="仿宋" w:hAnsi="仿宋" w:eastAsia="仿宋" w:cs="仿宋"/>
          <w:color w:val="auto"/>
          <w:sz w:val="28"/>
          <w:szCs w:val="28"/>
          <w:highlight w:val="none"/>
        </w:rPr>
        <w:t>任评价组副组长，绩效评价工作职责为对项目实施情况进行实地调查。</w:t>
      </w:r>
    </w:p>
    <w:p>
      <w:pPr>
        <w:pStyle w:val="49"/>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lang w:val="en-US" w:eastAsia="zh-CN"/>
        </w:rPr>
        <w:t xml:space="preserve">　   </w:t>
      </w:r>
      <w:r>
        <w:rPr>
          <w:rFonts w:hint="eastAsia" w:ascii="仿宋" w:hAnsi="仿宋" w:eastAsia="仿宋" w:cs="仿宋"/>
          <w:sz w:val="28"/>
          <w:lang w:val="en-US" w:eastAsia="zh-CN"/>
        </w:rPr>
        <w:t>苏潇、魏贤程、吕东、王旭奎、夏红艳、贺强、朱建华、陈静、孙强</w:t>
      </w:r>
      <w:r>
        <w:rPr>
          <w:rFonts w:hint="eastAsia" w:ascii="仿宋" w:hAnsi="仿宋" w:eastAsia="仿宋" w:cs="仿宋"/>
          <w:color w:val="auto"/>
          <w:sz w:val="28"/>
          <w:szCs w:val="28"/>
          <w:highlight w:val="none"/>
        </w:rPr>
        <w:t>任评价组成员，绩效评价工作职责为负责资料审核等工作</w:t>
      </w:r>
      <w:r>
        <w:rPr>
          <w:rFonts w:hint="eastAsia" w:ascii="仿宋" w:hAnsi="仿宋" w:eastAsia="仿宋" w:cs="仿宋"/>
          <w:color w:val="auto"/>
          <w:sz w:val="28"/>
          <w:szCs w:val="28"/>
          <w:highlight w:val="none"/>
          <w:lang w:eastAsia="zh-CN"/>
        </w:rPr>
        <w:t>。</w:t>
      </w:r>
    </w:p>
    <w:p>
      <w:pPr>
        <w:pStyle w:val="49"/>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　　</w:t>
      </w:r>
      <w:r>
        <w:rPr>
          <w:rFonts w:hint="eastAsia" w:ascii="仿宋" w:hAnsi="仿宋" w:eastAsia="仿宋" w:cs="仿宋"/>
          <w:sz w:val="28"/>
          <w:szCs w:val="28"/>
          <w:highlight w:val="none"/>
        </w:rPr>
        <w:t>第二阶段：组织实施。经评价组通过实地调研等方式，采用综合分析法对项目的决策、管理、绩效进行的综合评价分析。</w:t>
      </w:r>
    </w:p>
    <w:p>
      <w:pPr>
        <w:pStyle w:val="49"/>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　　</w:t>
      </w:r>
      <w:r>
        <w:rPr>
          <w:rFonts w:hint="eastAsia" w:ascii="仿宋" w:hAnsi="仿宋" w:eastAsia="仿宋" w:cs="仿宋"/>
          <w:sz w:val="28"/>
          <w:szCs w:val="28"/>
          <w:highlight w:val="none"/>
        </w:rPr>
        <w:t>第三阶段：分析评价。首先按照指标体系进行定量、定性分析。其次开展量化打分、综合评价工作，形成初步评价结论。最后归纳整体项目情况与存在问题，撰写部门绩效评价报告。</w:t>
      </w:r>
    </w:p>
    <w:p>
      <w:pPr>
        <w:pStyle w:val="49"/>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sz w:val="28"/>
          <w:szCs w:val="28"/>
          <w:highlight w:val="none"/>
        </w:rPr>
      </w:pPr>
      <w:bookmarkStart w:id="1" w:name="_Toc2618"/>
      <w:r>
        <w:rPr>
          <w:rFonts w:hint="eastAsia" w:ascii="仿宋" w:hAnsi="仿宋" w:eastAsia="仿宋" w:cs="仿宋"/>
          <w:sz w:val="28"/>
          <w:szCs w:val="28"/>
          <w:highlight w:val="none"/>
          <w:lang w:eastAsia="zh-CN"/>
        </w:rPr>
        <w:t>　　第四阶段：</w:t>
      </w:r>
      <w:r>
        <w:rPr>
          <w:rFonts w:hint="eastAsia" w:ascii="仿宋" w:hAnsi="仿宋" w:eastAsia="仿宋" w:cs="仿宋"/>
          <w:sz w:val="28"/>
          <w:szCs w:val="28"/>
          <w:highlight w:val="none"/>
        </w:rPr>
        <w:t>撰写与提交评价报告</w:t>
      </w:r>
      <w:bookmarkEnd w:id="1"/>
    </w:p>
    <w:p>
      <w:pPr>
        <w:pStyle w:val="49"/>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　　</w:t>
      </w:r>
      <w:r>
        <w:rPr>
          <w:rFonts w:hint="eastAsia" w:ascii="仿宋" w:hAnsi="仿宋" w:eastAsia="仿宋" w:cs="仿宋"/>
          <w:sz w:val="28"/>
          <w:szCs w:val="28"/>
          <w:highlight w:val="none"/>
        </w:rPr>
        <w:t>项目撰写绩效评价报告，按照财政局大平台绩效系统中统一格式和文本框架撰写绩效评价报告。</w:t>
      </w:r>
    </w:p>
    <w:p>
      <w:pPr>
        <w:pStyle w:val="49"/>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sz w:val="28"/>
          <w:szCs w:val="28"/>
          <w:highlight w:val="none"/>
        </w:rPr>
      </w:pPr>
      <w:bookmarkStart w:id="2" w:name="_Toc5055"/>
      <w:r>
        <w:rPr>
          <w:rFonts w:hint="eastAsia" w:ascii="仿宋" w:hAnsi="仿宋" w:eastAsia="仿宋" w:cs="仿宋"/>
          <w:sz w:val="28"/>
          <w:szCs w:val="28"/>
          <w:highlight w:val="none"/>
          <w:lang w:eastAsia="zh-CN"/>
        </w:rPr>
        <w:t>　　第五阶段：</w:t>
      </w:r>
      <w:r>
        <w:rPr>
          <w:rFonts w:hint="eastAsia" w:ascii="仿宋" w:hAnsi="仿宋" w:eastAsia="仿宋" w:cs="仿宋"/>
          <w:sz w:val="28"/>
          <w:szCs w:val="28"/>
          <w:highlight w:val="none"/>
        </w:rPr>
        <w:t>归集档案</w:t>
      </w:r>
      <w:bookmarkEnd w:id="2"/>
    </w:p>
    <w:p>
      <w:pPr>
        <w:keepNext w:val="0"/>
        <w:keepLines w:val="0"/>
        <w:pageBreakBefore w:val="0"/>
        <w:numPr>
          <w:ilvl w:val="0"/>
          <w:numId w:val="0"/>
        </w:numPr>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highlight w:val="none"/>
        </w:rPr>
        <w:t>建立和落实档案管理制度，将项目相关资料存档，包括但不限于：评价项目基本情况和相关文件、评价实施方案、项目支付资料等相关档案</w:t>
      </w:r>
      <w:r>
        <w:rPr>
          <w:rFonts w:hint="eastAsia" w:ascii="仿宋" w:hAnsi="仿宋" w:eastAsia="仿宋" w:cs="仿宋"/>
          <w:bCs/>
          <w:sz w:val="28"/>
          <w:szCs w:val="28"/>
        </w:rPr>
        <w:t>。</w:t>
      </w:r>
    </w:p>
    <w:p>
      <w:pPr>
        <w:ind w:firstLine="640" w:firstLineChars="200"/>
        <w:rPr>
          <w:rFonts w:hint="eastAsia" w:ascii="方正黑体_GBK" w:hAnsi="方正黑体_GBK" w:eastAsia="方正黑体_GBK" w:cs="方正黑体_GBK"/>
          <w:b/>
          <w:bCs/>
          <w:sz w:val="32"/>
          <w:szCs w:val="32"/>
          <w:highlight w:val="none"/>
        </w:rPr>
      </w:pPr>
      <w:r>
        <w:rPr>
          <w:rFonts w:hint="eastAsia" w:ascii="方正黑体_GBK" w:hAnsi="方正黑体_GBK" w:eastAsia="方正黑体_GBK" w:cs="方正黑体_GBK"/>
          <w:b/>
          <w:bCs/>
          <w:sz w:val="32"/>
          <w:szCs w:val="32"/>
          <w:highlight w:val="none"/>
          <w:lang w:val="en-US" w:eastAsia="zh-CN"/>
        </w:rPr>
        <w:t>三、</w:t>
      </w:r>
      <w:r>
        <w:rPr>
          <w:rFonts w:hint="eastAsia" w:ascii="方正黑体_GBK" w:hAnsi="方正黑体_GBK" w:eastAsia="方正黑体_GBK" w:cs="方正黑体_GBK"/>
          <w:b/>
          <w:bCs/>
          <w:sz w:val="32"/>
          <w:szCs w:val="32"/>
          <w:highlight w:val="none"/>
        </w:rPr>
        <w:t>综合评价情况及评价结论（附相关评分表）</w:t>
      </w:r>
    </w:p>
    <w:p>
      <w:pPr>
        <w:pStyle w:val="50"/>
        <w:ind w:left="0" w:leftChars="0" w:firstLine="562" w:firstLineChars="200"/>
        <w:rPr>
          <w:rFonts w:hint="eastAsia" w:ascii="仿宋" w:hAnsi="仿宋" w:eastAsia="仿宋" w:cs="仿宋"/>
          <w:b/>
          <w:bCs/>
          <w:i w:val="0"/>
          <w:iCs w:val="0"/>
          <w:sz w:val="28"/>
          <w:szCs w:val="28"/>
          <w:highlight w:val="none"/>
        </w:rPr>
      </w:pPr>
      <w:r>
        <w:rPr>
          <w:rFonts w:hint="eastAsia" w:ascii="仿宋" w:hAnsi="仿宋" w:eastAsia="仿宋" w:cs="仿宋"/>
          <w:b/>
          <w:bCs/>
          <w:i w:val="0"/>
          <w:iCs w:val="0"/>
          <w:sz w:val="28"/>
          <w:szCs w:val="28"/>
          <w:highlight w:val="none"/>
        </w:rPr>
        <w:t>（一）综合评价情况</w:t>
      </w:r>
    </w:p>
    <w:p>
      <w:pPr>
        <w:pStyle w:val="49"/>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sz w:val="28"/>
          <w:szCs w:val="28"/>
          <w:highlight w:val="none"/>
        </w:rPr>
      </w:pPr>
      <w:bookmarkStart w:id="3" w:name="_Toc68364666"/>
      <w:r>
        <w:rPr>
          <w:rFonts w:hint="eastAsia" w:ascii="仿宋" w:hAnsi="仿宋" w:eastAsia="仿宋" w:cs="仿宋"/>
          <w:sz w:val="28"/>
          <w:szCs w:val="28"/>
          <w:highlight w:val="none"/>
          <w:lang w:eastAsia="zh-CN"/>
        </w:rPr>
        <w:t>　　</w:t>
      </w:r>
      <w:r>
        <w:rPr>
          <w:rFonts w:hint="eastAsia" w:ascii="仿宋" w:hAnsi="仿宋" w:eastAsia="仿宋" w:cs="仿宋"/>
          <w:sz w:val="28"/>
          <w:szCs w:val="28"/>
          <w:highlight w:val="none"/>
        </w:rPr>
        <w:t>依据</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项目支出绩效评价管理办法</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p>
    <w:p>
      <w:pPr>
        <w:spacing w:line="480" w:lineRule="auto"/>
        <w:ind w:firstLine="0" w:firstLineChars="0"/>
        <w:jc w:val="left"/>
        <w:rPr>
          <w:rFonts w:hint="eastAsia" w:ascii="仿宋" w:hAnsi="仿宋" w:eastAsia="仿宋" w:cs="仿宋"/>
          <w:kern w:val="0"/>
          <w:sz w:val="28"/>
          <w:szCs w:val="28"/>
          <w:highlight w:val="none"/>
          <w:lang w:val="en-US" w:eastAsia="zh-CN" w:bidi="ar-SA"/>
        </w:rPr>
      </w:pPr>
      <w:r>
        <w:rPr>
          <w:rFonts w:hint="eastAsia" w:ascii="仿宋" w:hAnsi="仿宋" w:eastAsia="仿宋" w:cs="仿宋"/>
          <w:kern w:val="0"/>
          <w:sz w:val="28"/>
          <w:szCs w:val="28"/>
          <w:highlight w:val="none"/>
          <w:lang w:val="en-US" w:eastAsia="zh-CN" w:bidi="ar-SA"/>
        </w:rPr>
        <w:t>　　评价组对照项目绩效评价指标体系，从决策、过程、产出和效益四个维度，通过数据采集、实地调研和问卷访谈等方式，对“</w:t>
      </w:r>
      <w:r>
        <w:rPr>
          <w:rFonts w:hint="eastAsia" w:ascii="仿宋" w:hAnsi="仿宋" w:eastAsia="仿宋" w:cs="仿宋"/>
          <w:b w:val="0"/>
          <w:bCs w:val="0"/>
          <w:sz w:val="28"/>
          <w:szCs w:val="28"/>
        </w:rPr>
        <w:t>新疆地质</w:t>
      </w:r>
      <w:r>
        <w:rPr>
          <w:rFonts w:hint="eastAsia" w:ascii="仿宋" w:hAnsi="仿宋" w:eastAsia="仿宋" w:cs="仿宋"/>
          <w:b w:val="0"/>
          <w:bCs w:val="0"/>
          <w:sz w:val="28"/>
          <w:szCs w:val="28"/>
          <w:lang w:val="en-US" w:eastAsia="zh-CN"/>
        </w:rPr>
        <w:t>市场经营</w:t>
      </w:r>
      <w:r>
        <w:rPr>
          <w:rFonts w:hint="eastAsia" w:ascii="仿宋" w:hAnsi="仿宋" w:eastAsia="仿宋" w:cs="仿宋"/>
          <w:kern w:val="0"/>
          <w:sz w:val="28"/>
          <w:szCs w:val="28"/>
          <w:highlight w:val="none"/>
          <w:lang w:val="en-US" w:eastAsia="zh-CN" w:bidi="ar-SA"/>
        </w:rPr>
        <w:t>”项目绩效进行客观公正的评价，本项目总得分为93.74分，绩效评级属于“优”。其中，决策类指标得分20分，过程类指标得分18.74分，产出类指标得分35分，效益类指标得分20分。</w:t>
      </w:r>
    </w:p>
    <w:p>
      <w:pPr>
        <w:pStyle w:val="49"/>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eastAsia="zh-CN"/>
        </w:rPr>
        <w:t>　　</w:t>
      </w:r>
      <w:r>
        <w:rPr>
          <w:rFonts w:hint="eastAsia" w:ascii="仿宋" w:hAnsi="仿宋" w:eastAsia="仿宋" w:cs="仿宋"/>
          <w:b/>
          <w:bCs/>
          <w:sz w:val="28"/>
          <w:szCs w:val="28"/>
          <w:highlight w:val="none"/>
        </w:rPr>
        <w:t>（二）综合评价结论</w:t>
      </w:r>
    </w:p>
    <w:bookmarkEnd w:id="3"/>
    <w:p>
      <w:pPr>
        <w:pStyle w:val="49"/>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经评价，本项目达到了年初设立的绩效目标，在实施过程中取得了良好的成效，具体表现在：随着西部大开发战略的实施和资源、环境可持续发展需要，新疆维吾尔自治区地质环境监测院将把各族人民的安危牢记在心间，以最优的服务质量，不断完善管理制度，开展建设项目地质灾害危险性评估、压覆矿产资源评估、矿山地质环境保护与土地复垦方案、地质灾害防治规划、地质环境监测规划工作，为建设项目建设用地报批及地质灾害防治提供科学依据，为矿权申报提供依据，为地方政府地质灾害防治规划、地质环境监测规划提供依据。</w:t>
      </w:r>
    </w:p>
    <w:p>
      <w:pPr>
        <w:ind w:firstLine="640" w:firstLineChars="200"/>
        <w:rPr>
          <w:rFonts w:hint="eastAsia" w:ascii="方正黑体_GBK" w:hAnsi="方正黑体_GBK" w:eastAsia="方正黑体_GBK" w:cs="方正黑体_GBK"/>
          <w:b/>
          <w:bCs/>
          <w:sz w:val="32"/>
          <w:szCs w:val="32"/>
          <w:highlight w:val="none"/>
          <w:lang w:eastAsia="zh-CN"/>
        </w:rPr>
      </w:pPr>
      <w:r>
        <w:rPr>
          <w:rFonts w:hint="eastAsia" w:ascii="方正黑体_GBK" w:hAnsi="方正黑体_GBK" w:eastAsia="方正黑体_GBK" w:cs="方正黑体_GBK"/>
          <w:b/>
          <w:bCs/>
          <w:sz w:val="32"/>
          <w:szCs w:val="32"/>
          <w:highlight w:val="none"/>
        </w:rPr>
        <w:t>四、绩效评价指标分析</w:t>
      </w:r>
    </w:p>
    <w:p>
      <w:pPr>
        <w:keepNext w:val="0"/>
        <w:keepLines w:val="0"/>
        <w:pageBreakBefore w:val="0"/>
        <w:kinsoku/>
        <w:wordWrap/>
        <w:overflowPunct/>
        <w:topLinePunct w:val="0"/>
        <w:autoSpaceDE/>
        <w:autoSpaceDN/>
        <w:bidi w:val="0"/>
        <w:adjustRightInd/>
        <w:snapToGrid/>
        <w:spacing w:line="480" w:lineRule="exact"/>
        <w:ind w:left="0" w:leftChars="0" w:firstLine="546" w:firstLineChars="200"/>
        <w:textAlignment w:val="auto"/>
        <w:rPr>
          <w:rStyle w:val="21"/>
          <w:rFonts w:hint="eastAsia" w:ascii="仿宋" w:hAnsi="仿宋" w:eastAsia="仿宋" w:cs="仿宋"/>
          <w:b/>
          <w:bCs w:val="0"/>
          <w:spacing w:val="-4"/>
          <w:sz w:val="28"/>
          <w:szCs w:val="28"/>
        </w:rPr>
      </w:pPr>
      <w:r>
        <w:rPr>
          <w:rStyle w:val="21"/>
          <w:rFonts w:hint="eastAsia" w:ascii="仿宋" w:hAnsi="仿宋" w:eastAsia="仿宋" w:cs="仿宋"/>
          <w:b/>
          <w:bCs w:val="0"/>
          <w:spacing w:val="-4"/>
          <w:sz w:val="28"/>
          <w:szCs w:val="28"/>
        </w:rPr>
        <w:t>（一）项目决策情况。</w:t>
      </w:r>
    </w:p>
    <w:p>
      <w:pPr>
        <w:keepNext w:val="0"/>
        <w:keepLines w:val="0"/>
        <w:pageBreakBefore w:val="0"/>
        <w:widowControl w:val="0"/>
        <w:kinsoku/>
        <w:wordWrap/>
        <w:overflowPunct w:val="0"/>
        <w:topLinePunct w:val="0"/>
        <w:autoSpaceDE/>
        <w:autoSpaceDN/>
        <w:bidi w:val="0"/>
        <w:adjustRightInd/>
        <w:snapToGrid/>
        <w:spacing w:line="560" w:lineRule="exact"/>
        <w:ind w:firstLine="560" w:firstLineChars="200"/>
        <w:contextualSpacing/>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项目决策类指标包括项目立项、绩效目标和资金投入三方面的内容，由6个三级指标构成，权重分为 20 分，实际得分</w:t>
      </w:r>
      <w:r>
        <w:rPr>
          <w:rFonts w:hint="eastAsia" w:ascii="仿宋" w:hAnsi="仿宋" w:eastAsia="仿宋" w:cs="仿宋"/>
          <w:sz w:val="28"/>
          <w:szCs w:val="28"/>
          <w:highlight w:val="none"/>
          <w:lang w:val="en-US" w:eastAsia="zh-CN"/>
        </w:rPr>
        <w:t>20</w:t>
      </w:r>
      <w:r>
        <w:rPr>
          <w:rFonts w:hint="eastAsia" w:ascii="仿宋" w:hAnsi="仿宋" w:eastAsia="仿宋" w:cs="仿宋"/>
          <w:sz w:val="28"/>
          <w:szCs w:val="28"/>
          <w:highlight w:val="none"/>
        </w:rPr>
        <w:t>分，得分率为</w:t>
      </w:r>
      <w:r>
        <w:rPr>
          <w:rFonts w:hint="eastAsia" w:ascii="仿宋" w:hAnsi="仿宋" w:eastAsia="仿宋" w:cs="仿宋"/>
          <w:sz w:val="28"/>
          <w:szCs w:val="28"/>
          <w:highlight w:val="none"/>
          <w:lang w:val="en-US" w:eastAsia="zh-CN"/>
        </w:rPr>
        <w:t>100</w:t>
      </w:r>
      <w:r>
        <w:rPr>
          <w:rFonts w:hint="eastAsia" w:ascii="仿宋" w:hAnsi="仿宋" w:eastAsia="仿宋" w:cs="仿宋"/>
          <w:sz w:val="28"/>
          <w:szCs w:val="28"/>
          <w:highlight w:val="none"/>
        </w:rPr>
        <w:t>%。</w:t>
      </w:r>
    </w:p>
    <w:p>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lang w:eastAsia="zh-CN"/>
        </w:rPr>
        <w:t>　　</w:t>
      </w:r>
      <w:r>
        <w:rPr>
          <w:rFonts w:hint="eastAsia" w:ascii="仿宋" w:hAnsi="仿宋" w:eastAsia="仿宋" w:cs="仿宋"/>
          <w:b/>
          <w:bCs/>
          <w:sz w:val="28"/>
          <w:szCs w:val="28"/>
          <w:highlight w:val="none"/>
        </w:rPr>
        <w:t>（1）立项依据充分性：</w:t>
      </w:r>
      <w:r>
        <w:rPr>
          <w:rFonts w:hint="eastAsia" w:ascii="仿宋" w:hAnsi="仿宋" w:eastAsia="仿宋" w:cs="仿宋"/>
          <w:sz w:val="28"/>
          <w:szCs w:val="28"/>
        </w:rPr>
        <w:t>《</w:t>
      </w:r>
      <w:r>
        <w:rPr>
          <w:rFonts w:hint="eastAsia" w:ascii="仿宋" w:hAnsi="仿宋" w:eastAsia="仿宋" w:cs="仿宋"/>
          <w:sz w:val="28"/>
          <w:szCs w:val="28"/>
          <w:lang w:val="en-US" w:eastAsia="zh-CN"/>
        </w:rPr>
        <w:t>关于批复自治区本级2024年部门预算的通知</w:t>
      </w:r>
      <w:r>
        <w:rPr>
          <w:rFonts w:hint="eastAsia" w:ascii="仿宋" w:hAnsi="仿宋" w:eastAsia="仿宋" w:cs="仿宋"/>
          <w:sz w:val="28"/>
          <w:szCs w:val="28"/>
        </w:rPr>
        <w:t>》（新</w:t>
      </w:r>
      <w:r>
        <w:rPr>
          <w:rFonts w:hint="eastAsia" w:ascii="仿宋" w:hAnsi="仿宋" w:eastAsia="仿宋" w:cs="仿宋"/>
          <w:sz w:val="28"/>
          <w:szCs w:val="28"/>
          <w:lang w:val="en-US" w:eastAsia="zh-CN"/>
        </w:rPr>
        <w:t>财预</w:t>
      </w:r>
      <w:r>
        <w:rPr>
          <w:rFonts w:hint="eastAsia" w:ascii="仿宋" w:hAnsi="仿宋" w:eastAsia="仿宋" w:cs="仿宋"/>
          <w:sz w:val="28"/>
          <w:szCs w:val="28"/>
        </w:rPr>
        <w:t>〔20</w:t>
      </w:r>
      <w:r>
        <w:rPr>
          <w:rFonts w:hint="eastAsia" w:ascii="仿宋" w:hAnsi="仿宋" w:eastAsia="仿宋" w:cs="仿宋"/>
          <w:sz w:val="28"/>
          <w:szCs w:val="28"/>
          <w:lang w:val="en-US" w:eastAsia="zh-CN"/>
        </w:rPr>
        <w:t>24</w:t>
      </w:r>
      <w:r>
        <w:rPr>
          <w:rFonts w:hint="eastAsia" w:ascii="仿宋" w:hAnsi="仿宋" w:eastAsia="仿宋" w:cs="仿宋"/>
          <w:sz w:val="28"/>
          <w:szCs w:val="28"/>
        </w:rPr>
        <w:t>〕</w:t>
      </w:r>
      <w:r>
        <w:rPr>
          <w:rFonts w:hint="eastAsia" w:ascii="仿宋" w:hAnsi="仿宋" w:eastAsia="仿宋" w:cs="仿宋"/>
          <w:sz w:val="28"/>
          <w:szCs w:val="28"/>
          <w:lang w:val="en-US" w:eastAsia="zh-CN"/>
        </w:rPr>
        <w:t>1</w:t>
      </w:r>
      <w:r>
        <w:rPr>
          <w:rFonts w:hint="eastAsia" w:ascii="仿宋" w:hAnsi="仿宋" w:eastAsia="仿宋" w:cs="仿宋"/>
          <w:sz w:val="28"/>
          <w:szCs w:val="28"/>
        </w:rPr>
        <w:t>号）、《关于</w:t>
      </w:r>
      <w:r>
        <w:rPr>
          <w:rFonts w:hint="eastAsia" w:ascii="仿宋" w:hAnsi="仿宋" w:eastAsia="仿宋" w:cs="仿宋"/>
          <w:sz w:val="28"/>
          <w:szCs w:val="28"/>
          <w:lang w:val="en-US" w:eastAsia="zh-CN"/>
        </w:rPr>
        <w:t>批复2024年直属单位预算的通知</w:t>
      </w:r>
      <w:r>
        <w:rPr>
          <w:rFonts w:hint="eastAsia" w:ascii="仿宋" w:hAnsi="仿宋" w:eastAsia="仿宋" w:cs="仿宋"/>
          <w:sz w:val="28"/>
          <w:szCs w:val="28"/>
        </w:rPr>
        <w:t>》新</w:t>
      </w:r>
      <w:r>
        <w:rPr>
          <w:rFonts w:hint="eastAsia" w:ascii="仿宋" w:hAnsi="仿宋" w:eastAsia="仿宋" w:cs="仿宋"/>
          <w:sz w:val="28"/>
          <w:szCs w:val="28"/>
          <w:lang w:val="en-US" w:eastAsia="zh-CN"/>
        </w:rPr>
        <w:t>自然资函</w:t>
      </w:r>
      <w:r>
        <w:rPr>
          <w:rFonts w:hint="eastAsia" w:ascii="仿宋" w:hAnsi="仿宋" w:eastAsia="仿宋" w:cs="仿宋"/>
          <w:sz w:val="28"/>
          <w:szCs w:val="28"/>
        </w:rPr>
        <w:t>〔202</w:t>
      </w:r>
      <w:r>
        <w:rPr>
          <w:rFonts w:hint="eastAsia" w:ascii="仿宋" w:hAnsi="仿宋" w:eastAsia="仿宋" w:cs="仿宋"/>
          <w:sz w:val="28"/>
          <w:szCs w:val="28"/>
          <w:lang w:val="en-US" w:eastAsia="zh-CN"/>
        </w:rPr>
        <w:t>4</w:t>
      </w:r>
      <w:r>
        <w:rPr>
          <w:rFonts w:hint="eastAsia" w:ascii="仿宋" w:hAnsi="仿宋" w:eastAsia="仿宋" w:cs="仿宋"/>
          <w:sz w:val="28"/>
          <w:szCs w:val="28"/>
        </w:rPr>
        <w:t>〕</w:t>
      </w:r>
      <w:r>
        <w:rPr>
          <w:rFonts w:hint="eastAsia" w:ascii="仿宋" w:hAnsi="仿宋" w:eastAsia="仿宋" w:cs="仿宋"/>
          <w:sz w:val="28"/>
          <w:szCs w:val="28"/>
          <w:lang w:val="en-US" w:eastAsia="zh-CN"/>
        </w:rPr>
        <w:t>46</w:t>
      </w:r>
      <w:r>
        <w:rPr>
          <w:rFonts w:hint="eastAsia" w:ascii="仿宋" w:hAnsi="仿宋" w:eastAsia="仿宋" w:cs="仿宋"/>
          <w:sz w:val="28"/>
          <w:szCs w:val="28"/>
        </w:rPr>
        <w:t>号</w:t>
      </w:r>
      <w:r>
        <w:rPr>
          <w:rFonts w:hint="eastAsia" w:ascii="仿宋" w:hAnsi="仿宋" w:eastAsia="仿宋" w:cs="仿宋"/>
          <w:sz w:val="28"/>
          <w:szCs w:val="28"/>
          <w:highlight w:val="none"/>
          <w:lang w:val="en-US" w:eastAsia="zh-CN"/>
        </w:rPr>
        <w:t>并结合新疆维吾尔自治区地质环境监测院</w:t>
      </w:r>
      <w:r>
        <w:rPr>
          <w:rFonts w:hint="eastAsia" w:ascii="仿宋" w:hAnsi="仿宋" w:eastAsia="仿宋" w:cs="仿宋"/>
          <w:sz w:val="28"/>
          <w:szCs w:val="28"/>
          <w:highlight w:val="none"/>
        </w:rPr>
        <w:t>职责组织实施。围绕</w:t>
      </w:r>
      <w:r>
        <w:rPr>
          <w:rFonts w:hint="eastAsia" w:ascii="仿宋" w:hAnsi="仿宋" w:eastAsia="仿宋" w:cs="仿宋"/>
          <w:sz w:val="28"/>
          <w:szCs w:val="28"/>
          <w:highlight w:val="none"/>
          <w:lang w:val="en-US" w:eastAsia="zh-CN"/>
        </w:rPr>
        <w:t>新疆维吾尔自治区地质环境监测院</w:t>
      </w:r>
      <w:r>
        <w:rPr>
          <w:rFonts w:hint="eastAsia" w:ascii="仿宋" w:hAnsi="仿宋" w:eastAsia="仿宋" w:cs="仿宋"/>
          <w:sz w:val="28"/>
          <w:szCs w:val="28"/>
          <w:highlight w:val="none"/>
        </w:rPr>
        <w:t>年度工作重点和工作计划制定经费预算，根据评分标准，该指标不扣分，得3分。</w:t>
      </w:r>
    </w:p>
    <w:p>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lang w:eastAsia="zh-CN"/>
        </w:rPr>
        <w:t>　　</w:t>
      </w:r>
      <w:r>
        <w:rPr>
          <w:rFonts w:hint="eastAsia" w:ascii="仿宋" w:hAnsi="仿宋" w:eastAsia="仿宋" w:cs="仿宋"/>
          <w:b/>
          <w:bCs/>
          <w:sz w:val="28"/>
          <w:szCs w:val="28"/>
          <w:highlight w:val="none"/>
        </w:rPr>
        <w:t>（2）立项程序规范性：</w:t>
      </w:r>
      <w:r>
        <w:rPr>
          <w:rFonts w:hint="eastAsia" w:ascii="仿宋" w:hAnsi="仿宋" w:eastAsia="仿宋" w:cs="仿宋"/>
          <w:sz w:val="28"/>
          <w:szCs w:val="28"/>
          <w:highlight w:val="none"/>
        </w:rPr>
        <w:t>根据决策依据编制工作计划和经费预算，经过与</w:t>
      </w:r>
      <w:r>
        <w:rPr>
          <w:rFonts w:hint="eastAsia" w:ascii="仿宋" w:hAnsi="仿宋" w:eastAsia="仿宋" w:cs="仿宋"/>
          <w:sz w:val="28"/>
          <w:szCs w:val="28"/>
          <w:highlight w:val="none"/>
          <w:lang w:val="en-US" w:eastAsia="zh-CN"/>
        </w:rPr>
        <w:t>新疆维吾尔自治区地质环境监测院财经领导小组</w:t>
      </w:r>
      <w:r>
        <w:rPr>
          <w:rFonts w:hint="eastAsia" w:ascii="仿宋" w:hAnsi="仿宋" w:eastAsia="仿宋" w:cs="仿宋"/>
          <w:sz w:val="28"/>
          <w:szCs w:val="28"/>
          <w:highlight w:val="none"/>
        </w:rPr>
        <w:t>进行沟通、筛选确定经费预算计划，上</w:t>
      </w:r>
      <w:r>
        <w:rPr>
          <w:rFonts w:hint="eastAsia" w:ascii="仿宋" w:hAnsi="仿宋" w:eastAsia="仿宋" w:cs="仿宋"/>
          <w:sz w:val="28"/>
          <w:szCs w:val="28"/>
          <w:highlight w:val="none"/>
          <w:lang w:val="en-US" w:eastAsia="zh-CN"/>
        </w:rPr>
        <w:t>院党总支扩大会议</w:t>
      </w:r>
      <w:r>
        <w:rPr>
          <w:rFonts w:hint="eastAsia" w:ascii="仿宋" w:hAnsi="仿宋" w:eastAsia="仿宋" w:cs="仿宋"/>
          <w:sz w:val="28"/>
          <w:szCs w:val="28"/>
          <w:highlight w:val="none"/>
        </w:rPr>
        <w:t>研究确定最终预算方案，根据评分标准，该指标不扣分，得</w:t>
      </w: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rPr>
        <w:t>分。</w:t>
      </w:r>
    </w:p>
    <w:p>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lang w:eastAsia="zh-CN"/>
        </w:rPr>
        <w:t>　　</w:t>
      </w:r>
      <w:r>
        <w:rPr>
          <w:rFonts w:hint="eastAsia" w:ascii="仿宋" w:hAnsi="仿宋" w:eastAsia="仿宋" w:cs="仿宋"/>
          <w:b/>
          <w:bCs/>
          <w:sz w:val="28"/>
          <w:szCs w:val="28"/>
          <w:highlight w:val="none"/>
        </w:rPr>
        <w:t>（3）绩效目标合理性</w:t>
      </w:r>
      <w:r>
        <w:rPr>
          <w:rFonts w:hint="eastAsia" w:ascii="仿宋" w:hAnsi="仿宋" w:eastAsia="仿宋" w:cs="仿宋"/>
          <w:sz w:val="28"/>
          <w:szCs w:val="28"/>
          <w:highlight w:val="none"/>
        </w:rPr>
        <w:t>：制定了实施方案，明确了总体思路及目标、并对任务进行了详细分解，对目标进行了细化，根据评分标准，该指标不扣分，得</w:t>
      </w: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rPr>
        <w:t>分。</w:t>
      </w:r>
    </w:p>
    <w:p>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lang w:eastAsia="zh-CN"/>
        </w:rPr>
        <w:t>　　</w:t>
      </w:r>
      <w:r>
        <w:rPr>
          <w:rFonts w:hint="eastAsia" w:ascii="仿宋" w:hAnsi="仿宋" w:eastAsia="仿宋" w:cs="仿宋"/>
          <w:b/>
          <w:bCs/>
          <w:sz w:val="28"/>
          <w:szCs w:val="28"/>
          <w:highlight w:val="none"/>
        </w:rPr>
        <w:t>（4）绩效指标明确性：</w:t>
      </w:r>
      <w:r>
        <w:rPr>
          <w:rFonts w:hint="eastAsia" w:ascii="仿宋" w:hAnsi="仿宋" w:eastAsia="仿宋" w:cs="仿宋"/>
          <w:sz w:val="28"/>
          <w:szCs w:val="28"/>
          <w:highlight w:val="none"/>
        </w:rPr>
        <w:t>将项目绩效目标细化分解为具体的绩效指标，根据评分标准，该指标不扣分，得</w:t>
      </w: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rPr>
        <w:t>分。</w:t>
      </w:r>
    </w:p>
    <w:p>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lang w:eastAsia="zh-CN"/>
        </w:rPr>
        <w:t>　　</w:t>
      </w:r>
      <w:r>
        <w:rPr>
          <w:rFonts w:hint="eastAsia" w:ascii="仿宋" w:hAnsi="仿宋" w:eastAsia="仿宋" w:cs="仿宋"/>
          <w:b/>
          <w:bCs/>
          <w:sz w:val="28"/>
          <w:szCs w:val="28"/>
          <w:highlight w:val="none"/>
        </w:rPr>
        <w:t>（5）预算编制科学性：</w:t>
      </w:r>
      <w:r>
        <w:rPr>
          <w:rFonts w:hint="eastAsia" w:ascii="仿宋" w:hAnsi="仿宋" w:eastAsia="仿宋" w:cs="仿宋"/>
          <w:sz w:val="28"/>
          <w:szCs w:val="28"/>
          <w:highlight w:val="none"/>
          <w:lang w:val="en-US" w:eastAsia="zh-CN"/>
        </w:rPr>
        <w:t>预算编制经</w:t>
      </w:r>
      <w:r>
        <w:rPr>
          <w:rFonts w:hint="eastAsia" w:ascii="仿宋" w:hAnsi="仿宋" w:eastAsia="仿宋" w:cs="仿宋"/>
          <w:sz w:val="28"/>
          <w:szCs w:val="28"/>
        </w:rPr>
        <w:t>过自治区《</w:t>
      </w:r>
      <w:r>
        <w:rPr>
          <w:rFonts w:hint="eastAsia" w:ascii="仿宋" w:hAnsi="仿宋" w:eastAsia="仿宋" w:cs="仿宋"/>
          <w:sz w:val="28"/>
          <w:szCs w:val="28"/>
          <w:lang w:val="en-US" w:eastAsia="zh-CN"/>
        </w:rPr>
        <w:t>关于批复自治区本级2024年部门预算的通知</w:t>
      </w:r>
      <w:r>
        <w:rPr>
          <w:rFonts w:hint="eastAsia" w:ascii="仿宋" w:hAnsi="仿宋" w:eastAsia="仿宋" w:cs="仿宋"/>
          <w:sz w:val="28"/>
          <w:szCs w:val="28"/>
        </w:rPr>
        <w:t>》（新</w:t>
      </w:r>
      <w:r>
        <w:rPr>
          <w:rFonts w:hint="eastAsia" w:ascii="仿宋" w:hAnsi="仿宋" w:eastAsia="仿宋" w:cs="仿宋"/>
          <w:sz w:val="28"/>
          <w:szCs w:val="28"/>
          <w:lang w:val="en-US" w:eastAsia="zh-CN"/>
        </w:rPr>
        <w:t>财预</w:t>
      </w:r>
      <w:r>
        <w:rPr>
          <w:rFonts w:hint="eastAsia" w:ascii="仿宋" w:hAnsi="仿宋" w:eastAsia="仿宋" w:cs="仿宋"/>
          <w:sz w:val="28"/>
          <w:szCs w:val="28"/>
        </w:rPr>
        <w:t>〔20</w:t>
      </w:r>
      <w:r>
        <w:rPr>
          <w:rFonts w:hint="eastAsia" w:ascii="仿宋" w:hAnsi="仿宋" w:eastAsia="仿宋" w:cs="仿宋"/>
          <w:sz w:val="28"/>
          <w:szCs w:val="28"/>
          <w:lang w:val="en-US" w:eastAsia="zh-CN"/>
        </w:rPr>
        <w:t>24</w:t>
      </w:r>
      <w:r>
        <w:rPr>
          <w:rFonts w:hint="eastAsia" w:ascii="仿宋" w:hAnsi="仿宋" w:eastAsia="仿宋" w:cs="仿宋"/>
          <w:sz w:val="28"/>
          <w:szCs w:val="28"/>
        </w:rPr>
        <w:t>〕</w:t>
      </w:r>
      <w:r>
        <w:rPr>
          <w:rFonts w:hint="eastAsia" w:ascii="仿宋" w:hAnsi="仿宋" w:eastAsia="仿宋" w:cs="仿宋"/>
          <w:sz w:val="28"/>
          <w:szCs w:val="28"/>
          <w:lang w:val="en-US" w:eastAsia="zh-CN"/>
        </w:rPr>
        <w:t>1</w:t>
      </w:r>
      <w:r>
        <w:rPr>
          <w:rFonts w:hint="eastAsia" w:ascii="仿宋" w:hAnsi="仿宋" w:eastAsia="仿宋" w:cs="仿宋"/>
          <w:sz w:val="28"/>
          <w:szCs w:val="28"/>
        </w:rPr>
        <w:t>号）、《关于</w:t>
      </w:r>
      <w:r>
        <w:rPr>
          <w:rFonts w:hint="eastAsia" w:ascii="仿宋" w:hAnsi="仿宋" w:eastAsia="仿宋" w:cs="仿宋"/>
          <w:sz w:val="28"/>
          <w:szCs w:val="28"/>
          <w:lang w:val="en-US" w:eastAsia="zh-CN"/>
        </w:rPr>
        <w:t>批复2024年直属单位预算的通知</w:t>
      </w:r>
      <w:r>
        <w:rPr>
          <w:rFonts w:hint="eastAsia" w:ascii="仿宋" w:hAnsi="仿宋" w:eastAsia="仿宋" w:cs="仿宋"/>
          <w:sz w:val="28"/>
          <w:szCs w:val="28"/>
        </w:rPr>
        <w:t>》新</w:t>
      </w:r>
      <w:r>
        <w:rPr>
          <w:rFonts w:hint="eastAsia" w:ascii="仿宋" w:hAnsi="仿宋" w:eastAsia="仿宋" w:cs="仿宋"/>
          <w:sz w:val="28"/>
          <w:szCs w:val="28"/>
          <w:lang w:val="en-US" w:eastAsia="zh-CN"/>
        </w:rPr>
        <w:t>自然</w:t>
      </w:r>
      <w:r>
        <w:rPr>
          <w:rFonts w:hint="eastAsia" w:ascii="仿宋" w:hAnsi="仿宋" w:eastAsia="仿宋" w:cs="仿宋"/>
          <w:sz w:val="28"/>
          <w:szCs w:val="28"/>
          <w:highlight w:val="none"/>
          <w:lang w:val="en-US" w:eastAsia="zh-CN"/>
        </w:rPr>
        <w:t>资函</w:t>
      </w:r>
      <w:r>
        <w:rPr>
          <w:rFonts w:hint="eastAsia" w:ascii="仿宋" w:hAnsi="仿宋" w:eastAsia="仿宋" w:cs="仿宋"/>
          <w:sz w:val="28"/>
          <w:szCs w:val="28"/>
          <w:highlight w:val="none"/>
        </w:rPr>
        <w:t>〔202</w:t>
      </w:r>
      <w:r>
        <w:rPr>
          <w:rFonts w:hint="eastAsia" w:ascii="仿宋" w:hAnsi="仿宋" w:eastAsia="仿宋" w:cs="仿宋"/>
          <w:sz w:val="28"/>
          <w:szCs w:val="28"/>
          <w:highlight w:val="none"/>
          <w:lang w:val="en-US" w:eastAsia="zh-CN"/>
        </w:rPr>
        <w:t>4</w:t>
      </w: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46</w:t>
      </w:r>
      <w:r>
        <w:rPr>
          <w:rFonts w:hint="eastAsia" w:ascii="仿宋" w:hAnsi="仿宋" w:eastAsia="仿宋" w:cs="仿宋"/>
          <w:sz w:val="28"/>
          <w:szCs w:val="28"/>
          <w:highlight w:val="none"/>
        </w:rPr>
        <w:t>号</w:t>
      </w:r>
      <w:r>
        <w:rPr>
          <w:rFonts w:hint="eastAsia" w:ascii="仿宋" w:hAnsi="仿宋" w:eastAsia="仿宋" w:cs="仿宋"/>
          <w:sz w:val="28"/>
          <w:szCs w:val="28"/>
          <w:highlight w:val="none"/>
          <w:lang w:val="en-US" w:eastAsia="zh-CN"/>
        </w:rPr>
        <w:t>下拨，实际完成</w:t>
      </w:r>
      <w:r>
        <w:rPr>
          <w:rFonts w:hint="eastAsia" w:ascii="仿宋" w:hAnsi="仿宋" w:eastAsia="仿宋" w:cs="仿宋"/>
          <w:sz w:val="28"/>
          <w:szCs w:val="28"/>
          <w:highlight w:val="none"/>
        </w:rPr>
        <w:t>内容与项目内容匹配，项目投资额与工作任务</w:t>
      </w:r>
      <w:r>
        <w:rPr>
          <w:rFonts w:hint="eastAsia" w:ascii="仿宋" w:hAnsi="仿宋" w:eastAsia="仿宋" w:cs="仿宋"/>
          <w:sz w:val="28"/>
          <w:szCs w:val="28"/>
          <w:highlight w:val="none"/>
          <w:lang w:val="en-US" w:eastAsia="zh-CN"/>
        </w:rPr>
        <w:t>相对相符</w:t>
      </w:r>
      <w:r>
        <w:rPr>
          <w:rFonts w:hint="eastAsia" w:ascii="仿宋" w:hAnsi="仿宋" w:eastAsia="仿宋" w:cs="仿宋"/>
          <w:sz w:val="28"/>
          <w:szCs w:val="28"/>
          <w:highlight w:val="none"/>
        </w:rPr>
        <w:t>，根据评分标准，该指标</w:t>
      </w:r>
      <w:r>
        <w:rPr>
          <w:rFonts w:hint="eastAsia" w:ascii="仿宋" w:hAnsi="仿宋" w:eastAsia="仿宋" w:cs="仿宋"/>
          <w:sz w:val="28"/>
          <w:szCs w:val="28"/>
          <w:highlight w:val="none"/>
        </w:rPr>
        <w:t>不扣分，得</w:t>
      </w:r>
      <w:r>
        <w:rPr>
          <w:rFonts w:hint="eastAsia" w:ascii="仿宋" w:hAnsi="仿宋" w:eastAsia="仿宋" w:cs="仿宋"/>
          <w:sz w:val="28"/>
          <w:szCs w:val="28"/>
          <w:highlight w:val="none"/>
          <w:lang w:val="en-US" w:eastAsia="zh-CN"/>
        </w:rPr>
        <w:t>5</w:t>
      </w:r>
      <w:r>
        <w:rPr>
          <w:rFonts w:hint="eastAsia" w:ascii="仿宋" w:hAnsi="仿宋" w:eastAsia="仿宋" w:cs="仿宋"/>
          <w:sz w:val="28"/>
          <w:szCs w:val="28"/>
          <w:highlight w:val="none"/>
        </w:rPr>
        <w:t>分。</w:t>
      </w:r>
    </w:p>
    <w:p>
      <w:pPr>
        <w:keepNext w:val="0"/>
        <w:keepLines w:val="0"/>
        <w:pageBreakBefore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b/>
          <w:bCs/>
          <w:sz w:val="28"/>
          <w:szCs w:val="28"/>
          <w:highlight w:val="none"/>
        </w:rPr>
        <w:t>（6）资金分配合理性：</w:t>
      </w:r>
      <w:r>
        <w:rPr>
          <w:rFonts w:hint="eastAsia" w:ascii="仿宋" w:hAnsi="仿宋" w:eastAsia="仿宋" w:cs="仿宋"/>
          <w:sz w:val="28"/>
          <w:szCs w:val="28"/>
          <w:highlight w:val="none"/>
          <w:lang w:val="en-US" w:eastAsia="zh-CN"/>
        </w:rPr>
        <w:t>资金分配按照</w:t>
      </w:r>
      <w:r>
        <w:rPr>
          <w:rFonts w:hint="eastAsia" w:ascii="仿宋" w:hAnsi="仿宋" w:eastAsia="仿宋" w:cs="仿宋"/>
          <w:color w:val="auto"/>
          <w:sz w:val="28"/>
          <w:szCs w:val="28"/>
          <w:highlight w:val="none"/>
          <w:lang w:val="zh-CN" w:eastAsia="zh-CN"/>
        </w:rPr>
        <w:t>《</w:t>
      </w:r>
      <w:r>
        <w:rPr>
          <w:rFonts w:hint="eastAsia" w:ascii="仿宋" w:hAnsi="仿宋" w:eastAsia="仿宋" w:cs="仿宋"/>
          <w:color w:val="auto"/>
          <w:sz w:val="28"/>
          <w:szCs w:val="28"/>
          <w:highlight w:val="none"/>
          <w:lang w:val="en-US" w:eastAsia="zh-CN"/>
        </w:rPr>
        <w:t>关于部分厅属事业单位三定方案的批复</w:t>
      </w:r>
      <w:r>
        <w:rPr>
          <w:rFonts w:hint="eastAsia" w:ascii="仿宋" w:hAnsi="仿宋" w:eastAsia="仿宋" w:cs="仿宋"/>
          <w:color w:val="auto"/>
          <w:sz w:val="28"/>
          <w:szCs w:val="28"/>
          <w:highlight w:val="none"/>
          <w:lang w:val="zh-CN" w:eastAsia="zh-CN"/>
        </w:rPr>
        <w:t>》（新</w:t>
      </w:r>
      <w:r>
        <w:rPr>
          <w:rFonts w:hint="eastAsia" w:ascii="仿宋" w:hAnsi="仿宋" w:eastAsia="仿宋" w:cs="仿宋"/>
          <w:color w:val="auto"/>
          <w:sz w:val="28"/>
          <w:szCs w:val="28"/>
          <w:highlight w:val="none"/>
          <w:lang w:val="en-US" w:eastAsia="zh-CN"/>
        </w:rPr>
        <w:t>自然资函</w:t>
      </w:r>
      <w:r>
        <w:rPr>
          <w:rFonts w:hint="eastAsia" w:ascii="仿宋" w:hAnsi="仿宋" w:eastAsia="仿宋" w:cs="仿宋"/>
          <w:color w:val="auto"/>
          <w:sz w:val="28"/>
          <w:szCs w:val="28"/>
          <w:highlight w:val="none"/>
          <w:lang w:val="zh-CN" w:eastAsia="zh-CN"/>
        </w:rPr>
        <w:t>〔201</w:t>
      </w:r>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lang w:val="zh-CN" w:eastAsia="zh-CN"/>
        </w:rPr>
        <w:t>〕</w:t>
      </w:r>
      <w:r>
        <w:rPr>
          <w:rFonts w:hint="eastAsia" w:ascii="仿宋" w:hAnsi="仿宋" w:eastAsia="仿宋" w:cs="仿宋"/>
          <w:color w:val="auto"/>
          <w:sz w:val="28"/>
          <w:szCs w:val="28"/>
          <w:highlight w:val="none"/>
          <w:lang w:val="en-US" w:eastAsia="zh-CN"/>
        </w:rPr>
        <w:t>103</w:t>
      </w:r>
      <w:r>
        <w:rPr>
          <w:rFonts w:hint="eastAsia" w:ascii="仿宋" w:hAnsi="仿宋" w:eastAsia="仿宋" w:cs="仿宋"/>
          <w:color w:val="auto"/>
          <w:sz w:val="28"/>
          <w:szCs w:val="28"/>
          <w:highlight w:val="none"/>
          <w:lang w:val="zh-CN" w:eastAsia="zh-CN"/>
        </w:rPr>
        <w:t>号）、</w:t>
      </w:r>
      <w:r>
        <w:rPr>
          <w:rFonts w:hint="eastAsia" w:ascii="仿宋" w:hAnsi="仿宋" w:eastAsia="仿宋" w:cs="仿宋"/>
          <w:color w:val="auto"/>
          <w:sz w:val="28"/>
          <w:szCs w:val="28"/>
          <w:highlight w:val="none"/>
        </w:rPr>
        <w:t>自治区《</w:t>
      </w:r>
      <w:r>
        <w:rPr>
          <w:rFonts w:hint="eastAsia" w:ascii="仿宋" w:hAnsi="仿宋" w:eastAsia="仿宋" w:cs="仿宋"/>
          <w:color w:val="auto"/>
          <w:sz w:val="28"/>
          <w:szCs w:val="28"/>
          <w:highlight w:val="none"/>
          <w:lang w:val="en-US" w:eastAsia="zh-CN"/>
        </w:rPr>
        <w:t>关于批复自治区本级2024年部门预算的通知</w:t>
      </w:r>
      <w:r>
        <w:rPr>
          <w:rFonts w:hint="eastAsia" w:ascii="仿宋" w:hAnsi="仿宋" w:eastAsia="仿宋" w:cs="仿宋"/>
          <w:color w:val="auto"/>
          <w:sz w:val="28"/>
          <w:szCs w:val="28"/>
          <w:highlight w:val="none"/>
        </w:rPr>
        <w:t>》（新</w:t>
      </w:r>
      <w:r>
        <w:rPr>
          <w:rFonts w:hint="eastAsia" w:ascii="仿宋" w:hAnsi="仿宋" w:eastAsia="仿宋" w:cs="仿宋"/>
          <w:color w:val="auto"/>
          <w:sz w:val="28"/>
          <w:szCs w:val="28"/>
          <w:highlight w:val="none"/>
          <w:lang w:val="en-US" w:eastAsia="zh-CN"/>
        </w:rPr>
        <w:t>财预</w:t>
      </w:r>
      <w:r>
        <w:rPr>
          <w:rFonts w:hint="eastAsia" w:ascii="仿宋" w:hAnsi="仿宋" w:eastAsia="仿宋" w:cs="仿宋"/>
          <w:color w:val="auto"/>
          <w:sz w:val="28"/>
          <w:szCs w:val="28"/>
          <w:highlight w:val="none"/>
        </w:rPr>
        <w:t>〔20</w:t>
      </w:r>
      <w:r>
        <w:rPr>
          <w:rFonts w:hint="eastAsia" w:ascii="仿宋" w:hAnsi="仿宋" w:eastAsia="仿宋" w:cs="仿宋"/>
          <w:color w:val="auto"/>
          <w:sz w:val="28"/>
          <w:szCs w:val="28"/>
          <w:highlight w:val="none"/>
          <w:lang w:val="en-US" w:eastAsia="zh-CN"/>
        </w:rPr>
        <w:t>24</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号）</w:t>
      </w:r>
      <w:r>
        <w:rPr>
          <w:rFonts w:hint="eastAsia" w:ascii="仿宋" w:hAnsi="仿宋" w:eastAsia="仿宋" w:cs="仿宋"/>
          <w:color w:val="auto"/>
          <w:sz w:val="28"/>
          <w:szCs w:val="28"/>
          <w:highlight w:val="none"/>
          <w:lang w:val="en-US" w:eastAsia="zh-CN"/>
        </w:rPr>
        <w:t>及</w:t>
      </w:r>
      <w:r>
        <w:rPr>
          <w:rFonts w:hint="eastAsia" w:ascii="仿宋" w:hAnsi="仿宋" w:eastAsia="仿宋" w:cs="仿宋"/>
          <w:color w:val="auto"/>
          <w:sz w:val="28"/>
          <w:szCs w:val="28"/>
          <w:highlight w:val="none"/>
        </w:rPr>
        <w:t>《关于</w:t>
      </w:r>
      <w:r>
        <w:rPr>
          <w:rFonts w:hint="eastAsia" w:ascii="仿宋" w:hAnsi="仿宋" w:eastAsia="仿宋" w:cs="仿宋"/>
          <w:color w:val="auto"/>
          <w:sz w:val="28"/>
          <w:szCs w:val="28"/>
          <w:highlight w:val="none"/>
          <w:lang w:val="en-US" w:eastAsia="zh-CN"/>
        </w:rPr>
        <w:t>批复2024年直属单位预算的通知</w:t>
      </w:r>
      <w:r>
        <w:rPr>
          <w:rFonts w:hint="eastAsia" w:ascii="仿宋" w:hAnsi="仿宋" w:eastAsia="仿宋" w:cs="仿宋"/>
          <w:color w:val="auto"/>
          <w:sz w:val="28"/>
          <w:szCs w:val="28"/>
          <w:highlight w:val="none"/>
        </w:rPr>
        <w:t>》新</w:t>
      </w:r>
      <w:r>
        <w:rPr>
          <w:rFonts w:hint="eastAsia" w:ascii="仿宋" w:hAnsi="仿宋" w:eastAsia="仿宋" w:cs="仿宋"/>
          <w:color w:val="auto"/>
          <w:sz w:val="28"/>
          <w:szCs w:val="28"/>
          <w:highlight w:val="none"/>
          <w:lang w:val="en-US" w:eastAsia="zh-CN"/>
        </w:rPr>
        <w:t>自然</w:t>
      </w:r>
      <w:r>
        <w:rPr>
          <w:rFonts w:hint="eastAsia" w:ascii="仿宋" w:hAnsi="仿宋" w:eastAsia="仿宋" w:cs="仿宋"/>
          <w:color w:val="auto"/>
          <w:sz w:val="28"/>
          <w:szCs w:val="28"/>
          <w:highlight w:val="none"/>
          <w:lang w:val="en-US" w:eastAsia="zh-CN"/>
        </w:rPr>
        <w:t>资函</w:t>
      </w:r>
      <w:r>
        <w:rPr>
          <w:rFonts w:hint="eastAsia" w:ascii="仿宋" w:hAnsi="仿宋" w:eastAsia="仿宋" w:cs="仿宋"/>
          <w:color w:val="auto"/>
          <w:sz w:val="28"/>
          <w:szCs w:val="28"/>
          <w:highlight w:val="none"/>
        </w:rPr>
        <w:t>〔202</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46</w:t>
      </w:r>
      <w:r>
        <w:rPr>
          <w:rFonts w:hint="eastAsia" w:ascii="仿宋" w:hAnsi="仿宋" w:eastAsia="仿宋" w:cs="仿宋"/>
          <w:color w:val="auto"/>
          <w:sz w:val="28"/>
          <w:szCs w:val="28"/>
          <w:highlight w:val="none"/>
        </w:rPr>
        <w:t>号</w:t>
      </w:r>
      <w:r>
        <w:rPr>
          <w:rFonts w:hint="eastAsia" w:ascii="仿宋" w:hAnsi="仿宋" w:eastAsia="仿宋" w:cs="仿宋"/>
          <w:color w:val="auto"/>
          <w:sz w:val="28"/>
          <w:szCs w:val="28"/>
          <w:highlight w:val="none"/>
          <w:lang w:val="en-US" w:eastAsia="zh-CN"/>
        </w:rPr>
        <w:t>文件要求</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资金分配与实际</w:t>
      </w:r>
      <w:r>
        <w:rPr>
          <w:rFonts w:hint="eastAsia" w:ascii="仿宋" w:hAnsi="仿宋" w:eastAsia="仿宋" w:cs="仿宋"/>
          <w:color w:val="auto"/>
          <w:sz w:val="28"/>
          <w:szCs w:val="28"/>
          <w:highlight w:val="none"/>
          <w:lang w:val="en-US" w:eastAsia="zh-CN"/>
        </w:rPr>
        <w:t>有偏差</w:t>
      </w:r>
      <w:r>
        <w:rPr>
          <w:rFonts w:hint="eastAsia" w:ascii="仿宋" w:hAnsi="仿宋" w:eastAsia="仿宋" w:cs="仿宋"/>
          <w:color w:val="auto"/>
          <w:sz w:val="28"/>
          <w:szCs w:val="28"/>
          <w:highlight w:val="none"/>
        </w:rPr>
        <w:t>，根据评分标准，该指标</w:t>
      </w:r>
      <w:r>
        <w:rPr>
          <w:rFonts w:hint="eastAsia" w:ascii="仿宋" w:hAnsi="仿宋" w:eastAsia="仿宋" w:cs="仿宋"/>
          <w:color w:val="auto"/>
          <w:sz w:val="28"/>
          <w:szCs w:val="28"/>
          <w:highlight w:val="none"/>
        </w:rPr>
        <w:t>不扣分，得</w:t>
      </w: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分</w:t>
      </w:r>
      <w:r>
        <w:rPr>
          <w:rFonts w:hint="eastAsia" w:ascii="仿宋" w:hAnsi="仿宋" w:eastAsia="仿宋" w:cs="仿宋"/>
          <w:color w:val="auto"/>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546" w:firstLineChars="200"/>
        <w:textAlignment w:val="auto"/>
        <w:rPr>
          <w:rStyle w:val="21"/>
          <w:rFonts w:hint="eastAsia" w:ascii="仿宋" w:hAnsi="仿宋" w:eastAsia="仿宋" w:cs="仿宋"/>
          <w:b/>
          <w:bCs w:val="0"/>
          <w:spacing w:val="-4"/>
          <w:sz w:val="28"/>
          <w:szCs w:val="28"/>
          <w:lang w:eastAsia="zh-CN"/>
        </w:rPr>
      </w:pPr>
      <w:r>
        <w:rPr>
          <w:rStyle w:val="21"/>
          <w:rFonts w:hint="eastAsia" w:ascii="仿宋" w:hAnsi="仿宋" w:eastAsia="仿宋" w:cs="仿宋"/>
          <w:b/>
          <w:bCs w:val="0"/>
          <w:spacing w:val="-4"/>
          <w:sz w:val="28"/>
          <w:szCs w:val="28"/>
          <w:lang w:eastAsia="zh-CN"/>
        </w:rPr>
        <w:t>（</w:t>
      </w:r>
      <w:r>
        <w:rPr>
          <w:rStyle w:val="21"/>
          <w:rFonts w:hint="eastAsia" w:ascii="仿宋" w:hAnsi="仿宋" w:eastAsia="仿宋" w:cs="仿宋"/>
          <w:b/>
          <w:bCs w:val="0"/>
          <w:spacing w:val="-4"/>
          <w:sz w:val="28"/>
          <w:szCs w:val="28"/>
          <w:lang w:val="en-US" w:eastAsia="zh-CN"/>
        </w:rPr>
        <w:t>二</w:t>
      </w:r>
      <w:r>
        <w:rPr>
          <w:rStyle w:val="21"/>
          <w:rFonts w:hint="eastAsia" w:ascii="仿宋" w:hAnsi="仿宋" w:eastAsia="仿宋" w:cs="仿宋"/>
          <w:b/>
          <w:bCs w:val="0"/>
          <w:spacing w:val="-4"/>
          <w:sz w:val="28"/>
          <w:szCs w:val="28"/>
          <w:lang w:eastAsia="zh-CN"/>
        </w:rPr>
        <w:t>）</w:t>
      </w:r>
      <w:r>
        <w:rPr>
          <w:rStyle w:val="21"/>
          <w:rFonts w:hint="eastAsia" w:ascii="仿宋" w:hAnsi="仿宋" w:eastAsia="仿宋" w:cs="仿宋"/>
          <w:b/>
          <w:bCs w:val="0"/>
          <w:spacing w:val="-4"/>
          <w:sz w:val="28"/>
          <w:szCs w:val="28"/>
        </w:rPr>
        <w:t>项目过程情况</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项目过程类指标包括资金管理和组织实施两方面的内容，由 5个三级指标构成，权重分为20分，实际得分</w:t>
      </w:r>
      <w:r>
        <w:rPr>
          <w:rFonts w:hint="eastAsia" w:ascii="仿宋" w:hAnsi="仿宋" w:eastAsia="仿宋" w:cs="仿宋"/>
          <w:sz w:val="28"/>
          <w:szCs w:val="28"/>
          <w:highlight w:val="none"/>
          <w:lang w:val="en-US" w:eastAsia="zh-CN"/>
        </w:rPr>
        <w:t>18.74</w:t>
      </w:r>
      <w:r>
        <w:rPr>
          <w:rFonts w:hint="eastAsia" w:ascii="仿宋" w:hAnsi="仿宋" w:eastAsia="仿宋" w:cs="仿宋"/>
          <w:sz w:val="28"/>
          <w:szCs w:val="28"/>
          <w:highlight w:val="none"/>
        </w:rPr>
        <w:t>分，得分率为</w:t>
      </w:r>
      <w:r>
        <w:rPr>
          <w:rFonts w:hint="eastAsia" w:ascii="仿宋" w:hAnsi="仿宋" w:eastAsia="仿宋" w:cs="仿宋"/>
          <w:sz w:val="28"/>
          <w:szCs w:val="28"/>
          <w:highlight w:val="none"/>
          <w:lang w:val="en-US" w:eastAsia="zh-CN"/>
        </w:rPr>
        <w:t>93.7</w:t>
      </w:r>
      <w:r>
        <w:rPr>
          <w:rFonts w:hint="eastAsia" w:ascii="仿宋" w:hAnsi="仿宋" w:eastAsia="仿宋" w:cs="仿宋"/>
          <w:sz w:val="28"/>
          <w:szCs w:val="28"/>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lang w:eastAsia="zh-CN"/>
        </w:rPr>
        <w:t>　　（</w:t>
      </w:r>
      <w:r>
        <w:rPr>
          <w:rFonts w:hint="eastAsia" w:ascii="仿宋" w:hAnsi="仿宋" w:eastAsia="仿宋" w:cs="仿宋"/>
          <w:b/>
          <w:bCs/>
          <w:sz w:val="28"/>
          <w:szCs w:val="28"/>
          <w:highlight w:val="none"/>
          <w:lang w:val="en-US" w:eastAsia="zh-CN"/>
        </w:rPr>
        <w:t>1</w:t>
      </w:r>
      <w:r>
        <w:rPr>
          <w:rFonts w:hint="eastAsia" w:ascii="仿宋" w:hAnsi="仿宋" w:eastAsia="仿宋" w:cs="仿宋"/>
          <w:b/>
          <w:bCs/>
          <w:sz w:val="28"/>
          <w:szCs w:val="28"/>
          <w:highlight w:val="none"/>
          <w:lang w:eastAsia="zh-CN"/>
        </w:rPr>
        <w:t>）</w:t>
      </w:r>
      <w:r>
        <w:rPr>
          <w:rFonts w:hint="eastAsia" w:ascii="仿宋" w:hAnsi="仿宋" w:eastAsia="仿宋" w:cs="仿宋"/>
          <w:b/>
          <w:bCs/>
          <w:sz w:val="28"/>
          <w:szCs w:val="28"/>
          <w:highlight w:val="none"/>
        </w:rPr>
        <w:t>资金到位率：</w:t>
      </w:r>
      <w:r>
        <w:rPr>
          <w:rFonts w:hint="eastAsia" w:ascii="仿宋" w:hAnsi="仿宋" w:eastAsia="仿宋" w:cs="仿宋"/>
          <w:color w:val="auto"/>
          <w:sz w:val="28"/>
          <w:szCs w:val="28"/>
          <w:highlight w:val="none"/>
          <w:lang w:val="en-US" w:eastAsia="zh-CN"/>
        </w:rPr>
        <w:t>该项目总投资750万元，实际到位资金940万元，其中其他资金940万元，</w:t>
      </w:r>
      <w:r>
        <w:rPr>
          <w:rFonts w:hint="eastAsia" w:ascii="仿宋" w:hAnsi="仿宋" w:eastAsia="仿宋" w:cs="仿宋"/>
          <w:sz w:val="28"/>
          <w:szCs w:val="28"/>
          <w:highlight w:val="none"/>
          <w:lang w:val="en-US" w:eastAsia="zh-CN"/>
        </w:rPr>
        <w:t>资金足额拨付到位，根据评分标准，该指标不扣分，得5分。</w:t>
      </w:r>
      <w:r>
        <w:rPr>
          <w:rFonts w:hint="eastAsia" w:ascii="仿宋" w:hAnsi="仿宋" w:eastAsia="仿宋" w:cs="仿宋"/>
          <w:sz w:val="28"/>
          <w:szCs w:val="28"/>
          <w:highlight w:val="none"/>
        </w:rPr>
        <w:t xml:space="preserve">   </w:t>
      </w:r>
    </w:p>
    <w:p>
      <w:pPr>
        <w:keepNext w:val="0"/>
        <w:keepLines w:val="0"/>
        <w:pageBreakBefore w:val="0"/>
        <w:widowControl w:val="0"/>
        <w:numPr>
          <w:ilvl w:val="0"/>
          <w:numId w:val="0"/>
        </w:numPr>
        <w:tabs>
          <w:tab w:val="right" w:leader="dot" w:pos="8296"/>
        </w:tabs>
        <w:kinsoku/>
        <w:wordWrap/>
        <w:overflowPunct/>
        <w:topLinePunct w:val="0"/>
        <w:autoSpaceDE/>
        <w:autoSpaceDN/>
        <w:bidi w:val="0"/>
        <w:adjustRightInd/>
        <w:snapToGrid/>
        <w:spacing w:before="120" w:after="120" w:line="480" w:lineRule="exact"/>
        <w:ind w:firstLine="0" w:firstLineChars="0"/>
        <w:jc w:val="left"/>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lang w:eastAsia="zh-CN"/>
        </w:rPr>
        <w:t>　　（</w:t>
      </w:r>
      <w:r>
        <w:rPr>
          <w:rFonts w:hint="eastAsia" w:ascii="仿宋" w:hAnsi="仿宋" w:eastAsia="仿宋" w:cs="仿宋"/>
          <w:b/>
          <w:bCs/>
          <w:sz w:val="28"/>
          <w:szCs w:val="28"/>
          <w:highlight w:val="none"/>
          <w:lang w:val="en-US" w:eastAsia="zh-CN"/>
        </w:rPr>
        <w:t>2</w:t>
      </w:r>
      <w:r>
        <w:rPr>
          <w:rFonts w:hint="eastAsia" w:ascii="仿宋" w:hAnsi="仿宋" w:eastAsia="仿宋" w:cs="仿宋"/>
          <w:b/>
          <w:bCs/>
          <w:sz w:val="28"/>
          <w:szCs w:val="28"/>
          <w:highlight w:val="none"/>
          <w:lang w:eastAsia="zh-CN"/>
        </w:rPr>
        <w:t>）</w:t>
      </w:r>
      <w:r>
        <w:rPr>
          <w:rFonts w:hint="eastAsia" w:ascii="仿宋" w:hAnsi="仿宋" w:eastAsia="仿宋" w:cs="仿宋"/>
          <w:b/>
          <w:bCs/>
          <w:sz w:val="28"/>
          <w:szCs w:val="28"/>
          <w:highlight w:val="none"/>
        </w:rPr>
        <w:t>预算执行率：</w:t>
      </w:r>
      <w:r>
        <w:rPr>
          <w:rFonts w:hint="eastAsia" w:ascii="仿宋" w:hAnsi="仿宋" w:eastAsia="仿宋" w:cs="仿宋"/>
          <w:color w:val="auto"/>
          <w:kern w:val="0"/>
          <w:sz w:val="28"/>
          <w:szCs w:val="28"/>
          <w:lang w:val="en-US" w:eastAsia="zh-CN" w:bidi="ar"/>
        </w:rPr>
        <w:t>本</w:t>
      </w:r>
      <w:r>
        <w:rPr>
          <w:rFonts w:hint="eastAsia" w:ascii="仿宋" w:hAnsi="仿宋" w:eastAsia="仿宋" w:cs="仿宋"/>
          <w:color w:val="auto"/>
          <w:kern w:val="0"/>
          <w:sz w:val="28"/>
          <w:szCs w:val="28"/>
          <w:highlight w:val="none"/>
          <w:lang w:val="en-US" w:eastAsia="zh-CN" w:bidi="ar"/>
        </w:rPr>
        <w:t>项目预算金额750万元，截至2023年12月31日，资金执行940万元，资金执行率125.33%。</w:t>
      </w:r>
      <w:r>
        <w:rPr>
          <w:rFonts w:hint="eastAsia" w:ascii="仿宋" w:hAnsi="仿宋" w:eastAsia="仿宋" w:cs="仿宋"/>
          <w:color w:val="auto"/>
          <w:sz w:val="28"/>
          <w:szCs w:val="28"/>
          <w:highlight w:val="none"/>
        </w:rPr>
        <w:t>项</w:t>
      </w:r>
      <w:r>
        <w:rPr>
          <w:rFonts w:hint="eastAsia" w:ascii="仿宋" w:hAnsi="仿宋" w:eastAsia="仿宋" w:cs="仿宋"/>
          <w:sz w:val="28"/>
          <w:szCs w:val="28"/>
          <w:highlight w:val="none"/>
        </w:rPr>
        <w:t>目资金支出总体能够按照预算执行，根据评分标准，该指标扣</w:t>
      </w:r>
      <w:r>
        <w:rPr>
          <w:rFonts w:hint="eastAsia" w:ascii="仿宋" w:hAnsi="仿宋" w:eastAsia="仿宋" w:cs="仿宋"/>
          <w:sz w:val="28"/>
          <w:szCs w:val="28"/>
          <w:highlight w:val="none"/>
          <w:lang w:val="en-US" w:eastAsia="zh-CN"/>
        </w:rPr>
        <w:t>1.26</w:t>
      </w:r>
      <w:r>
        <w:rPr>
          <w:rFonts w:hint="eastAsia" w:ascii="仿宋" w:hAnsi="仿宋" w:eastAsia="仿宋" w:cs="仿宋"/>
          <w:sz w:val="28"/>
          <w:szCs w:val="28"/>
          <w:highlight w:val="none"/>
        </w:rPr>
        <w:t>分，得</w:t>
      </w:r>
      <w:r>
        <w:rPr>
          <w:rFonts w:hint="eastAsia" w:ascii="仿宋" w:hAnsi="仿宋" w:eastAsia="仿宋" w:cs="仿宋"/>
          <w:sz w:val="28"/>
          <w:szCs w:val="28"/>
          <w:highlight w:val="none"/>
          <w:lang w:val="en-US" w:eastAsia="zh-CN"/>
        </w:rPr>
        <w:t>3.74</w:t>
      </w:r>
      <w:r>
        <w:rPr>
          <w:rFonts w:hint="eastAsia" w:ascii="仿宋" w:hAnsi="仿宋" w:eastAsia="仿宋" w:cs="仿宋"/>
          <w:sz w:val="28"/>
          <w:szCs w:val="28"/>
          <w:highlight w:val="none"/>
        </w:rPr>
        <w:t>分。</w:t>
      </w:r>
    </w:p>
    <w:p>
      <w:pPr>
        <w:keepNext w:val="0"/>
        <w:keepLines w:val="0"/>
        <w:pageBreakBefore w:val="0"/>
        <w:widowControl w:val="0"/>
        <w:kinsoku/>
        <w:wordWrap/>
        <w:overflowPunct/>
        <w:topLinePunct w:val="0"/>
        <w:autoSpaceDE/>
        <w:autoSpaceDN/>
        <w:bidi w:val="0"/>
        <w:adjustRightInd/>
        <w:snapToGrid/>
        <w:spacing w:line="480" w:lineRule="exact"/>
        <w:ind w:firstLine="0" w:firstLineChars="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eastAsia="zh-CN"/>
        </w:rPr>
        <w:t>　　（3）资金</w:t>
      </w:r>
      <w:r>
        <w:rPr>
          <w:rFonts w:hint="eastAsia" w:ascii="仿宋" w:hAnsi="仿宋" w:eastAsia="仿宋" w:cs="仿宋"/>
          <w:b/>
          <w:bCs/>
          <w:sz w:val="28"/>
          <w:szCs w:val="28"/>
          <w:highlight w:val="none"/>
          <w:lang w:val="en-US" w:eastAsia="zh-CN"/>
        </w:rPr>
        <w:t>使用合规性：</w:t>
      </w:r>
      <w:r>
        <w:rPr>
          <w:rFonts w:hint="eastAsia" w:ascii="仿宋" w:hAnsi="仿宋" w:eastAsia="仿宋" w:cs="仿宋"/>
          <w:color w:val="auto"/>
          <w:kern w:val="0"/>
          <w:sz w:val="28"/>
          <w:szCs w:val="28"/>
          <w:highlight w:val="none"/>
          <w:lang w:val="en-US" w:eastAsia="zh-CN" w:bidi="ar"/>
        </w:rPr>
        <w:t>根据自治区《关于批复自治区本级2024年部门预算的通知》（新财预〔2024〕1号）及《关于批复2024年直属单位预算的通知》新自然资函〔2024〕46号</w:t>
      </w:r>
      <w:bookmarkStart w:id="4" w:name="_GoBack"/>
      <w:bookmarkEnd w:id="4"/>
      <w:r>
        <w:rPr>
          <w:rFonts w:hint="eastAsia" w:ascii="仿宋" w:hAnsi="仿宋" w:eastAsia="仿宋" w:cs="仿宋"/>
          <w:color w:val="auto"/>
          <w:kern w:val="0"/>
          <w:sz w:val="28"/>
          <w:szCs w:val="28"/>
          <w:highlight w:val="none"/>
          <w:lang w:val="en-US" w:eastAsia="zh-CN" w:bidi="ar"/>
        </w:rPr>
        <w:t>符合预算批复规定用途，不存在截留、挤占、挪用、虚列支出等情况，未发现违规使用情况</w:t>
      </w:r>
      <w:r>
        <w:rPr>
          <w:rFonts w:hint="eastAsia" w:ascii="仿宋" w:hAnsi="仿宋" w:eastAsia="仿宋" w:cs="仿宋"/>
          <w:color w:val="000000"/>
          <w:kern w:val="0"/>
          <w:sz w:val="28"/>
          <w:szCs w:val="28"/>
          <w:highlight w:val="none"/>
          <w:lang w:val="en-US" w:eastAsia="zh-CN" w:bidi="ar"/>
        </w:rPr>
        <w:t>，</w:t>
      </w:r>
      <w:r>
        <w:rPr>
          <w:rFonts w:hint="eastAsia" w:ascii="仿宋" w:hAnsi="仿宋" w:eastAsia="仿宋" w:cs="仿宋"/>
          <w:sz w:val="28"/>
          <w:szCs w:val="28"/>
          <w:highlight w:val="none"/>
        </w:rPr>
        <w:t>根据评分标准，该指标不扣分，得</w:t>
      </w:r>
      <w:r>
        <w:rPr>
          <w:rFonts w:hint="eastAsia" w:ascii="仿宋" w:hAnsi="仿宋" w:eastAsia="仿宋" w:cs="仿宋"/>
          <w:sz w:val="28"/>
          <w:szCs w:val="28"/>
          <w:highlight w:val="none"/>
          <w:lang w:val="en-US" w:eastAsia="zh-CN"/>
        </w:rPr>
        <w:t>5</w:t>
      </w:r>
      <w:r>
        <w:rPr>
          <w:rFonts w:hint="eastAsia" w:ascii="仿宋" w:hAnsi="仿宋" w:eastAsia="仿宋" w:cs="仿宋"/>
          <w:sz w:val="28"/>
          <w:szCs w:val="28"/>
          <w:highlight w:val="none"/>
        </w:rPr>
        <w:t>分。</w:t>
      </w:r>
    </w:p>
    <w:p>
      <w:pPr>
        <w:keepNext w:val="0"/>
        <w:keepLines w:val="0"/>
        <w:pageBreakBefore w:val="0"/>
        <w:widowControl w:val="0"/>
        <w:kinsoku/>
        <w:wordWrap/>
        <w:overflowPunct/>
        <w:topLinePunct w:val="0"/>
        <w:autoSpaceDE/>
        <w:autoSpaceDN/>
        <w:bidi w:val="0"/>
        <w:adjustRightInd/>
        <w:snapToGrid/>
        <w:spacing w:line="480" w:lineRule="exact"/>
        <w:ind w:firstLine="0" w:firstLineChars="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lang w:eastAsia="zh-CN"/>
        </w:rPr>
        <w:t>　　（</w:t>
      </w:r>
      <w:r>
        <w:rPr>
          <w:rFonts w:hint="eastAsia" w:ascii="仿宋" w:hAnsi="仿宋" w:eastAsia="仿宋" w:cs="仿宋"/>
          <w:b/>
          <w:bCs/>
          <w:sz w:val="28"/>
          <w:szCs w:val="28"/>
          <w:highlight w:val="none"/>
          <w:lang w:val="en-US" w:eastAsia="zh-CN"/>
        </w:rPr>
        <w:t>4</w:t>
      </w:r>
      <w:r>
        <w:rPr>
          <w:rFonts w:hint="eastAsia" w:ascii="仿宋" w:hAnsi="仿宋" w:eastAsia="仿宋" w:cs="仿宋"/>
          <w:b/>
          <w:bCs/>
          <w:sz w:val="28"/>
          <w:szCs w:val="28"/>
          <w:highlight w:val="none"/>
          <w:lang w:eastAsia="zh-CN"/>
        </w:rPr>
        <w:t>）</w:t>
      </w:r>
      <w:r>
        <w:rPr>
          <w:rFonts w:hint="eastAsia" w:ascii="仿宋" w:hAnsi="仿宋" w:eastAsia="仿宋" w:cs="仿宋"/>
          <w:b/>
          <w:bCs/>
          <w:sz w:val="28"/>
          <w:szCs w:val="28"/>
          <w:highlight w:val="none"/>
        </w:rPr>
        <w:t>管理制度健全性：</w:t>
      </w:r>
      <w:r>
        <w:rPr>
          <w:rFonts w:hint="eastAsia" w:ascii="仿宋" w:hAnsi="仿宋" w:eastAsia="仿宋" w:cs="仿宋"/>
          <w:color w:val="000000"/>
          <w:kern w:val="0"/>
          <w:sz w:val="28"/>
          <w:szCs w:val="28"/>
          <w:lang w:val="en-US" w:eastAsia="zh-CN" w:bidi="ar"/>
        </w:rPr>
        <w:t>该项目严格按照《</w:t>
      </w:r>
      <w:r>
        <w:rPr>
          <w:rFonts w:hint="eastAsia" w:ascii="仿宋" w:hAnsi="仿宋" w:eastAsia="仿宋" w:cs="仿宋"/>
          <w:sz w:val="28"/>
          <w:szCs w:val="28"/>
          <w:highlight w:val="none"/>
          <w:lang w:val="en-US" w:eastAsia="zh-CN"/>
        </w:rPr>
        <w:t>新疆维吾尔自治区地质环境监测院</w:t>
      </w:r>
      <w:r>
        <w:rPr>
          <w:rFonts w:hint="eastAsia" w:ascii="仿宋" w:hAnsi="仿宋" w:eastAsia="仿宋" w:cs="仿宋"/>
          <w:color w:val="000000"/>
          <w:kern w:val="0"/>
          <w:sz w:val="28"/>
          <w:szCs w:val="28"/>
          <w:lang w:val="en-US" w:eastAsia="zh-CN" w:bidi="ar"/>
        </w:rPr>
        <w:t>财务制度》</w:t>
      </w:r>
      <w:r>
        <w:rPr>
          <w:rFonts w:hint="eastAsia" w:ascii="仿宋" w:hAnsi="仿宋" w:eastAsia="仿宋" w:cs="仿宋"/>
          <w:color w:val="auto"/>
          <w:kern w:val="0"/>
          <w:sz w:val="28"/>
          <w:szCs w:val="28"/>
          <w:lang w:val="en-US" w:eastAsia="zh-CN" w:bidi="ar"/>
        </w:rPr>
        <w:t>及经营市场资金</w:t>
      </w:r>
      <w:r>
        <w:rPr>
          <w:rFonts w:hint="eastAsia" w:ascii="仿宋" w:hAnsi="仿宋" w:eastAsia="仿宋" w:cs="仿宋"/>
          <w:color w:val="auto"/>
          <w:sz w:val="28"/>
          <w:szCs w:val="28"/>
          <w:highlight w:val="none"/>
        </w:rPr>
        <w:t>相关的制度和管理规定</w:t>
      </w:r>
      <w:r>
        <w:rPr>
          <w:rFonts w:hint="eastAsia" w:ascii="仿宋" w:hAnsi="仿宋" w:eastAsia="仿宋" w:cs="仿宋"/>
          <w:color w:val="auto"/>
          <w:kern w:val="0"/>
          <w:sz w:val="28"/>
          <w:szCs w:val="28"/>
          <w:lang w:val="en-US" w:eastAsia="zh-CN" w:bidi="ar"/>
        </w:rPr>
        <w:t>实施，</w:t>
      </w:r>
      <w:r>
        <w:rPr>
          <w:rFonts w:hint="eastAsia" w:ascii="仿宋" w:hAnsi="仿宋" w:eastAsia="仿宋" w:cs="仿宋"/>
          <w:color w:val="auto"/>
          <w:sz w:val="28"/>
          <w:szCs w:val="28"/>
          <w:highlight w:val="none"/>
        </w:rPr>
        <w:t>对财政专项资金进行严格管理，基本做到了专款专用，根</w:t>
      </w:r>
      <w:r>
        <w:rPr>
          <w:rFonts w:hint="eastAsia" w:ascii="仿宋" w:hAnsi="仿宋" w:eastAsia="仿宋" w:cs="仿宋"/>
          <w:sz w:val="28"/>
          <w:szCs w:val="28"/>
          <w:highlight w:val="none"/>
        </w:rPr>
        <w:t>据评分标准，该指标不扣分，得</w:t>
      </w: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rPr>
        <w:t>分。</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outlineLvl w:val="0"/>
        <w:rPr>
          <w:rFonts w:hint="eastAsia" w:ascii="仿宋" w:hAnsi="仿宋" w:eastAsia="仿宋" w:cs="仿宋"/>
          <w:sz w:val="28"/>
          <w:szCs w:val="28"/>
          <w:highlight w:val="none"/>
          <w:lang w:eastAsia="zh-CN"/>
        </w:rPr>
      </w:pPr>
      <w:r>
        <w:rPr>
          <w:rFonts w:hint="eastAsia" w:ascii="仿宋" w:hAnsi="仿宋" w:eastAsia="仿宋" w:cs="仿宋"/>
          <w:b/>
          <w:bCs/>
          <w:sz w:val="28"/>
          <w:szCs w:val="28"/>
          <w:highlight w:val="none"/>
        </w:rPr>
        <w:t>（5）制度执行有效性</w:t>
      </w:r>
      <w:r>
        <w:rPr>
          <w:rFonts w:hint="eastAsia" w:ascii="仿宋" w:hAnsi="仿宋" w:eastAsia="仿宋" w:cs="仿宋"/>
          <w:sz w:val="28"/>
          <w:szCs w:val="28"/>
          <w:highlight w:val="none"/>
        </w:rPr>
        <w:t>：由部门提出经费预算支出可行性方案，经过与</w:t>
      </w:r>
      <w:r>
        <w:rPr>
          <w:rFonts w:hint="eastAsia" w:ascii="仿宋" w:hAnsi="仿宋" w:eastAsia="仿宋" w:cs="仿宋"/>
          <w:sz w:val="28"/>
          <w:szCs w:val="28"/>
          <w:highlight w:val="none"/>
          <w:lang w:val="en-US" w:eastAsia="zh-CN"/>
        </w:rPr>
        <w:t>财经领导小组</w:t>
      </w:r>
      <w:r>
        <w:rPr>
          <w:rFonts w:hint="eastAsia" w:ascii="仿宋" w:hAnsi="仿宋" w:eastAsia="仿宋" w:cs="仿宋"/>
          <w:sz w:val="28"/>
          <w:szCs w:val="28"/>
          <w:highlight w:val="none"/>
        </w:rPr>
        <w:t>沟通后，报</w:t>
      </w:r>
      <w:r>
        <w:rPr>
          <w:rFonts w:hint="eastAsia" w:ascii="仿宋" w:hAnsi="仿宋" w:eastAsia="仿宋" w:cs="仿宋"/>
          <w:sz w:val="28"/>
          <w:szCs w:val="28"/>
          <w:highlight w:val="none"/>
          <w:lang w:val="en-US" w:eastAsia="zh-CN"/>
        </w:rPr>
        <w:t>院党总支扩大</w:t>
      </w:r>
      <w:r>
        <w:rPr>
          <w:rFonts w:hint="eastAsia" w:ascii="仿宋" w:hAnsi="仿宋" w:eastAsia="仿宋" w:cs="仿宋"/>
          <w:sz w:val="28"/>
          <w:szCs w:val="28"/>
          <w:highlight w:val="none"/>
        </w:rPr>
        <w:t>会议研究执行，财务对资金的使用合法合规性进行监督，年底对资金使用效果进行自评，根据评分标准，该指标不扣分，得</w:t>
      </w: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rPr>
        <w:t>分</w:t>
      </w:r>
      <w:r>
        <w:rPr>
          <w:rFonts w:hint="eastAsia" w:ascii="仿宋" w:hAnsi="仿宋" w:eastAsia="仿宋" w:cs="仿宋"/>
          <w:sz w:val="28"/>
          <w:szCs w:val="28"/>
          <w:highlight w:val="none"/>
          <w:lang w:eastAsia="zh-CN"/>
        </w:rPr>
        <w:t>。</w:t>
      </w:r>
    </w:p>
    <w:p>
      <w:pPr>
        <w:pStyle w:val="50"/>
        <w:pageBreakBefore w:val="0"/>
        <w:widowControl w:val="0"/>
        <w:kinsoku/>
        <w:wordWrap/>
        <w:overflowPunct/>
        <w:topLinePunct w:val="0"/>
        <w:autoSpaceDE/>
        <w:autoSpaceDN/>
        <w:bidi w:val="0"/>
        <w:adjustRightInd/>
        <w:snapToGrid/>
        <w:spacing w:line="560" w:lineRule="exact"/>
        <w:ind w:left="0" w:leftChars="0" w:firstLine="562" w:firstLineChars="200"/>
        <w:textAlignment w:val="auto"/>
        <w:rPr>
          <w:rFonts w:hint="eastAsia" w:ascii="仿宋" w:hAnsi="仿宋" w:eastAsia="仿宋" w:cs="仿宋"/>
          <w:b/>
          <w:bCs/>
          <w:i w:val="0"/>
          <w:iCs w:val="0"/>
          <w:sz w:val="28"/>
          <w:szCs w:val="28"/>
          <w:highlight w:val="none"/>
        </w:rPr>
      </w:pPr>
      <w:r>
        <w:rPr>
          <w:rFonts w:hint="eastAsia" w:ascii="仿宋" w:hAnsi="仿宋" w:eastAsia="仿宋" w:cs="仿宋"/>
          <w:b/>
          <w:bCs/>
          <w:i w:val="0"/>
          <w:iCs w:val="0"/>
          <w:sz w:val="28"/>
          <w:szCs w:val="28"/>
          <w:highlight w:val="none"/>
        </w:rPr>
        <w:t>（三）项目产出情况</w:t>
      </w:r>
    </w:p>
    <w:p>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FF0000"/>
          <w:sz w:val="28"/>
          <w:szCs w:val="28"/>
          <w:highlight w:val="none"/>
        </w:rPr>
      </w:pPr>
      <w:r>
        <w:rPr>
          <w:rFonts w:hint="eastAsia" w:ascii="仿宋" w:hAnsi="仿宋" w:eastAsia="仿宋" w:cs="仿宋"/>
          <w:sz w:val="28"/>
          <w:szCs w:val="28"/>
          <w:highlight w:val="none"/>
          <w:lang w:eastAsia="zh-CN"/>
        </w:rPr>
        <w:t>　　</w:t>
      </w:r>
      <w:r>
        <w:rPr>
          <w:rFonts w:hint="eastAsia" w:ascii="仿宋" w:hAnsi="仿宋" w:eastAsia="仿宋" w:cs="仿宋"/>
          <w:sz w:val="28"/>
          <w:szCs w:val="28"/>
          <w:highlight w:val="none"/>
        </w:rPr>
        <w:t>项目产出类指标包括产出数量、产出质量、产出时效、产出成本四方面的内容，</w:t>
      </w:r>
      <w:r>
        <w:rPr>
          <w:rFonts w:hint="eastAsia" w:ascii="仿宋" w:hAnsi="仿宋" w:eastAsia="仿宋" w:cs="仿宋"/>
          <w:color w:val="auto"/>
          <w:sz w:val="28"/>
          <w:szCs w:val="28"/>
          <w:highlight w:val="none"/>
        </w:rPr>
        <w:t>由4个三级指标构成，权重分为</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0分，实际得分</w:t>
      </w:r>
      <w:r>
        <w:rPr>
          <w:rFonts w:hint="eastAsia" w:ascii="仿宋" w:hAnsi="仿宋" w:eastAsia="仿宋" w:cs="仿宋"/>
          <w:color w:val="auto"/>
          <w:sz w:val="28"/>
          <w:szCs w:val="28"/>
          <w:highlight w:val="none"/>
          <w:lang w:val="en-US" w:eastAsia="zh-CN"/>
        </w:rPr>
        <w:t>35</w:t>
      </w:r>
      <w:r>
        <w:rPr>
          <w:rFonts w:hint="eastAsia" w:ascii="仿宋" w:hAnsi="仿宋" w:eastAsia="仿宋" w:cs="仿宋"/>
          <w:color w:val="auto"/>
          <w:sz w:val="28"/>
          <w:szCs w:val="28"/>
          <w:highlight w:val="none"/>
        </w:rPr>
        <w:t>分，得分率为</w:t>
      </w:r>
      <w:r>
        <w:rPr>
          <w:rFonts w:hint="eastAsia" w:ascii="仿宋" w:hAnsi="仿宋" w:eastAsia="仿宋" w:cs="仿宋"/>
          <w:color w:val="auto"/>
          <w:sz w:val="28"/>
          <w:szCs w:val="28"/>
          <w:highlight w:val="none"/>
          <w:lang w:val="en-US" w:eastAsia="zh-CN"/>
        </w:rPr>
        <w:t>87.5</w:t>
      </w:r>
      <w:r>
        <w:rPr>
          <w:rFonts w:hint="eastAsia" w:ascii="仿宋" w:hAnsi="仿宋" w:eastAsia="仿宋" w:cs="仿宋"/>
          <w:color w:val="auto"/>
          <w:sz w:val="28"/>
          <w:szCs w:val="28"/>
          <w:highlight w:val="none"/>
        </w:rPr>
        <w:t>%。</w:t>
      </w:r>
    </w:p>
    <w:p>
      <w:pPr>
        <w:pStyle w:val="49"/>
        <w:keepNext w:val="0"/>
        <w:keepLines w:val="0"/>
        <w:pageBreakBefore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 w:hAnsi="仿宋" w:eastAsia="仿宋" w:cs="仿宋"/>
          <w:b w:val="0"/>
          <w:bCs/>
          <w:color w:val="000000" w:themeColor="text1"/>
          <w:sz w:val="28"/>
          <w:szCs w:val="28"/>
          <w:highlight w:val="none"/>
          <w:u w:val="none"/>
          <w:lang w:eastAsia="zh-CN"/>
          <w14:textFill>
            <w14:solidFill>
              <w14:schemeClr w14:val="tx1"/>
            </w14:solidFill>
          </w14:textFill>
        </w:rPr>
      </w:pPr>
      <w:r>
        <w:rPr>
          <w:rFonts w:hint="eastAsia" w:ascii="仿宋" w:hAnsi="仿宋" w:eastAsia="仿宋" w:cs="仿宋"/>
          <w:b/>
          <w:bCs/>
          <w:sz w:val="28"/>
          <w:szCs w:val="28"/>
          <w:highlight w:val="none"/>
          <w:lang w:eastAsia="zh-CN"/>
        </w:rPr>
        <w:t>（</w:t>
      </w:r>
      <w:r>
        <w:rPr>
          <w:rFonts w:hint="eastAsia" w:ascii="仿宋" w:hAnsi="仿宋" w:eastAsia="仿宋" w:cs="仿宋"/>
          <w:b/>
          <w:bCs/>
          <w:sz w:val="28"/>
          <w:szCs w:val="28"/>
          <w:highlight w:val="none"/>
          <w:lang w:val="en-US" w:eastAsia="zh-CN"/>
        </w:rPr>
        <w:t>1</w:t>
      </w:r>
      <w:r>
        <w:rPr>
          <w:rFonts w:hint="eastAsia" w:ascii="仿宋" w:hAnsi="仿宋" w:eastAsia="仿宋" w:cs="仿宋"/>
          <w:b/>
          <w:bCs/>
          <w:sz w:val="28"/>
          <w:szCs w:val="28"/>
          <w:highlight w:val="none"/>
          <w:lang w:eastAsia="zh-CN"/>
        </w:rPr>
        <w:t>）</w:t>
      </w:r>
      <w:r>
        <w:rPr>
          <w:rFonts w:hint="eastAsia" w:ascii="仿宋" w:hAnsi="仿宋" w:eastAsia="仿宋" w:cs="仿宋"/>
          <w:b/>
          <w:bCs/>
          <w:sz w:val="28"/>
          <w:szCs w:val="28"/>
          <w:highlight w:val="none"/>
        </w:rPr>
        <w:t>对于“产出数量”</w:t>
      </w:r>
    </w:p>
    <w:p>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outlineLvl w:val="0"/>
        <w:rPr>
          <w:rFonts w:hint="eastAsia" w:ascii="仿宋" w:hAnsi="仿宋" w:eastAsia="仿宋" w:cs="仿宋"/>
          <w:color w:val="FF0000"/>
          <w:sz w:val="28"/>
          <w:szCs w:val="28"/>
        </w:rPr>
      </w:pPr>
      <w:r>
        <w:rPr>
          <w:rFonts w:hint="eastAsia" w:ascii="仿宋" w:hAnsi="仿宋" w:eastAsia="仿宋" w:cs="仿宋"/>
          <w:sz w:val="28"/>
          <w:szCs w:val="28"/>
          <w:lang w:val="en-US" w:eastAsia="zh-CN"/>
        </w:rPr>
        <w:t>完成建设用地地质灾害危险性评估项目15个</w:t>
      </w:r>
      <w:r>
        <w:rPr>
          <w:rFonts w:hint="eastAsia" w:ascii="仿宋" w:hAnsi="仿宋" w:eastAsia="仿宋" w:cs="仿宋"/>
          <w:sz w:val="28"/>
          <w:szCs w:val="28"/>
        </w:rPr>
        <w:t>，</w:t>
      </w:r>
      <w:r>
        <w:rPr>
          <w:rFonts w:hint="eastAsia" w:ascii="仿宋" w:hAnsi="仿宋" w:eastAsia="仿宋" w:cs="仿宋"/>
          <w:sz w:val="28"/>
          <w:szCs w:val="28"/>
          <w:highlight w:val="none"/>
        </w:rPr>
        <w:t>与预期目标一致，根据评分标准，该指标不扣分，得</w:t>
      </w: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rPr>
        <w:t>分</w:t>
      </w:r>
      <w:r>
        <w:rPr>
          <w:rFonts w:hint="eastAsia" w:ascii="仿宋" w:hAnsi="仿宋" w:eastAsia="仿宋" w:cs="仿宋"/>
          <w:color w:val="auto"/>
          <w:sz w:val="28"/>
          <w:szCs w:val="28"/>
        </w:rPr>
        <w:t>；</w:t>
      </w:r>
    </w:p>
    <w:p>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outlineLvl w:val="0"/>
        <w:rPr>
          <w:rFonts w:hint="eastAsia" w:ascii="仿宋" w:hAnsi="仿宋" w:eastAsia="仿宋" w:cs="仿宋"/>
          <w:sz w:val="28"/>
          <w:szCs w:val="28"/>
          <w:lang w:eastAsia="zh-CN"/>
        </w:rPr>
      </w:pPr>
      <w:r>
        <w:rPr>
          <w:rFonts w:hint="eastAsia" w:ascii="仿宋" w:hAnsi="仿宋" w:eastAsia="仿宋" w:cs="仿宋"/>
          <w:sz w:val="28"/>
          <w:szCs w:val="28"/>
          <w:lang w:val="en-US" w:eastAsia="zh-CN"/>
        </w:rPr>
        <w:t>完成监理项目13个</w:t>
      </w:r>
      <w:r>
        <w:rPr>
          <w:rFonts w:hint="eastAsia" w:ascii="仿宋" w:hAnsi="仿宋" w:eastAsia="仿宋" w:cs="仿宋"/>
          <w:sz w:val="28"/>
          <w:szCs w:val="28"/>
        </w:rPr>
        <w:t>，</w:t>
      </w:r>
      <w:r>
        <w:rPr>
          <w:rFonts w:hint="eastAsia" w:ascii="仿宋" w:hAnsi="仿宋" w:eastAsia="仿宋" w:cs="仿宋"/>
          <w:sz w:val="28"/>
          <w:szCs w:val="28"/>
          <w:highlight w:val="none"/>
        </w:rPr>
        <w:t>与预期目标一致，根据评分标准，该指标不扣分，得</w:t>
      </w: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rPr>
        <w:t>分</w:t>
      </w:r>
      <w:r>
        <w:rPr>
          <w:rFonts w:hint="eastAsia" w:ascii="仿宋" w:hAnsi="仿宋" w:eastAsia="仿宋" w:cs="仿宋"/>
          <w:sz w:val="28"/>
          <w:szCs w:val="28"/>
          <w:highlight w:val="none"/>
          <w:lang w:eastAsia="zh-CN"/>
        </w:rPr>
        <w:t>；</w:t>
      </w:r>
    </w:p>
    <w:p>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outlineLvl w:val="0"/>
        <w:rPr>
          <w:rFonts w:hint="eastAsia" w:ascii="仿宋" w:hAnsi="仿宋" w:eastAsia="仿宋" w:cs="仿宋"/>
          <w:sz w:val="28"/>
          <w:szCs w:val="28"/>
          <w:lang w:val="en-US" w:eastAsia="zh-CN"/>
        </w:rPr>
      </w:pPr>
      <w:r>
        <w:rPr>
          <w:rFonts w:hint="eastAsia" w:ascii="仿宋" w:hAnsi="仿宋" w:eastAsia="仿宋" w:cs="仿宋"/>
          <w:b w:val="0"/>
          <w:bCs w:val="0"/>
          <w:kern w:val="2"/>
          <w:sz w:val="28"/>
          <w:szCs w:val="28"/>
          <w:lang w:val="en-US" w:eastAsia="zh-CN" w:bidi="ar-SA"/>
        </w:rPr>
        <w:t>完成地下水监测设备校核410组，</w:t>
      </w:r>
      <w:r>
        <w:rPr>
          <w:rFonts w:hint="eastAsia" w:ascii="仿宋" w:hAnsi="仿宋" w:eastAsia="仿宋" w:cs="仿宋"/>
          <w:sz w:val="28"/>
          <w:szCs w:val="28"/>
          <w:highlight w:val="none"/>
        </w:rPr>
        <w:t>与预期目标一致，根据评分标准，该指标不扣分，得</w:t>
      </w: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rPr>
        <w:t>分</w:t>
      </w:r>
      <w:r>
        <w:rPr>
          <w:rFonts w:hint="eastAsia" w:ascii="仿宋" w:hAnsi="仿宋" w:eastAsia="仿宋" w:cs="仿宋"/>
          <w:sz w:val="28"/>
          <w:szCs w:val="28"/>
          <w:highlight w:val="none"/>
          <w:lang w:eastAsia="zh-CN"/>
        </w:rPr>
        <w:t>；</w:t>
      </w:r>
    </w:p>
    <w:p>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outlineLvl w:val="0"/>
        <w:rPr>
          <w:rFonts w:hint="eastAsia" w:ascii="仿宋" w:hAnsi="仿宋" w:eastAsia="仿宋" w:cs="仿宋"/>
          <w:sz w:val="28"/>
          <w:szCs w:val="28"/>
          <w:lang w:val="en-US" w:eastAsia="zh-CN"/>
        </w:rPr>
      </w:pPr>
      <w:r>
        <w:rPr>
          <w:rFonts w:hint="eastAsia" w:ascii="仿宋" w:hAnsi="仿宋" w:eastAsia="仿宋" w:cs="仿宋"/>
          <w:b w:val="0"/>
          <w:bCs w:val="0"/>
          <w:kern w:val="2"/>
          <w:sz w:val="28"/>
          <w:szCs w:val="28"/>
          <w:lang w:val="en-US" w:eastAsia="zh-CN" w:bidi="ar-SA"/>
        </w:rPr>
        <w:t>完成监测井井深测量410个，</w:t>
      </w:r>
      <w:r>
        <w:rPr>
          <w:rFonts w:hint="eastAsia" w:ascii="仿宋" w:hAnsi="仿宋" w:eastAsia="仿宋" w:cs="仿宋"/>
          <w:sz w:val="28"/>
          <w:szCs w:val="28"/>
          <w:highlight w:val="none"/>
        </w:rPr>
        <w:t>与预期目标一致，根据评分标准，该指标不扣分，得</w:t>
      </w: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rPr>
        <w:t>分</w:t>
      </w:r>
      <w:r>
        <w:rPr>
          <w:rFonts w:hint="eastAsia" w:ascii="仿宋" w:hAnsi="仿宋" w:eastAsia="仿宋" w:cs="仿宋"/>
          <w:sz w:val="28"/>
          <w:szCs w:val="28"/>
          <w:highlight w:val="none"/>
          <w:lang w:eastAsia="zh-CN"/>
        </w:rPr>
        <w:t>；</w:t>
      </w:r>
    </w:p>
    <w:p>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outlineLvl w:val="0"/>
        <w:rPr>
          <w:rFonts w:hint="eastAsia" w:ascii="仿宋" w:hAnsi="仿宋" w:eastAsia="仿宋" w:cs="仿宋"/>
          <w:sz w:val="28"/>
          <w:szCs w:val="28"/>
          <w:highlight w:val="none"/>
          <w:lang w:eastAsia="zh-CN"/>
        </w:rPr>
      </w:pPr>
      <w:r>
        <w:rPr>
          <w:rFonts w:hint="eastAsia" w:ascii="仿宋" w:hAnsi="仿宋" w:eastAsia="仿宋" w:cs="仿宋"/>
          <w:sz w:val="28"/>
          <w:szCs w:val="28"/>
          <w:lang w:val="en-US" w:eastAsia="zh-CN"/>
        </w:rPr>
        <w:t>完成监测站点辅助设施养护维修410个</w:t>
      </w:r>
      <w:r>
        <w:rPr>
          <w:rFonts w:hint="eastAsia" w:ascii="仿宋" w:hAnsi="仿宋" w:eastAsia="仿宋" w:cs="仿宋"/>
          <w:sz w:val="28"/>
          <w:szCs w:val="28"/>
        </w:rPr>
        <w:t>，</w:t>
      </w:r>
      <w:r>
        <w:rPr>
          <w:rFonts w:hint="eastAsia" w:ascii="仿宋" w:hAnsi="仿宋" w:eastAsia="仿宋" w:cs="仿宋"/>
          <w:sz w:val="28"/>
          <w:szCs w:val="28"/>
          <w:highlight w:val="none"/>
        </w:rPr>
        <w:t>与预期目标一致，根据评分标准，该指标不扣分，得</w:t>
      </w: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rPr>
        <w:t>分</w:t>
      </w:r>
      <w:r>
        <w:rPr>
          <w:rFonts w:hint="eastAsia" w:ascii="仿宋" w:hAnsi="仿宋" w:eastAsia="仿宋" w:cs="仿宋"/>
          <w:sz w:val="28"/>
          <w:szCs w:val="28"/>
          <w:highlight w:val="none"/>
          <w:lang w:eastAsia="zh-CN"/>
        </w:rPr>
        <w:t>。</w:t>
      </w:r>
    </w:p>
    <w:p>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outlineLvl w:val="0"/>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合计得10分。</w:t>
      </w:r>
    </w:p>
    <w:p>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b w:val="0"/>
          <w:bCs/>
          <w:color w:val="000000" w:themeColor="text1"/>
          <w:sz w:val="28"/>
          <w:szCs w:val="28"/>
          <w:highlight w:val="none"/>
          <w:u w:val="none"/>
          <w:lang w:eastAsia="zh-CN"/>
          <w14:textFill>
            <w14:solidFill>
              <w14:schemeClr w14:val="tx1"/>
            </w14:solidFill>
          </w14:textFill>
        </w:rPr>
      </w:pPr>
      <w:r>
        <w:rPr>
          <w:rFonts w:hint="eastAsia" w:ascii="仿宋" w:hAnsi="仿宋" w:eastAsia="仿宋" w:cs="仿宋"/>
          <w:b w:val="0"/>
          <w:bCs/>
          <w:color w:val="000000" w:themeColor="text1"/>
          <w:sz w:val="28"/>
          <w:szCs w:val="28"/>
          <w:highlight w:val="none"/>
          <w:u w:val="none"/>
          <w:lang w:eastAsia="zh-CN"/>
          <w14:textFill>
            <w14:solidFill>
              <w14:schemeClr w14:val="tx1"/>
            </w14:solidFill>
          </w14:textFill>
        </w:rPr>
        <w:t>（</w:t>
      </w:r>
      <w:r>
        <w:rPr>
          <w:rFonts w:hint="eastAsia" w:ascii="仿宋" w:hAnsi="仿宋" w:eastAsia="仿宋" w:cs="仿宋"/>
          <w:b w:val="0"/>
          <w:bCs/>
          <w:color w:val="000000" w:themeColor="text1"/>
          <w:sz w:val="28"/>
          <w:szCs w:val="28"/>
          <w:highlight w:val="none"/>
          <w:u w:val="none"/>
          <w:lang w:val="en-US" w:eastAsia="zh-CN"/>
          <w14:textFill>
            <w14:solidFill>
              <w14:schemeClr w14:val="tx1"/>
            </w14:solidFill>
          </w14:textFill>
        </w:rPr>
        <w:t>2</w:t>
      </w:r>
      <w:r>
        <w:rPr>
          <w:rFonts w:hint="eastAsia" w:ascii="仿宋" w:hAnsi="仿宋" w:eastAsia="仿宋" w:cs="仿宋"/>
          <w:b w:val="0"/>
          <w:bCs/>
          <w:color w:val="000000" w:themeColor="text1"/>
          <w:sz w:val="28"/>
          <w:szCs w:val="28"/>
          <w:highlight w:val="none"/>
          <w:u w:val="none"/>
          <w:lang w:eastAsia="zh-CN"/>
          <w14:textFill>
            <w14:solidFill>
              <w14:schemeClr w14:val="tx1"/>
            </w14:solidFill>
          </w14:textFill>
        </w:rPr>
        <w:t>）</w:t>
      </w:r>
      <w:r>
        <w:rPr>
          <w:rFonts w:hint="eastAsia" w:ascii="仿宋" w:hAnsi="仿宋" w:eastAsia="仿宋" w:cs="仿宋"/>
          <w:b/>
          <w:bCs/>
          <w:sz w:val="28"/>
          <w:szCs w:val="28"/>
          <w:highlight w:val="none"/>
        </w:rPr>
        <w:t>对于“产出</w:t>
      </w:r>
      <w:r>
        <w:rPr>
          <w:rFonts w:hint="eastAsia" w:ascii="仿宋" w:hAnsi="仿宋" w:eastAsia="仿宋" w:cs="仿宋"/>
          <w:b/>
          <w:bCs/>
          <w:sz w:val="28"/>
          <w:szCs w:val="28"/>
          <w:highlight w:val="none"/>
          <w:lang w:val="en-US" w:eastAsia="zh-CN"/>
        </w:rPr>
        <w:t>质量</w:t>
      </w:r>
      <w:r>
        <w:rPr>
          <w:rFonts w:hint="eastAsia" w:ascii="仿宋" w:hAnsi="仿宋" w:eastAsia="仿宋" w:cs="仿宋"/>
          <w:b/>
          <w:bCs/>
          <w:sz w:val="28"/>
          <w:szCs w:val="28"/>
          <w:highlight w:val="none"/>
        </w:rPr>
        <w:t>”</w:t>
      </w:r>
    </w:p>
    <w:p>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b w:val="0"/>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color w:val="000000" w:themeColor="text1"/>
          <w:sz w:val="28"/>
          <w:szCs w:val="28"/>
          <w:highlight w:val="none"/>
          <w:u w:val="none"/>
          <w:lang w:val="en-US" w:eastAsia="zh-CN"/>
          <w14:textFill>
            <w14:solidFill>
              <w14:schemeClr w14:val="tx1"/>
            </w14:solidFill>
          </w14:textFill>
        </w:rPr>
        <w:t>地下水监测数据传输故障率0.25%，</w:t>
      </w:r>
      <w:r>
        <w:rPr>
          <w:rFonts w:hint="eastAsia" w:ascii="仿宋" w:hAnsi="仿宋" w:eastAsia="仿宋" w:cs="仿宋"/>
          <w:sz w:val="28"/>
          <w:szCs w:val="28"/>
          <w:highlight w:val="none"/>
        </w:rPr>
        <w:t>与预期目标一致，根据评分标准，该指标不扣分，得</w:t>
      </w:r>
      <w:r>
        <w:rPr>
          <w:rFonts w:hint="eastAsia" w:ascii="仿宋" w:hAnsi="仿宋" w:eastAsia="仿宋" w:cs="仿宋"/>
          <w:sz w:val="28"/>
          <w:szCs w:val="28"/>
          <w:highlight w:val="none"/>
          <w:lang w:val="en-US" w:eastAsia="zh-CN"/>
        </w:rPr>
        <w:t>2.5</w:t>
      </w:r>
      <w:r>
        <w:rPr>
          <w:rFonts w:hint="eastAsia" w:ascii="仿宋" w:hAnsi="仿宋" w:eastAsia="仿宋" w:cs="仿宋"/>
          <w:sz w:val="28"/>
          <w:szCs w:val="28"/>
          <w:highlight w:val="none"/>
        </w:rPr>
        <w:t>分</w:t>
      </w:r>
      <w:r>
        <w:rPr>
          <w:rFonts w:hint="eastAsia" w:ascii="仿宋" w:hAnsi="仿宋" w:eastAsia="仿宋" w:cs="仿宋"/>
          <w:sz w:val="28"/>
          <w:szCs w:val="28"/>
          <w:highlight w:val="none"/>
          <w:lang w:eastAsia="zh-CN"/>
        </w:rPr>
        <w:t>；</w:t>
      </w:r>
    </w:p>
    <w:p>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b w:val="0"/>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color w:val="000000" w:themeColor="text1"/>
          <w:sz w:val="28"/>
          <w:szCs w:val="28"/>
          <w:highlight w:val="none"/>
          <w:u w:val="none"/>
          <w:lang w:val="en-US" w:eastAsia="zh-CN"/>
          <w14:textFill>
            <w14:solidFill>
              <w14:schemeClr w14:val="tx1"/>
            </w14:solidFill>
          </w14:textFill>
        </w:rPr>
        <w:t>工作成果质量合格率100%，</w:t>
      </w:r>
      <w:r>
        <w:rPr>
          <w:rFonts w:hint="eastAsia" w:ascii="仿宋" w:hAnsi="仿宋" w:eastAsia="仿宋" w:cs="仿宋"/>
          <w:sz w:val="28"/>
          <w:szCs w:val="28"/>
          <w:highlight w:val="none"/>
        </w:rPr>
        <w:t>与预期目标一致，根据评分标准，该指标不扣分，得</w:t>
      </w:r>
      <w:r>
        <w:rPr>
          <w:rFonts w:hint="eastAsia" w:ascii="仿宋" w:hAnsi="仿宋" w:eastAsia="仿宋" w:cs="仿宋"/>
          <w:sz w:val="28"/>
          <w:szCs w:val="28"/>
          <w:highlight w:val="none"/>
          <w:lang w:val="en-US" w:eastAsia="zh-CN"/>
        </w:rPr>
        <w:t>2.5</w:t>
      </w:r>
      <w:r>
        <w:rPr>
          <w:rFonts w:hint="eastAsia" w:ascii="仿宋" w:hAnsi="仿宋" w:eastAsia="仿宋" w:cs="仿宋"/>
          <w:sz w:val="28"/>
          <w:szCs w:val="28"/>
          <w:highlight w:val="none"/>
        </w:rPr>
        <w:t>分</w:t>
      </w:r>
      <w:r>
        <w:rPr>
          <w:rFonts w:hint="eastAsia" w:ascii="仿宋" w:hAnsi="仿宋" w:eastAsia="仿宋" w:cs="仿宋"/>
          <w:sz w:val="28"/>
          <w:szCs w:val="28"/>
          <w:highlight w:val="none"/>
          <w:lang w:eastAsia="zh-CN"/>
        </w:rPr>
        <w:t>；</w:t>
      </w:r>
    </w:p>
    <w:p>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b w:val="0"/>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color w:val="000000" w:themeColor="text1"/>
          <w:sz w:val="28"/>
          <w:szCs w:val="28"/>
          <w:highlight w:val="none"/>
          <w:u w:val="none"/>
          <w:lang w:val="en-US" w:eastAsia="zh-CN"/>
          <w14:textFill>
            <w14:solidFill>
              <w14:schemeClr w14:val="tx1"/>
            </w14:solidFill>
          </w14:textFill>
        </w:rPr>
        <w:t>监测井运行维护合格率，100%，</w:t>
      </w:r>
      <w:r>
        <w:rPr>
          <w:rFonts w:hint="eastAsia" w:ascii="仿宋" w:hAnsi="仿宋" w:eastAsia="仿宋" w:cs="仿宋"/>
          <w:sz w:val="28"/>
          <w:szCs w:val="28"/>
          <w:highlight w:val="none"/>
        </w:rPr>
        <w:t>与预期目标一致，根据评分标准，该指标不扣分，得</w:t>
      </w:r>
      <w:r>
        <w:rPr>
          <w:rFonts w:hint="eastAsia" w:ascii="仿宋" w:hAnsi="仿宋" w:eastAsia="仿宋" w:cs="仿宋"/>
          <w:sz w:val="28"/>
          <w:szCs w:val="28"/>
          <w:highlight w:val="none"/>
          <w:lang w:val="en-US" w:eastAsia="zh-CN"/>
        </w:rPr>
        <w:t>2.5</w:t>
      </w:r>
      <w:r>
        <w:rPr>
          <w:rFonts w:hint="eastAsia" w:ascii="仿宋" w:hAnsi="仿宋" w:eastAsia="仿宋" w:cs="仿宋"/>
          <w:sz w:val="28"/>
          <w:szCs w:val="28"/>
          <w:highlight w:val="none"/>
        </w:rPr>
        <w:t>分</w:t>
      </w:r>
      <w:r>
        <w:rPr>
          <w:rFonts w:hint="eastAsia" w:ascii="仿宋" w:hAnsi="仿宋" w:eastAsia="仿宋" w:cs="仿宋"/>
          <w:sz w:val="28"/>
          <w:szCs w:val="28"/>
          <w:highlight w:val="none"/>
          <w:lang w:eastAsia="zh-CN"/>
        </w:rPr>
        <w:t>；</w:t>
      </w:r>
    </w:p>
    <w:p>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b w:val="0"/>
          <w:bCs/>
          <w:color w:val="000000" w:themeColor="text1"/>
          <w:sz w:val="28"/>
          <w:szCs w:val="28"/>
          <w:highlight w:val="none"/>
          <w:u w:val="none"/>
          <w:lang w:val="en-US" w:eastAsia="zh-CN"/>
          <w14:textFill>
            <w14:solidFill>
              <w14:schemeClr w14:val="tx1"/>
            </w14:solidFill>
          </w14:textFill>
        </w:rPr>
        <w:t>地下水均衡试验场运行故障率0%，</w:t>
      </w:r>
      <w:r>
        <w:rPr>
          <w:rFonts w:hint="eastAsia" w:ascii="仿宋" w:hAnsi="仿宋" w:eastAsia="仿宋" w:cs="仿宋"/>
          <w:sz w:val="28"/>
          <w:szCs w:val="28"/>
          <w:highlight w:val="none"/>
        </w:rPr>
        <w:t>与预期目标一致，根据评分标准，该指标不扣分，得</w:t>
      </w:r>
      <w:r>
        <w:rPr>
          <w:rFonts w:hint="eastAsia" w:ascii="仿宋" w:hAnsi="仿宋" w:eastAsia="仿宋" w:cs="仿宋"/>
          <w:sz w:val="28"/>
          <w:szCs w:val="28"/>
          <w:highlight w:val="none"/>
          <w:lang w:val="en-US" w:eastAsia="zh-CN"/>
        </w:rPr>
        <w:t>2.5</w:t>
      </w:r>
      <w:r>
        <w:rPr>
          <w:rFonts w:hint="eastAsia" w:ascii="仿宋" w:hAnsi="仿宋" w:eastAsia="仿宋" w:cs="仿宋"/>
          <w:sz w:val="28"/>
          <w:szCs w:val="28"/>
          <w:highlight w:val="none"/>
        </w:rPr>
        <w:t>分</w:t>
      </w:r>
      <w:r>
        <w:rPr>
          <w:rFonts w:hint="eastAsia" w:ascii="仿宋" w:hAnsi="仿宋" w:eastAsia="仿宋" w:cs="仿宋"/>
          <w:sz w:val="28"/>
          <w:szCs w:val="28"/>
          <w:highlight w:val="none"/>
          <w:lang w:eastAsia="zh-CN"/>
        </w:rPr>
        <w:t>。</w:t>
      </w:r>
    </w:p>
    <w:p>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合计得10分。</w:t>
      </w:r>
    </w:p>
    <w:p>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b w:val="0"/>
          <w:bCs/>
          <w:color w:val="000000" w:themeColor="text1"/>
          <w:kern w:val="2"/>
          <w:sz w:val="28"/>
          <w:szCs w:val="28"/>
          <w:highlight w:val="none"/>
          <w:u w:val="none"/>
          <w:lang w:val="en-US" w:eastAsia="zh-CN"/>
          <w14:textFill>
            <w14:solidFill>
              <w14:schemeClr w14:val="tx1"/>
            </w14:solidFill>
          </w14:textFill>
        </w:rPr>
      </w:pPr>
      <w:r>
        <w:rPr>
          <w:rFonts w:hint="eastAsia" w:ascii="仿宋" w:hAnsi="仿宋" w:eastAsia="仿宋" w:cs="仿宋"/>
          <w:b w:val="0"/>
          <w:bCs/>
          <w:color w:val="000000" w:themeColor="text1"/>
          <w:kern w:val="2"/>
          <w:sz w:val="28"/>
          <w:szCs w:val="28"/>
          <w:highlight w:val="none"/>
          <w:u w:val="none"/>
          <w:lang w:val="en-US" w:eastAsia="zh-CN"/>
          <w14:textFill>
            <w14:solidFill>
              <w14:schemeClr w14:val="tx1"/>
            </w14:solidFill>
          </w14:textFill>
        </w:rPr>
        <w:t>（3）</w:t>
      </w:r>
      <w:r>
        <w:rPr>
          <w:rFonts w:hint="eastAsia" w:ascii="仿宋" w:hAnsi="仿宋" w:eastAsia="仿宋" w:cs="仿宋"/>
          <w:b/>
          <w:bCs/>
          <w:sz w:val="28"/>
          <w:szCs w:val="28"/>
          <w:highlight w:val="none"/>
        </w:rPr>
        <w:t>对于“产出</w:t>
      </w:r>
      <w:r>
        <w:rPr>
          <w:rFonts w:hint="eastAsia" w:ascii="仿宋" w:hAnsi="仿宋" w:eastAsia="仿宋" w:cs="仿宋"/>
          <w:b/>
          <w:bCs/>
          <w:sz w:val="28"/>
          <w:szCs w:val="28"/>
          <w:highlight w:val="none"/>
          <w:lang w:val="en-US" w:eastAsia="zh-CN"/>
        </w:rPr>
        <w:t>成本</w:t>
      </w:r>
      <w:r>
        <w:rPr>
          <w:rFonts w:hint="eastAsia" w:ascii="仿宋" w:hAnsi="仿宋" w:eastAsia="仿宋" w:cs="仿宋"/>
          <w:b/>
          <w:bCs/>
          <w:sz w:val="28"/>
          <w:szCs w:val="28"/>
          <w:highlight w:val="none"/>
        </w:rPr>
        <w:t>”</w:t>
      </w:r>
    </w:p>
    <w:p>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b w:val="0"/>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color w:val="000000" w:themeColor="text1"/>
          <w:sz w:val="28"/>
          <w:szCs w:val="28"/>
          <w:highlight w:val="none"/>
          <w:u w:val="none"/>
          <w:lang w:val="en-US" w:eastAsia="zh-CN"/>
          <w14:textFill>
            <w14:solidFill>
              <w14:schemeClr w14:val="tx1"/>
            </w14:solidFill>
          </w14:textFill>
        </w:rPr>
        <w:t>建设用地地质灾害危险性评估项目经费，预期绩效目标≤185万元，实际完成值为615万元，偏差率为30%，偏差原因：我院与各油田公司以签订1-2年度框架合同为主，实施过程中具体项目按工作量进行结算。因年度框架合同金额均以估算为准，且一般签订2个年度，金额较大，后期项目实施数量具有不确定性，具体结算以安排实施的项目为准。采取的措施：加强对市场变化的把控性及预算编制的精准性。根据评分标准，该指标扣5分，得0分；</w:t>
      </w:r>
    </w:p>
    <w:p>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b w:val="0"/>
          <w:bCs/>
          <w:color w:val="000000" w:themeColor="text1"/>
          <w:kern w:val="2"/>
          <w:sz w:val="28"/>
          <w:szCs w:val="28"/>
          <w:highlight w:val="none"/>
          <w:u w:val="none"/>
          <w:lang w:val="en-US" w:eastAsia="zh-CN"/>
          <w14:textFill>
            <w14:solidFill>
              <w14:schemeClr w14:val="tx1"/>
            </w14:solidFill>
          </w14:textFill>
        </w:rPr>
      </w:pPr>
      <w:r>
        <w:rPr>
          <w:rFonts w:hint="eastAsia" w:ascii="仿宋" w:hAnsi="仿宋" w:eastAsia="仿宋" w:cs="仿宋"/>
          <w:b w:val="0"/>
          <w:bCs/>
          <w:color w:val="000000" w:themeColor="text1"/>
          <w:kern w:val="2"/>
          <w:sz w:val="28"/>
          <w:szCs w:val="28"/>
          <w:highlight w:val="none"/>
          <w:u w:val="none"/>
          <w:lang w:val="en-US" w:eastAsia="zh-CN"/>
          <w14:textFill>
            <w14:solidFill>
              <w14:schemeClr w14:val="tx1"/>
            </w14:solidFill>
          </w14:textFill>
        </w:rPr>
        <w:t>项目监理费150万元，</w:t>
      </w:r>
      <w:r>
        <w:rPr>
          <w:rFonts w:hint="eastAsia" w:ascii="仿宋" w:hAnsi="仿宋" w:eastAsia="仿宋" w:cs="仿宋"/>
          <w:sz w:val="28"/>
          <w:szCs w:val="28"/>
          <w:highlight w:val="none"/>
        </w:rPr>
        <w:t>与预期目标一致，根据评分标准，该指标不扣分，得</w:t>
      </w:r>
      <w:r>
        <w:rPr>
          <w:rFonts w:hint="eastAsia" w:ascii="仿宋" w:hAnsi="仿宋" w:eastAsia="仿宋" w:cs="仿宋"/>
          <w:sz w:val="28"/>
          <w:szCs w:val="28"/>
          <w:highlight w:val="none"/>
          <w:lang w:val="en-US" w:eastAsia="zh-CN"/>
        </w:rPr>
        <w:t>5</w:t>
      </w:r>
      <w:r>
        <w:rPr>
          <w:rFonts w:hint="eastAsia" w:ascii="仿宋" w:hAnsi="仿宋" w:eastAsia="仿宋" w:cs="仿宋"/>
          <w:sz w:val="28"/>
          <w:szCs w:val="28"/>
          <w:highlight w:val="none"/>
        </w:rPr>
        <w:t>分</w:t>
      </w:r>
      <w:r>
        <w:rPr>
          <w:rFonts w:hint="eastAsia" w:ascii="仿宋" w:hAnsi="仿宋" w:eastAsia="仿宋" w:cs="仿宋"/>
          <w:sz w:val="28"/>
          <w:szCs w:val="28"/>
          <w:highlight w:val="none"/>
          <w:lang w:eastAsia="zh-CN"/>
        </w:rPr>
        <w:t>；</w:t>
      </w:r>
    </w:p>
    <w:p>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b w:val="0"/>
          <w:bCs/>
          <w:color w:val="000000" w:themeColor="text1"/>
          <w:kern w:val="2"/>
          <w:sz w:val="28"/>
          <w:szCs w:val="28"/>
          <w:highlight w:val="none"/>
          <w:u w:val="none"/>
          <w:lang w:val="en-US" w:eastAsia="zh-CN"/>
          <w14:textFill>
            <w14:solidFill>
              <w14:schemeClr w14:val="tx1"/>
            </w14:solidFill>
          </w14:textFill>
        </w:rPr>
        <w:t>完成地下水监测站点运行维护工作经费0.43万元/个，</w:t>
      </w:r>
      <w:r>
        <w:rPr>
          <w:rFonts w:hint="eastAsia" w:ascii="仿宋" w:hAnsi="仿宋" w:eastAsia="仿宋" w:cs="仿宋"/>
          <w:sz w:val="28"/>
          <w:szCs w:val="28"/>
          <w:highlight w:val="none"/>
        </w:rPr>
        <w:t>与预期目标一致，根据评分标准，该指标不扣分，得</w:t>
      </w:r>
      <w:r>
        <w:rPr>
          <w:rFonts w:hint="eastAsia" w:ascii="仿宋" w:hAnsi="仿宋" w:eastAsia="仿宋" w:cs="仿宋"/>
          <w:sz w:val="28"/>
          <w:szCs w:val="28"/>
          <w:highlight w:val="none"/>
          <w:lang w:val="en-US" w:eastAsia="zh-CN"/>
        </w:rPr>
        <w:t>10</w:t>
      </w:r>
      <w:r>
        <w:rPr>
          <w:rFonts w:hint="eastAsia" w:ascii="仿宋" w:hAnsi="仿宋" w:eastAsia="仿宋" w:cs="仿宋"/>
          <w:sz w:val="28"/>
          <w:szCs w:val="28"/>
          <w:highlight w:val="none"/>
        </w:rPr>
        <w:t>分</w:t>
      </w:r>
      <w:r>
        <w:rPr>
          <w:rFonts w:hint="eastAsia" w:ascii="仿宋" w:hAnsi="仿宋" w:eastAsia="仿宋" w:cs="仿宋"/>
          <w:sz w:val="28"/>
          <w:szCs w:val="28"/>
          <w:highlight w:val="none"/>
          <w:lang w:eastAsia="zh-CN"/>
        </w:rPr>
        <w:t>。</w:t>
      </w:r>
    </w:p>
    <w:p>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合计得15分。</w:t>
      </w:r>
    </w:p>
    <w:p>
      <w:pPr>
        <w:pStyle w:val="50"/>
        <w:ind w:left="0" w:leftChars="0" w:firstLine="562" w:firstLineChars="200"/>
        <w:rPr>
          <w:rFonts w:hint="eastAsia" w:ascii="仿宋" w:hAnsi="仿宋" w:eastAsia="仿宋" w:cs="仿宋"/>
          <w:b/>
          <w:bCs/>
          <w:i w:val="0"/>
          <w:iCs w:val="0"/>
          <w:sz w:val="28"/>
          <w:szCs w:val="28"/>
          <w:highlight w:val="none"/>
        </w:rPr>
      </w:pPr>
      <w:r>
        <w:rPr>
          <w:rFonts w:hint="eastAsia" w:ascii="仿宋" w:hAnsi="仿宋" w:eastAsia="仿宋" w:cs="仿宋"/>
          <w:b/>
          <w:bCs/>
          <w:i w:val="0"/>
          <w:iCs w:val="0"/>
          <w:sz w:val="28"/>
          <w:szCs w:val="28"/>
          <w:highlight w:val="none"/>
        </w:rPr>
        <w:t>（四）项目效益情况</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　　</w:t>
      </w:r>
      <w:r>
        <w:rPr>
          <w:rFonts w:hint="eastAsia" w:ascii="仿宋" w:hAnsi="仿宋" w:eastAsia="仿宋" w:cs="仿宋"/>
          <w:sz w:val="28"/>
          <w:szCs w:val="28"/>
          <w:highlight w:val="none"/>
        </w:rPr>
        <w:t>项目效益类指标包括项目效益</w:t>
      </w:r>
      <w:r>
        <w:rPr>
          <w:rFonts w:hint="eastAsia" w:ascii="仿宋" w:hAnsi="仿宋" w:eastAsia="仿宋" w:cs="仿宋"/>
          <w:sz w:val="28"/>
          <w:szCs w:val="28"/>
          <w:highlight w:val="none"/>
          <w:lang w:val="en-US" w:eastAsia="zh-CN"/>
        </w:rPr>
        <w:t>1</w:t>
      </w:r>
      <w:r>
        <w:rPr>
          <w:rFonts w:hint="eastAsia" w:ascii="仿宋" w:hAnsi="仿宋" w:eastAsia="仿宋" w:cs="仿宋"/>
          <w:sz w:val="28"/>
          <w:szCs w:val="28"/>
          <w:highlight w:val="none"/>
        </w:rPr>
        <w:t>个方面的内容，由</w:t>
      </w:r>
      <w:r>
        <w:rPr>
          <w:rFonts w:hint="eastAsia" w:ascii="仿宋" w:hAnsi="仿宋" w:eastAsia="仿宋" w:cs="仿宋"/>
          <w:sz w:val="28"/>
          <w:szCs w:val="28"/>
          <w:highlight w:val="none"/>
          <w:lang w:val="en-US" w:eastAsia="zh-CN"/>
        </w:rPr>
        <w:t>1个</w:t>
      </w:r>
      <w:r>
        <w:rPr>
          <w:rFonts w:hint="eastAsia" w:ascii="仿宋" w:hAnsi="仿宋" w:eastAsia="仿宋" w:cs="仿宋"/>
          <w:sz w:val="28"/>
          <w:szCs w:val="28"/>
          <w:highlight w:val="none"/>
        </w:rPr>
        <w:t>三级指标构成，权重分为</w:t>
      </w: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rPr>
        <w:t>0分，实际得分</w:t>
      </w:r>
      <w:r>
        <w:rPr>
          <w:rFonts w:hint="eastAsia" w:ascii="仿宋" w:hAnsi="仿宋" w:eastAsia="仿宋" w:cs="仿宋"/>
          <w:sz w:val="28"/>
          <w:szCs w:val="28"/>
          <w:highlight w:val="none"/>
          <w:lang w:val="en-US" w:eastAsia="zh-CN"/>
        </w:rPr>
        <w:t>20</w:t>
      </w:r>
      <w:r>
        <w:rPr>
          <w:rFonts w:hint="eastAsia" w:ascii="仿宋" w:hAnsi="仿宋" w:eastAsia="仿宋" w:cs="仿宋"/>
          <w:sz w:val="28"/>
          <w:szCs w:val="28"/>
          <w:highlight w:val="none"/>
        </w:rPr>
        <w:t>分，得分率为</w:t>
      </w:r>
      <w:r>
        <w:rPr>
          <w:rFonts w:hint="eastAsia" w:ascii="仿宋" w:hAnsi="仿宋" w:eastAsia="仿宋" w:cs="仿宋"/>
          <w:sz w:val="28"/>
          <w:szCs w:val="28"/>
          <w:highlight w:val="none"/>
          <w:lang w:val="en-US" w:eastAsia="zh-CN"/>
        </w:rPr>
        <w:t>100</w:t>
      </w:r>
      <w:r>
        <w:rPr>
          <w:rFonts w:hint="eastAsia" w:ascii="仿宋" w:hAnsi="仿宋" w:eastAsia="仿宋" w:cs="仿宋"/>
          <w:sz w:val="28"/>
          <w:szCs w:val="28"/>
          <w:highlight w:val="none"/>
        </w:rPr>
        <w:t>%。</w:t>
      </w:r>
    </w:p>
    <w:p>
      <w:pPr>
        <w:numPr>
          <w:ilvl w:val="0"/>
          <w:numId w:val="2"/>
        </w:numPr>
        <w:overflowPunct w:val="0"/>
        <w:spacing w:line="560" w:lineRule="exact"/>
        <w:ind w:left="562" w:leftChars="0" w:firstLine="0" w:firstLineChars="0"/>
        <w:contextualSpacing/>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实施效益指标：</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default" w:ascii="仿宋" w:hAnsi="仿宋" w:eastAsia="仿宋" w:cs="仿宋"/>
          <w:sz w:val="28"/>
          <w:szCs w:val="28"/>
          <w:highlight w:val="none"/>
        </w:rPr>
        <w:t>①</w:t>
      </w:r>
      <w:r>
        <w:rPr>
          <w:rFonts w:hint="eastAsia" w:ascii="仿宋" w:hAnsi="仿宋" w:eastAsia="仿宋" w:cs="仿宋"/>
          <w:sz w:val="28"/>
          <w:szCs w:val="28"/>
          <w:highlight w:val="none"/>
        </w:rPr>
        <w:t>对于“经济效益指标”：</w:t>
      </w:r>
    </w:p>
    <w:p>
      <w:pPr>
        <w:spacing w:line="560" w:lineRule="exact"/>
        <w:ind w:firstLine="560" w:firstLineChars="0"/>
        <w:rPr>
          <w:rFonts w:hint="eastAsia" w:ascii="仿宋" w:hAnsi="仿宋" w:eastAsia="仿宋" w:cs="仿宋"/>
          <w:b w:val="0"/>
          <w:sz w:val="28"/>
          <w:szCs w:val="28"/>
          <w:highlight w:val="none"/>
        </w:rPr>
      </w:pPr>
      <w:r>
        <w:rPr>
          <w:rFonts w:hint="eastAsia" w:ascii="仿宋" w:hAnsi="仿宋" w:eastAsia="仿宋" w:cs="仿宋"/>
          <w:b w:val="0"/>
          <w:sz w:val="28"/>
          <w:szCs w:val="28"/>
          <w:highlight w:val="none"/>
        </w:rPr>
        <w:t>本项目无该指标。</w:t>
      </w:r>
    </w:p>
    <w:p>
      <w:pPr>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②</w:t>
      </w:r>
      <w:r>
        <w:rPr>
          <w:rFonts w:hint="eastAsia" w:ascii="仿宋" w:hAnsi="仿宋" w:eastAsia="仿宋" w:cs="仿宋"/>
          <w:sz w:val="28"/>
          <w:szCs w:val="28"/>
          <w:highlight w:val="none"/>
        </w:rPr>
        <w:t>对于“社会效益指标”：</w:t>
      </w:r>
    </w:p>
    <w:p>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b w:val="0"/>
          <w:bCs/>
          <w:color w:val="000000" w:themeColor="text1"/>
          <w:kern w:val="2"/>
          <w:sz w:val="28"/>
          <w:szCs w:val="28"/>
          <w:highlight w:val="none"/>
          <w:u w:val="none"/>
          <w:lang w:val="en-US" w:eastAsia="zh-CN"/>
          <w14:textFill>
            <w14:solidFill>
              <w14:schemeClr w14:val="tx1"/>
            </w14:solidFill>
          </w14:textFill>
        </w:rPr>
      </w:pPr>
      <w:r>
        <w:rPr>
          <w:rFonts w:hint="eastAsia" w:ascii="仿宋" w:hAnsi="仿宋" w:eastAsia="仿宋" w:cs="仿宋"/>
          <w:b w:val="0"/>
          <w:bCs/>
          <w:color w:val="000000" w:themeColor="text1"/>
          <w:kern w:val="2"/>
          <w:sz w:val="28"/>
          <w:szCs w:val="28"/>
          <w:highlight w:val="none"/>
          <w:u w:val="none"/>
          <w:lang w:val="en-US" w:eastAsia="zh-CN"/>
          <w14:textFill>
            <w14:solidFill>
              <w14:schemeClr w14:val="tx1"/>
            </w14:solidFill>
          </w14:textFill>
        </w:rPr>
        <w:t>有效提高我区地质灾害防治能力，</w:t>
      </w:r>
      <w:r>
        <w:rPr>
          <w:rFonts w:hint="eastAsia" w:ascii="仿宋" w:hAnsi="仿宋" w:eastAsia="仿宋" w:cs="仿宋"/>
          <w:sz w:val="28"/>
          <w:szCs w:val="28"/>
          <w:highlight w:val="none"/>
        </w:rPr>
        <w:t>与预期目标一致，根据评分标准，该指标不扣分，得</w:t>
      </w:r>
      <w:r>
        <w:rPr>
          <w:rFonts w:hint="eastAsia" w:ascii="仿宋" w:hAnsi="仿宋" w:eastAsia="仿宋" w:cs="仿宋"/>
          <w:sz w:val="28"/>
          <w:szCs w:val="28"/>
          <w:highlight w:val="none"/>
          <w:lang w:val="en-US" w:eastAsia="zh-CN"/>
        </w:rPr>
        <w:t>10</w:t>
      </w:r>
      <w:r>
        <w:rPr>
          <w:rFonts w:hint="eastAsia" w:ascii="仿宋" w:hAnsi="仿宋" w:eastAsia="仿宋" w:cs="仿宋"/>
          <w:sz w:val="28"/>
          <w:szCs w:val="28"/>
          <w:highlight w:val="none"/>
        </w:rPr>
        <w:t>分</w:t>
      </w:r>
      <w:r>
        <w:rPr>
          <w:rFonts w:hint="eastAsia" w:ascii="仿宋" w:hAnsi="仿宋" w:eastAsia="仿宋" w:cs="仿宋"/>
          <w:sz w:val="28"/>
          <w:szCs w:val="28"/>
          <w:highlight w:val="none"/>
          <w:lang w:eastAsia="zh-CN"/>
        </w:rPr>
        <w:t>；</w:t>
      </w:r>
    </w:p>
    <w:p>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b w:val="0"/>
          <w:bCs/>
          <w:color w:val="000000" w:themeColor="text1"/>
          <w:kern w:val="2"/>
          <w:sz w:val="28"/>
          <w:szCs w:val="28"/>
          <w:highlight w:val="none"/>
          <w:u w:val="none"/>
          <w:lang w:val="en-US" w:eastAsia="zh-CN"/>
          <w14:textFill>
            <w14:solidFill>
              <w14:schemeClr w14:val="tx1"/>
            </w14:solidFill>
          </w14:textFill>
        </w:rPr>
        <w:t>有效提升我区地下水资源监测能力，</w:t>
      </w:r>
      <w:r>
        <w:rPr>
          <w:rFonts w:hint="eastAsia" w:ascii="仿宋" w:hAnsi="仿宋" w:eastAsia="仿宋" w:cs="仿宋"/>
          <w:sz w:val="28"/>
          <w:szCs w:val="28"/>
          <w:highlight w:val="none"/>
        </w:rPr>
        <w:t>与预期目标一致，根据评分标准，该指标不扣分，得</w:t>
      </w:r>
      <w:r>
        <w:rPr>
          <w:rFonts w:hint="eastAsia" w:ascii="仿宋" w:hAnsi="仿宋" w:eastAsia="仿宋" w:cs="仿宋"/>
          <w:sz w:val="28"/>
          <w:szCs w:val="28"/>
          <w:highlight w:val="none"/>
          <w:lang w:val="en-US" w:eastAsia="zh-CN"/>
        </w:rPr>
        <w:t>10</w:t>
      </w:r>
      <w:r>
        <w:rPr>
          <w:rFonts w:hint="eastAsia" w:ascii="仿宋" w:hAnsi="仿宋" w:eastAsia="仿宋" w:cs="仿宋"/>
          <w:sz w:val="28"/>
          <w:szCs w:val="28"/>
          <w:highlight w:val="none"/>
        </w:rPr>
        <w:t>分</w:t>
      </w:r>
      <w:r>
        <w:rPr>
          <w:rFonts w:hint="eastAsia" w:ascii="仿宋" w:hAnsi="仿宋" w:eastAsia="仿宋" w:cs="仿宋"/>
          <w:sz w:val="28"/>
          <w:szCs w:val="28"/>
          <w:highlight w:val="none"/>
          <w:lang w:eastAsia="zh-CN"/>
        </w:rPr>
        <w:t>。</w:t>
      </w:r>
    </w:p>
    <w:p>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实施效益指标合计得20分。</w:t>
      </w:r>
    </w:p>
    <w:p>
      <w:pPr>
        <w:ind w:firstLine="640" w:firstLineChars="200"/>
        <w:rPr>
          <w:rFonts w:hint="eastAsia" w:ascii="方正黑体_GBK" w:hAnsi="方正黑体_GBK" w:eastAsia="方正黑体_GBK" w:cs="方正黑体_GBK"/>
          <w:b/>
          <w:bCs/>
          <w:sz w:val="32"/>
          <w:szCs w:val="32"/>
          <w:highlight w:val="none"/>
        </w:rPr>
      </w:pPr>
      <w:r>
        <w:rPr>
          <w:rFonts w:hint="eastAsia" w:ascii="方正黑体_GBK" w:hAnsi="方正黑体_GBK" w:eastAsia="方正黑体_GBK" w:cs="方正黑体_GBK"/>
          <w:b/>
          <w:bCs/>
          <w:sz w:val="32"/>
          <w:szCs w:val="32"/>
          <w:highlight w:val="none"/>
          <w:lang w:val="en-US" w:eastAsia="zh-CN"/>
        </w:rPr>
        <w:t>五、</w:t>
      </w:r>
      <w:r>
        <w:rPr>
          <w:rFonts w:hint="eastAsia" w:ascii="方正黑体_GBK" w:hAnsi="方正黑体_GBK" w:eastAsia="方正黑体_GBK" w:cs="方正黑体_GBK"/>
          <w:b/>
          <w:bCs/>
          <w:sz w:val="32"/>
          <w:szCs w:val="32"/>
          <w:highlight w:val="none"/>
        </w:rPr>
        <w:t>预算执行进度与绩效指标偏差</w:t>
      </w:r>
    </w:p>
    <w:p>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lang w:val="en-US"/>
        </w:rPr>
      </w:pPr>
      <w:r>
        <w:rPr>
          <w:rFonts w:hint="eastAsia" w:ascii="仿宋" w:hAnsi="仿宋" w:eastAsia="仿宋" w:cs="仿宋"/>
          <w:sz w:val="28"/>
          <w:szCs w:val="28"/>
          <w:lang w:val="en-US" w:eastAsia="zh-CN"/>
        </w:rPr>
        <w:t>新疆地质市场经营项目</w:t>
      </w:r>
      <w:r>
        <w:rPr>
          <w:rFonts w:hint="eastAsia" w:ascii="仿宋" w:hAnsi="仿宋" w:eastAsia="仿宋" w:cs="仿宋"/>
          <w:sz w:val="28"/>
          <w:szCs w:val="28"/>
          <w:lang w:val="en-US" w:eastAsia="zh-Hans"/>
        </w:rPr>
        <w:t>预算</w:t>
      </w:r>
      <w:r>
        <w:rPr>
          <w:rFonts w:hint="eastAsia" w:ascii="仿宋" w:hAnsi="仿宋" w:eastAsia="仿宋" w:cs="仿宋"/>
          <w:sz w:val="28"/>
          <w:szCs w:val="28"/>
          <w:lang w:val="en-US" w:eastAsia="zh-CN"/>
        </w:rPr>
        <w:t>750万元</w:t>
      </w:r>
      <w:r>
        <w:rPr>
          <w:rFonts w:hint="eastAsia" w:ascii="仿宋" w:hAnsi="仿宋" w:eastAsia="仿宋" w:cs="仿宋"/>
          <w:sz w:val="28"/>
          <w:szCs w:val="28"/>
          <w:lang w:val="en-US" w:eastAsia="zh-Hans"/>
        </w:rPr>
        <w:t>，到位</w:t>
      </w:r>
      <w:r>
        <w:rPr>
          <w:rFonts w:hint="eastAsia" w:ascii="仿宋" w:hAnsi="仿宋" w:eastAsia="仿宋" w:cs="仿宋"/>
          <w:sz w:val="28"/>
          <w:szCs w:val="28"/>
          <w:lang w:val="en-US" w:eastAsia="zh-CN"/>
        </w:rPr>
        <w:t>940万元</w:t>
      </w:r>
      <w:r>
        <w:rPr>
          <w:rFonts w:hint="eastAsia" w:ascii="仿宋" w:hAnsi="仿宋" w:eastAsia="仿宋" w:cs="仿宋"/>
          <w:sz w:val="28"/>
          <w:szCs w:val="28"/>
          <w:lang w:val="en-US" w:eastAsia="zh-Hans"/>
        </w:rPr>
        <w:t>，实际支出</w:t>
      </w:r>
      <w:r>
        <w:rPr>
          <w:rFonts w:hint="eastAsia" w:ascii="仿宋" w:hAnsi="仿宋" w:eastAsia="仿宋" w:cs="仿宋"/>
          <w:sz w:val="28"/>
          <w:szCs w:val="28"/>
          <w:lang w:val="en-US" w:eastAsia="zh-CN"/>
        </w:rPr>
        <w:t>940万元</w:t>
      </w:r>
      <w:r>
        <w:rPr>
          <w:rFonts w:hint="eastAsia" w:ascii="仿宋" w:hAnsi="仿宋" w:eastAsia="仿宋" w:cs="仿宋"/>
          <w:sz w:val="28"/>
          <w:szCs w:val="28"/>
          <w:lang w:val="en-US" w:eastAsia="zh-Hans"/>
        </w:rPr>
        <w:t>，预算执行率为</w:t>
      </w:r>
      <w:r>
        <w:rPr>
          <w:rFonts w:hint="eastAsia" w:ascii="仿宋" w:hAnsi="仿宋" w:eastAsia="仿宋" w:cs="仿宋"/>
          <w:sz w:val="28"/>
          <w:szCs w:val="28"/>
          <w:lang w:val="en-US" w:eastAsia="zh-CN"/>
        </w:rPr>
        <w:t>125.33</w:t>
      </w:r>
      <w:r>
        <w:rPr>
          <w:rFonts w:hint="eastAsia" w:ascii="仿宋" w:hAnsi="仿宋" w:eastAsia="仿宋" w:cs="仿宋"/>
          <w:sz w:val="28"/>
          <w:szCs w:val="28"/>
          <w:lang w:val="en-US" w:eastAsia="zh-Hans"/>
        </w:rPr>
        <w:t>%，项目绩效指标总体完成率为100%，偏差率为</w:t>
      </w:r>
      <w:r>
        <w:rPr>
          <w:rFonts w:hint="eastAsia" w:ascii="仿宋" w:hAnsi="仿宋" w:eastAsia="仿宋" w:cs="仿宋"/>
          <w:sz w:val="28"/>
          <w:szCs w:val="28"/>
          <w:lang w:val="en-US" w:eastAsia="zh-CN"/>
        </w:rPr>
        <w:t>25.33</w:t>
      </w:r>
      <w:r>
        <w:rPr>
          <w:rFonts w:hint="eastAsia" w:ascii="仿宋" w:hAnsi="仿宋" w:eastAsia="仿宋" w:cs="仿宋"/>
          <w:sz w:val="28"/>
          <w:szCs w:val="28"/>
          <w:lang w:val="en-US" w:eastAsia="zh-Hans"/>
        </w:rPr>
        <w:t>%，</w:t>
      </w:r>
      <w:r>
        <w:rPr>
          <w:rFonts w:hint="eastAsia" w:ascii="仿宋" w:hAnsi="仿宋" w:eastAsia="仿宋" w:cs="仿宋"/>
          <w:sz w:val="28"/>
          <w:szCs w:val="28"/>
          <w:lang w:val="en-US" w:eastAsia="zh-CN"/>
        </w:rPr>
        <w:t>偏差原因我院与各油田公司以签订1-2年度框架合同为主，实施过程中具体项目按工作量进行结算。因年度框架合同金额均以估算为准，且一般签订2个年度，金额较大，后期项目实施数量具有不确定性，具体结算以安排实施的项目为准，收入出现偏差，导致支出出现相应的偏差。采取的措施加强对市场变化的把控性及预算编制的精准性</w:t>
      </w:r>
      <w:r>
        <w:rPr>
          <w:rFonts w:hint="eastAsia" w:ascii="仿宋" w:hAnsi="仿宋" w:eastAsia="仿宋" w:cs="仿宋"/>
          <w:sz w:val="28"/>
          <w:szCs w:val="28"/>
          <w:lang w:val="en-US" w:eastAsia="zh-Hans"/>
        </w:rPr>
        <w:t>。</w:t>
      </w:r>
      <w:r>
        <w:rPr>
          <w:rFonts w:hint="eastAsia" w:ascii="仿宋" w:hAnsi="仿宋" w:eastAsia="仿宋" w:cs="仿宋"/>
          <w:sz w:val="28"/>
          <w:szCs w:val="28"/>
          <w:lang w:val="en-US" w:eastAsia="zh-CN"/>
        </w:rPr>
        <w:t>在项目实施过程中，加强对项目的监管，严格把控项目执行进度，尽可能使项目执行进度与预算执行进度相匹配，但由于经营市场具有不稳定性，使得预算执行进度与绩效指标存在一定的偏差。</w:t>
      </w:r>
    </w:p>
    <w:p>
      <w:pPr>
        <w:ind w:firstLine="640" w:firstLineChars="200"/>
        <w:rPr>
          <w:rFonts w:hint="eastAsia" w:ascii="方正黑体_GBK" w:hAnsi="方正黑体_GBK" w:eastAsia="方正黑体_GBK" w:cs="方正黑体_GBK"/>
          <w:b/>
          <w:bCs/>
          <w:sz w:val="32"/>
          <w:szCs w:val="32"/>
          <w:highlight w:val="none"/>
        </w:rPr>
      </w:pPr>
      <w:r>
        <w:rPr>
          <w:rFonts w:hint="eastAsia" w:ascii="方正黑体_GBK" w:hAnsi="方正黑体_GBK" w:eastAsia="方正黑体_GBK" w:cs="方正黑体_GBK"/>
          <w:b/>
          <w:bCs/>
          <w:sz w:val="32"/>
          <w:szCs w:val="32"/>
          <w:highlight w:val="none"/>
        </w:rPr>
        <w:t>六、主要经验及做法、存在的问题及原因分析</w:t>
      </w:r>
    </w:p>
    <w:p>
      <w:pPr>
        <w:keepNext w:val="0"/>
        <w:keepLines w:val="0"/>
        <w:pageBreakBefore w:val="0"/>
        <w:kinsoku/>
        <w:wordWrap/>
        <w:overflowPunct/>
        <w:topLinePunct w:val="0"/>
        <w:autoSpaceDE/>
        <w:autoSpaceDN/>
        <w:bidi w:val="0"/>
        <w:adjustRightInd/>
        <w:snapToGrid/>
        <w:spacing w:line="480" w:lineRule="exact"/>
        <w:ind w:left="0" w:leftChars="0" w:firstLine="546" w:firstLineChars="200"/>
        <w:textAlignment w:val="auto"/>
        <w:rPr>
          <w:rStyle w:val="21"/>
          <w:rFonts w:hint="eastAsia" w:ascii="仿宋" w:hAnsi="仿宋" w:eastAsia="仿宋" w:cs="仿宋"/>
          <w:b/>
          <w:bCs w:val="0"/>
          <w:spacing w:val="-4"/>
          <w:sz w:val="28"/>
          <w:szCs w:val="28"/>
        </w:rPr>
      </w:pPr>
      <w:r>
        <w:rPr>
          <w:rStyle w:val="21"/>
          <w:rFonts w:hint="eastAsia" w:ascii="仿宋" w:hAnsi="仿宋" w:eastAsia="仿宋" w:cs="仿宋"/>
          <w:b/>
          <w:bCs w:val="0"/>
          <w:spacing w:val="-4"/>
          <w:sz w:val="28"/>
          <w:szCs w:val="28"/>
        </w:rPr>
        <w:t>（一）主要经验及做法</w:t>
      </w:r>
    </w:p>
    <w:p>
      <w:pPr>
        <w:keepNext w:val="0"/>
        <w:keepLines w:val="0"/>
        <w:pageBreakBefore w:val="0"/>
        <w:kinsoku/>
        <w:wordWrap/>
        <w:overflowPunct/>
        <w:topLinePunct w:val="0"/>
        <w:autoSpaceDE/>
        <w:autoSpaceDN/>
        <w:bidi w:val="0"/>
        <w:adjustRightInd/>
        <w:snapToGrid/>
        <w:spacing w:line="480" w:lineRule="exact"/>
        <w:ind w:left="0" w:leftChars="0" w:firstLine="544" w:firstLineChars="200"/>
        <w:textAlignment w:val="auto"/>
        <w:rPr>
          <w:rFonts w:hint="eastAsia" w:ascii="仿宋" w:hAnsi="仿宋" w:eastAsia="仿宋" w:cs="仿宋"/>
          <w:sz w:val="28"/>
          <w:szCs w:val="28"/>
        </w:rPr>
      </w:pPr>
      <w:r>
        <w:rPr>
          <w:rStyle w:val="21"/>
          <w:rFonts w:hint="eastAsia" w:ascii="仿宋" w:hAnsi="仿宋" w:eastAsia="仿宋" w:cs="仿宋"/>
          <w:b w:val="0"/>
          <w:bCs/>
          <w:spacing w:val="-4"/>
          <w:sz w:val="28"/>
          <w:szCs w:val="28"/>
          <w:lang w:val="en-US" w:eastAsia="zh-CN"/>
        </w:rPr>
        <w:t>一是细化分工，夯实责任。市场项目</w:t>
      </w:r>
      <w:r>
        <w:rPr>
          <w:rFonts w:hint="eastAsia" w:ascii="仿宋" w:hAnsi="仿宋" w:eastAsia="仿宋" w:cs="仿宋"/>
          <w:b w:val="0"/>
          <w:bCs/>
          <w:sz w:val="28"/>
          <w:szCs w:val="28"/>
          <w:lang w:val="en-US" w:eastAsia="zh-CN"/>
        </w:rPr>
        <w:t>主要由三部分组成，每一部分都有专人负责推进落实，切实做到</w:t>
      </w:r>
      <w:r>
        <w:rPr>
          <w:rFonts w:hint="eastAsia" w:ascii="仿宋" w:hAnsi="仿宋" w:eastAsia="仿宋" w:cs="仿宋"/>
          <w:sz w:val="28"/>
          <w:szCs w:val="28"/>
          <w:lang w:val="en-US" w:eastAsia="zh-CN"/>
        </w:rPr>
        <w:t>项目有人顶盯、项目有人管、项目有人负责。二是加强合作，齐抓共管。项目推进不是一人一部门的事，需要统筹协调，共同谋划时，全院所有科室会共同参与，加强沟通协作，切实保障项目的顺利实施。三是凝心聚力，提质增效。所有科室密切配合，不但加快项目实施进度，所有人员集思广益，建言献策，也在项目推进过程中保障了项目质量。同时，</w:t>
      </w:r>
      <w:r>
        <w:rPr>
          <w:rFonts w:hint="eastAsia" w:ascii="仿宋" w:hAnsi="仿宋" w:eastAsia="仿宋" w:cs="仿宋"/>
          <w:sz w:val="28"/>
          <w:szCs w:val="28"/>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18"/>
        <w:keepNext w:val="0"/>
        <w:keepLines w:val="0"/>
        <w:pageBreakBefore w:val="0"/>
        <w:kinsoku/>
        <w:wordWrap/>
        <w:overflowPunct/>
        <w:topLinePunct w:val="0"/>
        <w:autoSpaceDE/>
        <w:autoSpaceDN/>
        <w:bidi w:val="0"/>
        <w:adjustRightInd/>
        <w:snapToGrid/>
        <w:spacing w:before="0" w:after="0" w:line="480" w:lineRule="exact"/>
        <w:ind w:left="0" w:leftChars="0" w:firstLine="560" w:firstLineChars="200"/>
        <w:jc w:val="both"/>
        <w:textAlignment w:val="auto"/>
        <w:rPr>
          <w:rFonts w:hint="eastAsia" w:ascii="仿宋" w:hAnsi="仿宋" w:eastAsia="仿宋" w:cs="仿宋"/>
          <w:sz w:val="28"/>
          <w:szCs w:val="28"/>
          <w:lang w:val="en-US" w:eastAsia="zh-CN"/>
        </w:rPr>
      </w:pPr>
      <w:r>
        <w:rPr>
          <w:rFonts w:hint="eastAsia" w:ascii="仿宋" w:hAnsi="仿宋" w:eastAsia="仿宋" w:cs="仿宋"/>
          <w:b w:val="0"/>
          <w:bCs w:val="0"/>
          <w:kern w:val="2"/>
          <w:sz w:val="28"/>
          <w:szCs w:val="28"/>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val="0"/>
        <w:keepLines w:val="0"/>
        <w:pageBreakBefore w:val="0"/>
        <w:kinsoku/>
        <w:wordWrap/>
        <w:overflowPunct/>
        <w:topLinePunct w:val="0"/>
        <w:autoSpaceDE/>
        <w:autoSpaceDN/>
        <w:bidi w:val="0"/>
        <w:adjustRightInd/>
        <w:snapToGrid/>
        <w:spacing w:line="480" w:lineRule="exact"/>
        <w:ind w:left="0" w:leftChars="0" w:firstLine="546" w:firstLineChars="200"/>
        <w:textAlignment w:val="auto"/>
        <w:rPr>
          <w:rStyle w:val="21"/>
          <w:rFonts w:hint="eastAsia" w:ascii="仿宋" w:hAnsi="仿宋" w:eastAsia="仿宋" w:cs="仿宋"/>
          <w:b/>
          <w:bCs w:val="0"/>
          <w:spacing w:val="-4"/>
          <w:sz w:val="28"/>
          <w:szCs w:val="28"/>
        </w:rPr>
      </w:pPr>
      <w:r>
        <w:rPr>
          <w:rStyle w:val="21"/>
          <w:rFonts w:hint="eastAsia" w:ascii="仿宋" w:hAnsi="仿宋" w:eastAsia="仿宋" w:cs="仿宋"/>
          <w:b/>
          <w:bCs w:val="0"/>
          <w:spacing w:val="-4"/>
          <w:sz w:val="28"/>
          <w:szCs w:val="28"/>
          <w:lang w:eastAsia="zh-CN"/>
        </w:rPr>
        <w:t>（</w:t>
      </w:r>
      <w:r>
        <w:rPr>
          <w:rStyle w:val="21"/>
          <w:rFonts w:hint="eastAsia" w:ascii="仿宋" w:hAnsi="仿宋" w:eastAsia="仿宋" w:cs="仿宋"/>
          <w:b/>
          <w:bCs w:val="0"/>
          <w:spacing w:val="-4"/>
          <w:sz w:val="28"/>
          <w:szCs w:val="28"/>
          <w:lang w:val="en-US" w:eastAsia="zh-CN"/>
        </w:rPr>
        <w:t>二</w:t>
      </w:r>
      <w:r>
        <w:rPr>
          <w:rStyle w:val="21"/>
          <w:rFonts w:hint="eastAsia" w:ascii="仿宋" w:hAnsi="仿宋" w:eastAsia="仿宋" w:cs="仿宋"/>
          <w:b/>
          <w:bCs w:val="0"/>
          <w:spacing w:val="-4"/>
          <w:sz w:val="28"/>
          <w:szCs w:val="28"/>
          <w:lang w:eastAsia="zh-CN"/>
        </w:rPr>
        <w:t>）</w:t>
      </w:r>
      <w:r>
        <w:rPr>
          <w:rStyle w:val="21"/>
          <w:rFonts w:hint="eastAsia" w:ascii="仿宋" w:hAnsi="仿宋" w:eastAsia="仿宋" w:cs="仿宋"/>
          <w:b/>
          <w:bCs w:val="0"/>
          <w:spacing w:val="-4"/>
          <w:sz w:val="28"/>
          <w:szCs w:val="28"/>
        </w:rPr>
        <w:t>存在问题及原因分析</w:t>
      </w:r>
    </w:p>
    <w:p>
      <w:pPr>
        <w:keepNext w:val="0"/>
        <w:keepLines w:val="0"/>
        <w:pageBreakBefore w:val="0"/>
        <w:numPr>
          <w:ilvl w:val="0"/>
          <w:numId w:val="0"/>
        </w:numPr>
        <w:kinsoku/>
        <w:wordWrap/>
        <w:overflowPunct/>
        <w:topLinePunct w:val="0"/>
        <w:autoSpaceDE/>
        <w:autoSpaceDN/>
        <w:bidi w:val="0"/>
        <w:adjustRightInd/>
        <w:snapToGrid/>
        <w:spacing w:line="480" w:lineRule="exact"/>
        <w:ind w:left="0" w:leftChars="0" w:firstLine="594" w:firstLineChars="200"/>
        <w:jc w:val="left"/>
        <w:textAlignment w:val="auto"/>
        <w:rPr>
          <w:rFonts w:hint="eastAsia" w:ascii="仿宋" w:hAnsi="仿宋" w:eastAsia="仿宋" w:cs="仿宋"/>
          <w:b/>
          <w:bCs/>
          <w:color w:val="333333"/>
          <w:spacing w:val="8"/>
          <w:sz w:val="28"/>
          <w:szCs w:val="28"/>
          <w:shd w:val="clear" w:color="auto" w:fill="FFFFFF"/>
          <w:lang w:val="en-US" w:eastAsia="zh-CN"/>
        </w:rPr>
      </w:pPr>
      <w:r>
        <w:rPr>
          <w:rFonts w:hint="eastAsia" w:ascii="仿宋" w:hAnsi="仿宋" w:eastAsia="仿宋" w:cs="仿宋"/>
          <w:b/>
          <w:bCs/>
          <w:color w:val="333333"/>
          <w:spacing w:val="8"/>
          <w:sz w:val="28"/>
          <w:szCs w:val="28"/>
          <w:shd w:val="clear" w:color="auto" w:fill="FFFFFF"/>
          <w:lang w:val="en-US" w:eastAsia="zh-CN"/>
        </w:rPr>
        <w:t>1.存在问题</w:t>
      </w:r>
    </w:p>
    <w:p>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1</w:t>
      </w:r>
      <w:r>
        <w:rPr>
          <w:rFonts w:hint="eastAsia" w:ascii="仿宋" w:hAnsi="仿宋" w:eastAsia="仿宋" w:cs="仿宋"/>
          <w:sz w:val="28"/>
          <w:szCs w:val="28"/>
          <w:lang w:eastAsia="zh-CN"/>
        </w:rPr>
        <w:t>）</w:t>
      </w:r>
      <w:r>
        <w:rPr>
          <w:rFonts w:hint="eastAsia" w:ascii="仿宋" w:hAnsi="仿宋" w:eastAsia="仿宋" w:cs="仿宋"/>
          <w:sz w:val="28"/>
          <w:szCs w:val="28"/>
        </w:rPr>
        <w:t>绩效监控的观念不够深入人心。长期以来形成的以投入为导向的管理模式让人们仍将预算的编制和分配情况作为重点，对支出过程及结果关注不够，对于资金使用与项目执行进度的关系没有正确的认识，认为资金在使用过程中只要能够合法合规，按计划完成任务就行，至于如何让资金使用效益最大化缺乏思考。</w:t>
      </w:r>
    </w:p>
    <w:p>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绩效目标设立不合理。目前，各科室对项目绩效目标设立不明确，资金分配和使用责任落实不到位;预算执行中也缺乏相应的绩效运行跟踪监控措施，仅限于日常监控及执行进度监控;事后的绩效评价，一般也仅局限于财政支出绩效评价，没有从项目设计的合理性等进行分析。</w:t>
      </w:r>
    </w:p>
    <w:p>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评价指标设计相对单一。实际工作中，业务科室绩效指标设置较为粗放，指标权重的确定、定性指标的衡量等缺乏科学的方法。由于对绩效监控工作的认识不足，造成业务科室在设定项目绩效评价指标很难反映真实的绩效情况，势必就造成了这些指标“形同虚设”，在绩效监控过程中，对绩效指标的衡量与评价就出现了偏差。</w:t>
      </w:r>
    </w:p>
    <w:p>
      <w:pPr>
        <w:keepNext w:val="0"/>
        <w:keepLines w:val="0"/>
        <w:pageBreakBefore w:val="0"/>
        <w:numPr>
          <w:ilvl w:val="0"/>
          <w:numId w:val="0"/>
        </w:numPr>
        <w:kinsoku/>
        <w:wordWrap/>
        <w:overflowPunct/>
        <w:topLinePunct w:val="0"/>
        <w:autoSpaceDE/>
        <w:autoSpaceDN/>
        <w:bidi w:val="0"/>
        <w:adjustRightInd/>
        <w:snapToGrid/>
        <w:spacing w:line="480" w:lineRule="exact"/>
        <w:ind w:left="0" w:leftChars="0" w:firstLine="592" w:firstLineChars="200"/>
        <w:jc w:val="left"/>
        <w:textAlignment w:val="auto"/>
        <w:rPr>
          <w:rFonts w:hint="eastAsia" w:ascii="仿宋" w:hAnsi="仿宋" w:eastAsia="仿宋" w:cs="仿宋"/>
          <w:color w:val="333333"/>
          <w:spacing w:val="8"/>
          <w:sz w:val="28"/>
          <w:szCs w:val="28"/>
          <w:shd w:val="clear" w:color="auto" w:fill="FFFFFF"/>
        </w:rPr>
      </w:pPr>
      <w:r>
        <w:rPr>
          <w:rFonts w:hint="eastAsia" w:ascii="仿宋" w:hAnsi="仿宋" w:eastAsia="仿宋" w:cs="仿宋"/>
          <w:color w:val="333333"/>
          <w:spacing w:val="8"/>
          <w:sz w:val="28"/>
          <w:szCs w:val="28"/>
          <w:shd w:val="clear" w:color="auto" w:fill="FFFFFF"/>
          <w:lang w:val="en-US" w:eastAsia="zh-CN"/>
        </w:rPr>
        <w:t>2.</w:t>
      </w:r>
      <w:r>
        <w:rPr>
          <w:rFonts w:hint="eastAsia" w:ascii="仿宋" w:hAnsi="仿宋" w:eastAsia="仿宋" w:cs="仿宋"/>
          <w:b/>
          <w:bCs/>
          <w:color w:val="333333"/>
          <w:spacing w:val="8"/>
          <w:sz w:val="28"/>
          <w:szCs w:val="28"/>
          <w:shd w:val="clear" w:color="auto" w:fill="FFFFFF"/>
        </w:rPr>
        <w:t>问题产生的原因</w:t>
      </w:r>
    </w:p>
    <w:p>
      <w:pPr>
        <w:keepNext w:val="0"/>
        <w:keepLines w:val="0"/>
        <w:pageBreakBefore w:val="0"/>
        <w:kinsoku/>
        <w:wordWrap/>
        <w:overflowPunct/>
        <w:topLinePunct w:val="0"/>
        <w:autoSpaceDE/>
        <w:autoSpaceDN/>
        <w:bidi w:val="0"/>
        <w:adjustRightInd/>
        <w:snapToGrid/>
        <w:spacing w:line="480" w:lineRule="exact"/>
        <w:ind w:left="0" w:leftChars="0" w:firstLine="592" w:firstLineChars="200"/>
        <w:textAlignment w:val="auto"/>
        <w:rPr>
          <w:rFonts w:hint="eastAsia" w:ascii="仿宋" w:hAnsi="仿宋" w:eastAsia="仿宋" w:cs="仿宋"/>
          <w:sz w:val="28"/>
          <w:szCs w:val="28"/>
        </w:rPr>
      </w:pPr>
      <w:r>
        <w:rPr>
          <w:rFonts w:hint="eastAsia" w:ascii="仿宋" w:hAnsi="仿宋" w:eastAsia="仿宋" w:cs="仿宋"/>
          <w:color w:val="333333"/>
          <w:spacing w:val="8"/>
          <w:sz w:val="28"/>
          <w:szCs w:val="28"/>
          <w:shd w:val="clear" w:color="auto" w:fill="FFFFFF"/>
          <w:lang w:eastAsia="zh-CN"/>
        </w:rPr>
        <w:t>（</w:t>
      </w:r>
      <w:r>
        <w:rPr>
          <w:rFonts w:hint="eastAsia" w:ascii="仿宋" w:hAnsi="仿宋" w:eastAsia="仿宋" w:cs="仿宋"/>
          <w:sz w:val="28"/>
          <w:szCs w:val="28"/>
          <w:lang w:val="en-US" w:eastAsia="zh-CN"/>
        </w:rPr>
        <w:t>1</w:t>
      </w:r>
      <w:r>
        <w:rPr>
          <w:rFonts w:hint="eastAsia" w:ascii="仿宋" w:hAnsi="仿宋" w:eastAsia="仿宋" w:cs="仿宋"/>
          <w:sz w:val="28"/>
          <w:szCs w:val="28"/>
          <w:lang w:eastAsia="zh-CN"/>
        </w:rPr>
        <w:t>）</w:t>
      </w:r>
      <w:r>
        <w:rPr>
          <w:rFonts w:hint="eastAsia" w:ascii="仿宋" w:hAnsi="仿宋" w:eastAsia="仿宋" w:cs="仿宋"/>
          <w:sz w:val="28"/>
          <w:szCs w:val="28"/>
        </w:rPr>
        <w:t>缺少专业的绩效监控管理人员，造成技术上的缺陷。绩效监控工作涉及项目业务、财务、效益等方面知识，能全面掌握这些知识的人员较少，特别是能对效益方面进行较好评价的人才更加缺乏，无论是精力上还是素质方面，这些人员都无法很好地承担预算绩效管理这项综合性的工作。</w:t>
      </w:r>
    </w:p>
    <w:p>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2</w:t>
      </w:r>
      <w:r>
        <w:rPr>
          <w:rFonts w:hint="eastAsia" w:ascii="仿宋" w:hAnsi="仿宋" w:eastAsia="仿宋" w:cs="仿宋"/>
          <w:sz w:val="28"/>
          <w:szCs w:val="28"/>
          <w:lang w:eastAsia="zh-CN"/>
        </w:rPr>
        <w:t>）</w:t>
      </w:r>
      <w:r>
        <w:rPr>
          <w:rFonts w:hint="eastAsia" w:ascii="仿宋" w:hAnsi="仿宋" w:eastAsia="仿宋" w:cs="仿宋"/>
          <w:sz w:val="28"/>
          <w:szCs w:val="28"/>
        </w:rPr>
        <w:t>绩效监控管理制度体系不够完善。一是指标体系和评价方法不够完善。一方面是缺乏统一、科学、合理的预算绩效管理指标体系，导致致各业务科室绩效评价指标单一，设置粗放。二是绩效评价结果未充分应用，阻碍因素较多。一方面项目从投入到产出，再到效益发挥，需要一个较长的过程。而现实工作中，往往项目完成后就开始进行绩效评价，项目效益远未充分体现，甚至于根本就没有体现出来，就开始评价，只得降低评价的指标要求。另一方面如果在项目效益充分发挥后再进行评价，有可能时间跨度过长，对一些连续性的项目，也无法运用评价结果，及时调整预算。三是评价结果的预算绩效监控管理也缺乏激励机制和长效机制。由于没有相关具有法律效力的法规制度约束，造成责任追究机制不到位，评价结果得不到很好的应用，各科室不能应用评价结果进行有效的预算绩效分析和改进。</w:t>
      </w:r>
    </w:p>
    <w:p>
      <w:pPr>
        <w:ind w:firstLine="640" w:firstLineChars="200"/>
        <w:rPr>
          <w:rFonts w:hint="eastAsia" w:ascii="方正黑体_GBK" w:hAnsi="方正黑体_GBK" w:eastAsia="方正黑体_GBK" w:cs="方正黑体_GBK"/>
          <w:b/>
          <w:bCs/>
          <w:sz w:val="32"/>
          <w:szCs w:val="32"/>
          <w:highlight w:val="none"/>
        </w:rPr>
      </w:pPr>
      <w:r>
        <w:rPr>
          <w:rFonts w:hint="eastAsia" w:ascii="方正黑体_GBK" w:hAnsi="方正黑体_GBK" w:eastAsia="方正黑体_GBK" w:cs="方正黑体_GBK"/>
          <w:b/>
          <w:bCs/>
          <w:sz w:val="32"/>
          <w:szCs w:val="32"/>
          <w:highlight w:val="none"/>
        </w:rPr>
        <w:t>七、有关建议</w:t>
      </w:r>
    </w:p>
    <w:p>
      <w:pPr>
        <w:ind w:firstLine="560" w:firstLineChars="200"/>
        <w:rPr>
          <w:rFonts w:hint="eastAsia" w:ascii="仿宋" w:hAnsi="仿宋" w:eastAsia="仿宋" w:cs="仿宋"/>
          <w:sz w:val="28"/>
          <w:szCs w:val="28"/>
        </w:rPr>
      </w:pPr>
      <w:r>
        <w:rPr>
          <w:rFonts w:hint="eastAsia" w:ascii="仿宋" w:hAnsi="仿宋" w:eastAsia="仿宋" w:cs="仿宋"/>
          <w:b w:val="0"/>
          <w:bCs w:val="0"/>
          <w:sz w:val="28"/>
          <w:szCs w:val="28"/>
          <w:highlight w:val="none"/>
        </w:rPr>
        <w:t>进一步加强对绩效管理工作</w:t>
      </w:r>
      <w:r>
        <w:rPr>
          <w:rFonts w:hint="eastAsia" w:ascii="仿宋" w:hAnsi="仿宋" w:eastAsia="仿宋" w:cs="仿宋"/>
          <w:b w:val="0"/>
          <w:bCs w:val="0"/>
          <w:sz w:val="28"/>
          <w:szCs w:val="28"/>
        </w:rPr>
        <w:t>的</w:t>
      </w:r>
      <w:r>
        <w:rPr>
          <w:rFonts w:hint="eastAsia" w:ascii="仿宋" w:hAnsi="仿宋" w:eastAsia="仿宋" w:cs="仿宋"/>
          <w:sz w:val="28"/>
          <w:szCs w:val="28"/>
        </w:rPr>
        <w:t>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w:t>
      </w:r>
      <w:r>
        <w:rPr>
          <w:rFonts w:hint="eastAsia" w:ascii="仿宋" w:hAnsi="仿宋" w:eastAsia="仿宋" w:cs="仿宋"/>
          <w:sz w:val="28"/>
          <w:szCs w:val="28"/>
        </w:rPr>
        <w:t>健全评价指标体系。结合绩效评价对象特点和我院绩效评价工作实际开展的需要，设计更加科学、合理的个性指标，力求更加全面完整、客观真实地反映评价对象实施的绩效情况，并逐步形成涵盖各类支出，突出绩效特色，细化、量化的统一绩效指标。</w:t>
      </w:r>
    </w:p>
    <w:p>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w:t>
      </w:r>
      <w:r>
        <w:rPr>
          <w:rFonts w:hint="eastAsia" w:ascii="仿宋" w:hAnsi="仿宋" w:eastAsia="仿宋" w:cs="仿宋"/>
          <w:sz w:val="28"/>
          <w:szCs w:val="28"/>
        </w:rPr>
        <w:t>提升队伍素质。我们必须不断加强学习，通过各种形式的学习培训，提升自身的业务素质，不仅要自己知道怎么做，还要能够让别人知道怎么做。</w:t>
      </w:r>
    </w:p>
    <w:p>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val="en-US" w:eastAsia="zh-CN"/>
        </w:rPr>
        <w:t>.</w:t>
      </w:r>
      <w:r>
        <w:rPr>
          <w:rFonts w:hint="eastAsia" w:ascii="仿宋" w:hAnsi="仿宋" w:eastAsia="仿宋" w:cs="仿宋"/>
          <w:sz w:val="28"/>
          <w:szCs w:val="28"/>
        </w:rPr>
        <w:t>注重宣传引导，营造推进绩效评价工作的良好氛围。我们将积极采取措施，开展对绩效评价工作重要性的宣传。同时我们还应注意调动各方面的积极性，善于利用各方面的力量，加强沟通联系，多听取意见，做好解释、说明工作，达到相互理解、配合和支持，形成共识，推动绩效评价工作的开展。</w:t>
      </w:r>
    </w:p>
    <w:p>
      <w:pPr>
        <w:ind w:firstLine="640" w:firstLineChars="200"/>
        <w:rPr>
          <w:rFonts w:hint="eastAsia" w:ascii="方正黑体_GBK" w:hAnsi="方正黑体_GBK" w:eastAsia="方正黑体_GBK" w:cs="方正黑体_GBK"/>
          <w:b/>
          <w:bCs/>
          <w:sz w:val="32"/>
          <w:szCs w:val="32"/>
          <w:highlight w:val="none"/>
        </w:rPr>
      </w:pPr>
      <w:r>
        <w:rPr>
          <w:rFonts w:hint="eastAsia" w:ascii="方正黑体_GBK" w:hAnsi="方正黑体_GBK" w:eastAsia="方正黑体_GBK" w:cs="方正黑体_GBK"/>
          <w:b/>
          <w:bCs/>
          <w:sz w:val="32"/>
          <w:szCs w:val="32"/>
          <w:highlight w:val="none"/>
        </w:rPr>
        <w:t>八、其他需要说明的问题</w:t>
      </w:r>
    </w:p>
    <w:p>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eastAsia="zh-CN"/>
        </w:rPr>
        <w:t>我单位对上述项目支出绩效评价报告内反映内容的真实性、完整性负责，接受上级部门及社</w:t>
      </w:r>
      <w:r>
        <w:rPr>
          <w:rFonts w:hint="eastAsia" w:ascii="仿宋" w:hAnsi="仿宋" w:eastAsia="仿宋" w:cs="仿宋"/>
          <w:sz w:val="28"/>
          <w:szCs w:val="28"/>
          <w:highlight w:val="none"/>
          <w:lang w:val="en-US" w:eastAsia="zh-CN"/>
        </w:rPr>
        <w:t>会监督。</w:t>
      </w:r>
    </w:p>
    <w:p>
      <w:pPr>
        <w:pStyle w:val="49"/>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仿宋" w:hAnsi="仿宋" w:eastAsia="仿宋" w:cs="仿宋"/>
          <w:sz w:val="28"/>
          <w:szCs w:val="28"/>
          <w:highlight w:val="none"/>
          <w:lang w:val="en-US" w:eastAsia="zh-CN"/>
        </w:rPr>
      </w:pPr>
    </w:p>
    <w:p>
      <w:pPr>
        <w:pStyle w:val="49"/>
        <w:keepNext w:val="0"/>
        <w:keepLines w:val="0"/>
        <w:pageBreakBefore w:val="0"/>
        <w:widowControl w:val="0"/>
        <w:kinsoku/>
        <w:wordWrap/>
        <w:overflowPunct/>
        <w:topLinePunct w:val="0"/>
        <w:autoSpaceDE/>
        <w:autoSpaceDN/>
        <w:bidi w:val="0"/>
        <w:adjustRightInd/>
        <w:snapToGrid/>
        <w:spacing w:line="560" w:lineRule="exact"/>
        <w:ind w:firstLine="560" w:firstLineChars="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附件1：</w:t>
      </w:r>
      <w:r>
        <w:rPr>
          <w:rFonts w:hint="eastAsia" w:ascii="仿宋" w:hAnsi="仿宋" w:eastAsia="仿宋" w:cs="仿宋"/>
          <w:b w:val="0"/>
          <w:bCs w:val="0"/>
          <w:sz w:val="28"/>
          <w:szCs w:val="28"/>
        </w:rPr>
        <w:t>新疆地质</w:t>
      </w:r>
      <w:r>
        <w:rPr>
          <w:rFonts w:hint="eastAsia" w:ascii="仿宋" w:hAnsi="仿宋" w:eastAsia="仿宋" w:cs="仿宋"/>
          <w:b w:val="0"/>
          <w:bCs w:val="0"/>
          <w:sz w:val="28"/>
          <w:szCs w:val="28"/>
          <w:lang w:val="en-US" w:eastAsia="zh-CN"/>
        </w:rPr>
        <w:t>市场经营</w:t>
      </w:r>
      <w:r>
        <w:rPr>
          <w:rFonts w:hint="eastAsia" w:ascii="仿宋" w:hAnsi="仿宋" w:eastAsia="仿宋" w:cs="仿宋"/>
          <w:sz w:val="28"/>
          <w:szCs w:val="28"/>
          <w:highlight w:val="none"/>
          <w:lang w:val="en-US" w:eastAsia="zh-CN"/>
        </w:rPr>
        <w:t>项目绩效评价指标体系及评分标准</w:t>
      </w:r>
    </w:p>
    <w:p>
      <w:pPr>
        <w:pStyle w:val="49"/>
        <w:keepNext w:val="0"/>
        <w:keepLines w:val="0"/>
        <w:pageBreakBefore w:val="0"/>
        <w:widowControl w:val="0"/>
        <w:kinsoku/>
        <w:wordWrap/>
        <w:overflowPunct/>
        <w:topLinePunct w:val="0"/>
        <w:autoSpaceDE/>
        <w:autoSpaceDN/>
        <w:bidi w:val="0"/>
        <w:adjustRightInd/>
        <w:snapToGrid/>
        <w:spacing w:line="560" w:lineRule="exact"/>
        <w:ind w:firstLine="560" w:firstLineChars="0"/>
        <w:textAlignment w:val="auto"/>
        <w:rPr>
          <w:rFonts w:hint="eastAsia" w:ascii="仿宋" w:hAnsi="仿宋" w:eastAsia="仿宋" w:cs="仿宋"/>
          <w:sz w:val="28"/>
          <w:szCs w:val="28"/>
          <w:highlight w:val="none"/>
          <w:lang w:val="en-US" w:eastAsia="zh-CN"/>
        </w:rPr>
      </w:pPr>
    </w:p>
    <w:tbl>
      <w:tblPr>
        <w:tblStyle w:val="19"/>
        <w:tblW w:w="857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66"/>
        <w:gridCol w:w="750"/>
        <w:gridCol w:w="911"/>
        <w:gridCol w:w="5008"/>
        <w:gridCol w:w="103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4" w:hRule="atLeast"/>
        </w:trPr>
        <w:tc>
          <w:tcPr>
            <w:tcW w:w="8574" w:type="dxa"/>
            <w:gridSpan w:val="5"/>
            <w:shd w:val="clear" w:color="auto" w:fill="BFBFBF"/>
            <w:vAlign w:val="center"/>
          </w:tcPr>
          <w:p>
            <w:pPr>
              <w:rPr>
                <w:b/>
                <w:bCs/>
                <w:color w:val="000000"/>
                <w:kern w:val="0"/>
                <w:sz w:val="22"/>
                <w:szCs w:val="22"/>
              </w:rPr>
            </w:pPr>
            <w:r>
              <w:rPr>
                <w:rFonts w:hint="eastAsia" w:ascii="宋体" w:hAnsi="宋体" w:eastAsia="宋体" w:cs="宋体"/>
                <w:b/>
                <w:bCs/>
                <w:i w:val="0"/>
                <w:iCs w:val="0"/>
                <w:color w:val="000000"/>
                <w:kern w:val="0"/>
                <w:sz w:val="28"/>
                <w:szCs w:val="28"/>
                <w:u w:val="none"/>
                <w:lang w:val="en-US" w:eastAsia="zh-CN" w:bidi="ar"/>
              </w:rPr>
              <w:t>附件1：综合评分表</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574" w:type="dxa"/>
            <w:gridSpan w:val="5"/>
            <w:shd w:val="clear" w:color="auto" w:fill="FFFFFF"/>
            <w:vAlign w:val="center"/>
          </w:tcPr>
          <w:p>
            <w:pPr>
              <w:keepNext w:val="0"/>
              <w:keepLines w:val="0"/>
              <w:widowControl/>
              <w:suppressLineNumbers w:val="0"/>
              <w:jc w:val="center"/>
              <w:textAlignment w:val="center"/>
              <w:rPr>
                <w:color w:val="000000"/>
                <w:kern w:val="0"/>
                <w:sz w:val="22"/>
                <w:szCs w:val="22"/>
                <w:highlight w:val="none"/>
              </w:rPr>
            </w:pPr>
            <w:r>
              <w:rPr>
                <w:rFonts w:hint="eastAsia" w:ascii="宋体" w:hAnsi="宋体" w:eastAsia="宋体" w:cs="宋体"/>
                <w:b/>
                <w:bCs/>
                <w:i w:val="0"/>
                <w:iCs w:val="0"/>
                <w:color w:val="000000"/>
                <w:kern w:val="0"/>
                <w:sz w:val="32"/>
                <w:szCs w:val="32"/>
                <w:u w:val="none"/>
                <w:lang w:val="en-US" w:eastAsia="zh-CN" w:bidi="ar"/>
              </w:rPr>
              <w:t>2023年度新疆地质市场经营项目绩效评价指标体系及评分标准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shd w:val="clear" w:color="auto" w:fill="FFFFFF"/>
            <w:vAlign w:val="center"/>
          </w:tcPr>
          <w:p>
            <w:pPr>
              <w:keepNext w:val="0"/>
              <w:keepLines w:val="0"/>
              <w:widowControl/>
              <w:suppressLineNumbers w:val="0"/>
              <w:jc w:val="center"/>
              <w:textAlignment w:val="center"/>
              <w:rPr>
                <w:color w:val="000000"/>
                <w:kern w:val="0"/>
                <w:sz w:val="22"/>
                <w:szCs w:val="22"/>
              </w:rPr>
            </w:pPr>
            <w:r>
              <w:rPr>
                <w:rFonts w:hint="eastAsia" w:ascii="方正仿宋_GBK" w:hAnsi="方正仿宋_GBK" w:eastAsia="方正仿宋_GBK" w:cs="方正仿宋_GBK"/>
                <w:b/>
                <w:bCs/>
                <w:i w:val="0"/>
                <w:iCs w:val="0"/>
                <w:color w:val="000000"/>
                <w:kern w:val="0"/>
                <w:sz w:val="24"/>
                <w:szCs w:val="24"/>
                <w:u w:val="none"/>
                <w:lang w:val="en-US" w:eastAsia="zh-CN" w:bidi="ar"/>
              </w:rPr>
              <w:t>一级指标</w:t>
            </w:r>
          </w:p>
        </w:tc>
        <w:tc>
          <w:tcPr>
            <w:tcW w:w="750" w:type="dxa"/>
            <w:shd w:val="clear" w:color="auto" w:fill="FFFFFF"/>
            <w:vAlign w:val="center"/>
          </w:tcPr>
          <w:p>
            <w:pPr>
              <w:keepNext w:val="0"/>
              <w:keepLines w:val="0"/>
              <w:widowControl/>
              <w:suppressLineNumbers w:val="0"/>
              <w:jc w:val="center"/>
              <w:textAlignment w:val="center"/>
              <w:rPr>
                <w:color w:val="000000"/>
                <w:kern w:val="0"/>
                <w:sz w:val="22"/>
                <w:szCs w:val="22"/>
              </w:rPr>
            </w:pPr>
            <w:r>
              <w:rPr>
                <w:rFonts w:hint="eastAsia" w:ascii="方正仿宋_GBK" w:hAnsi="方正仿宋_GBK" w:eastAsia="方正仿宋_GBK" w:cs="方正仿宋_GBK"/>
                <w:b/>
                <w:bCs/>
                <w:i w:val="0"/>
                <w:iCs w:val="0"/>
                <w:color w:val="000000"/>
                <w:kern w:val="0"/>
                <w:sz w:val="24"/>
                <w:szCs w:val="24"/>
                <w:u w:val="none"/>
                <w:lang w:val="en-US" w:eastAsia="zh-CN" w:bidi="ar"/>
              </w:rPr>
              <w:t>二级指标</w:t>
            </w:r>
          </w:p>
        </w:tc>
        <w:tc>
          <w:tcPr>
            <w:tcW w:w="911" w:type="dxa"/>
            <w:shd w:val="clear" w:color="auto" w:fill="FFFFFF"/>
            <w:vAlign w:val="center"/>
          </w:tcPr>
          <w:p>
            <w:pPr>
              <w:keepNext w:val="0"/>
              <w:keepLines w:val="0"/>
              <w:widowControl/>
              <w:suppressLineNumbers w:val="0"/>
              <w:jc w:val="center"/>
              <w:textAlignment w:val="center"/>
              <w:rPr>
                <w:color w:val="000000"/>
                <w:kern w:val="0"/>
                <w:sz w:val="22"/>
                <w:szCs w:val="22"/>
              </w:rPr>
            </w:pPr>
            <w:r>
              <w:rPr>
                <w:rFonts w:hint="eastAsia" w:ascii="方正仿宋_GBK" w:hAnsi="方正仿宋_GBK" w:eastAsia="方正仿宋_GBK" w:cs="方正仿宋_GBK"/>
                <w:b/>
                <w:bCs/>
                <w:i w:val="0"/>
                <w:iCs w:val="0"/>
                <w:color w:val="000000"/>
                <w:kern w:val="0"/>
                <w:sz w:val="24"/>
                <w:szCs w:val="24"/>
                <w:u w:val="none"/>
                <w:lang w:val="en-US" w:eastAsia="zh-CN" w:bidi="ar"/>
              </w:rPr>
              <w:t>三级指标</w:t>
            </w:r>
          </w:p>
        </w:tc>
        <w:tc>
          <w:tcPr>
            <w:tcW w:w="5008" w:type="dxa"/>
            <w:shd w:val="clear" w:color="auto" w:fill="FFFFFF"/>
            <w:vAlign w:val="center"/>
          </w:tcPr>
          <w:p>
            <w:pPr>
              <w:keepNext w:val="0"/>
              <w:keepLines w:val="0"/>
              <w:widowControl/>
              <w:suppressLineNumbers w:val="0"/>
              <w:jc w:val="center"/>
              <w:textAlignment w:val="center"/>
              <w:rPr>
                <w:color w:val="000000"/>
                <w:kern w:val="0"/>
                <w:sz w:val="22"/>
                <w:szCs w:val="22"/>
                <w:highlight w:val="none"/>
              </w:rPr>
            </w:pPr>
            <w:r>
              <w:rPr>
                <w:rFonts w:hint="eastAsia" w:ascii="方正仿宋_GBK" w:hAnsi="方正仿宋_GBK" w:eastAsia="方正仿宋_GBK" w:cs="方正仿宋_GBK"/>
                <w:b/>
                <w:bCs/>
                <w:i w:val="0"/>
                <w:iCs w:val="0"/>
                <w:color w:val="000000"/>
                <w:kern w:val="0"/>
                <w:sz w:val="24"/>
                <w:szCs w:val="24"/>
                <w:u w:val="none"/>
                <w:lang w:val="en-US" w:eastAsia="zh-CN" w:bidi="ar"/>
              </w:rPr>
              <w:t>评价标准</w:t>
            </w:r>
          </w:p>
        </w:tc>
        <w:tc>
          <w:tcPr>
            <w:tcW w:w="1039" w:type="dxa"/>
            <w:shd w:val="clear" w:color="auto" w:fill="FFFFFF"/>
            <w:vAlign w:val="center"/>
          </w:tcPr>
          <w:p>
            <w:pPr>
              <w:keepNext w:val="0"/>
              <w:keepLines w:val="0"/>
              <w:widowControl/>
              <w:suppressLineNumbers w:val="0"/>
              <w:jc w:val="center"/>
              <w:textAlignment w:val="center"/>
              <w:rPr>
                <w:color w:val="000000"/>
                <w:kern w:val="0"/>
                <w:sz w:val="22"/>
                <w:szCs w:val="22"/>
                <w:highlight w:val="none"/>
              </w:rPr>
            </w:pPr>
            <w:r>
              <w:rPr>
                <w:rFonts w:hint="eastAsia" w:ascii="方正仿宋_GBK" w:hAnsi="方正仿宋_GBK" w:eastAsia="方正仿宋_GBK" w:cs="方正仿宋_GBK"/>
                <w:b/>
                <w:bCs/>
                <w:i w:val="0"/>
                <w:iCs w:val="0"/>
                <w:color w:val="000000"/>
                <w:kern w:val="0"/>
                <w:sz w:val="24"/>
                <w:szCs w:val="24"/>
                <w:u w:val="none"/>
                <w:lang w:val="en-US" w:eastAsia="zh-CN" w:bidi="ar"/>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restart"/>
            <w:shd w:val="clear" w:color="auto" w:fill="FFFFFF"/>
            <w:vAlign w:val="center"/>
          </w:tcPr>
          <w:p>
            <w:pPr>
              <w:keepNext w:val="0"/>
              <w:keepLines w:val="0"/>
              <w:widowControl/>
              <w:suppressLineNumbers w:val="0"/>
              <w:jc w:val="center"/>
              <w:textAlignment w:val="center"/>
              <w:rPr>
                <w:color w:val="000000"/>
                <w:kern w:val="0"/>
                <w:sz w:val="22"/>
                <w:szCs w:val="22"/>
              </w:rPr>
            </w:pPr>
            <w:r>
              <w:rPr>
                <w:rFonts w:hint="eastAsia" w:ascii="方正仿宋_GBK" w:hAnsi="方正仿宋_GBK" w:eastAsia="方正仿宋_GBK" w:cs="方正仿宋_GBK"/>
                <w:i w:val="0"/>
                <w:iCs w:val="0"/>
                <w:color w:val="000000"/>
                <w:kern w:val="0"/>
                <w:sz w:val="24"/>
                <w:szCs w:val="24"/>
                <w:u w:val="none"/>
                <w:lang w:val="en-US" w:eastAsia="zh-CN" w:bidi="ar"/>
              </w:rPr>
              <w:t>决策（20分）</w:t>
            </w:r>
          </w:p>
        </w:tc>
        <w:tc>
          <w:tcPr>
            <w:tcW w:w="750" w:type="dxa"/>
            <w:vMerge w:val="restart"/>
            <w:shd w:val="clear" w:color="auto" w:fill="FFFFFF"/>
            <w:vAlign w:val="center"/>
          </w:tcPr>
          <w:p>
            <w:pPr>
              <w:keepNext w:val="0"/>
              <w:keepLines w:val="0"/>
              <w:widowControl/>
              <w:suppressLineNumbers w:val="0"/>
              <w:jc w:val="center"/>
              <w:textAlignment w:val="center"/>
              <w:rPr>
                <w:color w:val="000000"/>
                <w:kern w:val="0"/>
                <w:sz w:val="22"/>
                <w:szCs w:val="22"/>
              </w:rPr>
            </w:pPr>
            <w:r>
              <w:rPr>
                <w:rFonts w:hint="eastAsia" w:ascii="方正仿宋_GBK" w:hAnsi="方正仿宋_GBK" w:eastAsia="方正仿宋_GBK" w:cs="方正仿宋_GBK"/>
                <w:i w:val="0"/>
                <w:iCs w:val="0"/>
                <w:color w:val="000000"/>
                <w:kern w:val="0"/>
                <w:sz w:val="24"/>
                <w:szCs w:val="24"/>
                <w:u w:val="none"/>
                <w:lang w:val="en-US" w:eastAsia="zh-CN" w:bidi="ar"/>
              </w:rPr>
              <w:t>项目立项（5分）</w:t>
            </w:r>
          </w:p>
        </w:tc>
        <w:tc>
          <w:tcPr>
            <w:tcW w:w="911" w:type="dxa"/>
            <w:shd w:val="clear" w:color="auto" w:fill="FFFFFF"/>
            <w:vAlign w:val="center"/>
          </w:tcPr>
          <w:p>
            <w:pPr>
              <w:keepNext w:val="0"/>
              <w:keepLines w:val="0"/>
              <w:widowControl/>
              <w:suppressLineNumbers w:val="0"/>
              <w:jc w:val="center"/>
              <w:textAlignment w:val="center"/>
              <w:rPr>
                <w:color w:val="000000"/>
                <w:kern w:val="0"/>
                <w:sz w:val="22"/>
                <w:szCs w:val="22"/>
              </w:rPr>
            </w:pPr>
            <w:r>
              <w:rPr>
                <w:rFonts w:hint="eastAsia" w:ascii="方正仿宋_GBK" w:hAnsi="方正仿宋_GBK" w:eastAsia="方正仿宋_GBK" w:cs="方正仿宋_GBK"/>
                <w:i w:val="0"/>
                <w:iCs w:val="0"/>
                <w:color w:val="000000"/>
                <w:kern w:val="0"/>
                <w:sz w:val="24"/>
                <w:szCs w:val="24"/>
                <w:u w:val="none"/>
                <w:lang w:val="en-US" w:eastAsia="zh-CN" w:bidi="ar"/>
              </w:rPr>
              <w:t>立项依据充分性（3分）</w:t>
            </w:r>
          </w:p>
        </w:tc>
        <w:tc>
          <w:tcPr>
            <w:tcW w:w="5008" w:type="dxa"/>
            <w:shd w:val="clear" w:color="auto" w:fill="FFFFFF"/>
            <w:vAlign w:val="top"/>
          </w:tcPr>
          <w:p>
            <w:pPr>
              <w:keepNext w:val="0"/>
              <w:keepLines w:val="0"/>
              <w:widowControl/>
              <w:suppressLineNumbers w:val="0"/>
              <w:jc w:val="both"/>
              <w:textAlignment w:val="top"/>
              <w:rPr>
                <w:color w:val="000000"/>
                <w:kern w:val="0"/>
                <w:sz w:val="22"/>
                <w:szCs w:val="22"/>
                <w:highlight w:val="none"/>
              </w:rPr>
            </w:pPr>
            <w:r>
              <w:rPr>
                <w:rFonts w:hint="eastAsia" w:ascii="方正仿宋_GBK" w:hAnsi="方正仿宋_GBK" w:eastAsia="方正仿宋_GBK" w:cs="方正仿宋_GBK"/>
                <w:i w:val="0"/>
                <w:iCs w:val="0"/>
                <w:color w:val="000000"/>
                <w:kern w:val="0"/>
                <w:sz w:val="24"/>
                <w:szCs w:val="24"/>
                <w:u w:val="none"/>
                <w:lang w:val="en-US" w:eastAsia="zh-CN" w:bidi="ar"/>
              </w:rPr>
              <w:t>①项目立项是否符合国家法律法规、国民经济发展规划和相关政策得1分，否则不得分；②项目立项是否符合行业发展规划和政策要求得0.5分，否则不得分；③项目立项是否与部门职责范围相符，属于部门履职所需得0.5分，否则不得分；④项目是否属于公共财政支持范围，是否符合中央、地方事权支出责任划分原则得0.5分，否则不得分；⑤项目是否与相关部门同类项目或部门内部相关项目重复0.5分，否则不得分.</w:t>
            </w:r>
          </w:p>
        </w:tc>
        <w:tc>
          <w:tcPr>
            <w:tcW w:w="1039" w:type="dxa"/>
            <w:shd w:val="clear" w:color="000000" w:fill="FFFFFF"/>
            <w:vAlign w:val="center"/>
          </w:tcPr>
          <w:p>
            <w:pPr>
              <w:keepNext w:val="0"/>
              <w:keepLines w:val="0"/>
              <w:widowControl/>
              <w:suppressLineNumbers w:val="0"/>
              <w:jc w:val="center"/>
              <w:textAlignment w:val="center"/>
              <w:rPr>
                <w:color w:val="000000"/>
                <w:kern w:val="0"/>
                <w:sz w:val="22"/>
                <w:szCs w:val="22"/>
                <w:highlight w:val="none"/>
              </w:rPr>
            </w:pPr>
            <w:r>
              <w:rPr>
                <w:rFonts w:hint="default" w:ascii="Times New Roman" w:hAnsi="Times New Roman" w:eastAsia="宋体" w:cs="Times New Roman"/>
                <w:i w:val="0"/>
                <w:iCs w:val="0"/>
                <w:color w:val="000000"/>
                <w:kern w:val="0"/>
                <w:sz w:val="24"/>
                <w:szCs w:val="24"/>
                <w:u w:val="none"/>
                <w:lang w:val="en-US" w:eastAsia="zh-CN" w:bidi="ar"/>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pPr>
              <w:jc w:val="center"/>
              <w:rPr>
                <w:color w:val="000000"/>
                <w:kern w:val="0"/>
                <w:sz w:val="22"/>
                <w:szCs w:val="22"/>
              </w:rPr>
            </w:pPr>
          </w:p>
        </w:tc>
        <w:tc>
          <w:tcPr>
            <w:tcW w:w="750" w:type="dxa"/>
            <w:vMerge w:val="continue"/>
            <w:shd w:val="clear" w:color="auto" w:fill="FFFFFF"/>
            <w:vAlign w:val="center"/>
          </w:tcPr>
          <w:p>
            <w:pPr>
              <w:jc w:val="center"/>
              <w:rPr>
                <w:color w:val="000000"/>
                <w:kern w:val="0"/>
                <w:sz w:val="22"/>
                <w:szCs w:val="22"/>
              </w:rPr>
            </w:pPr>
          </w:p>
        </w:tc>
        <w:tc>
          <w:tcPr>
            <w:tcW w:w="911" w:type="dxa"/>
            <w:shd w:val="clear" w:color="auto" w:fill="FFFFFF"/>
            <w:vAlign w:val="center"/>
          </w:tcPr>
          <w:p>
            <w:pPr>
              <w:keepNext w:val="0"/>
              <w:keepLines w:val="0"/>
              <w:widowControl/>
              <w:suppressLineNumbers w:val="0"/>
              <w:jc w:val="center"/>
              <w:textAlignment w:val="center"/>
              <w:rPr>
                <w:color w:val="000000"/>
                <w:kern w:val="0"/>
                <w:sz w:val="22"/>
                <w:szCs w:val="22"/>
              </w:rPr>
            </w:pPr>
            <w:r>
              <w:rPr>
                <w:rFonts w:hint="eastAsia" w:ascii="方正仿宋_GBK" w:hAnsi="方正仿宋_GBK" w:eastAsia="方正仿宋_GBK" w:cs="方正仿宋_GBK"/>
                <w:i w:val="0"/>
                <w:iCs w:val="0"/>
                <w:color w:val="000000"/>
                <w:kern w:val="0"/>
                <w:sz w:val="24"/>
                <w:szCs w:val="24"/>
                <w:u w:val="none"/>
                <w:lang w:val="en-US" w:eastAsia="zh-CN" w:bidi="ar"/>
              </w:rPr>
              <w:t>立项程序（2分）</w:t>
            </w:r>
          </w:p>
        </w:tc>
        <w:tc>
          <w:tcPr>
            <w:tcW w:w="5008" w:type="dxa"/>
            <w:shd w:val="clear" w:color="auto" w:fill="FFFFFF"/>
            <w:vAlign w:val="center"/>
          </w:tcPr>
          <w:p>
            <w:pPr>
              <w:keepNext w:val="0"/>
              <w:keepLines w:val="0"/>
              <w:widowControl/>
              <w:suppressLineNumbers w:val="0"/>
              <w:jc w:val="left"/>
              <w:textAlignment w:val="center"/>
              <w:rPr>
                <w:color w:val="000000"/>
                <w:kern w:val="0"/>
                <w:sz w:val="22"/>
                <w:szCs w:val="22"/>
                <w:highlight w:val="none"/>
              </w:rPr>
            </w:pPr>
            <w:r>
              <w:rPr>
                <w:rFonts w:hint="eastAsia" w:ascii="方正仿宋_GBK" w:hAnsi="方正仿宋_GBK" w:eastAsia="方正仿宋_GBK" w:cs="方正仿宋_GBK"/>
                <w:i w:val="0"/>
                <w:iCs w:val="0"/>
                <w:color w:val="000000"/>
                <w:kern w:val="0"/>
                <w:sz w:val="24"/>
                <w:szCs w:val="24"/>
                <w:u w:val="none"/>
                <w:lang w:val="en-US" w:eastAsia="zh-CN" w:bidi="ar"/>
              </w:rPr>
              <w:t>①项目是否按照规定的程序申请设立得1分，否则不得分；②审批文件、材料是否符合相关要求得0.5分，否则不得分；③事前是否已经过必要的可行性研究、专家论证、风险评估、绩效评估、集体决策得0.5分，否则不得分。</w:t>
            </w:r>
          </w:p>
        </w:tc>
        <w:tc>
          <w:tcPr>
            <w:tcW w:w="1039" w:type="dxa"/>
            <w:shd w:val="clear" w:color="000000" w:fill="FFFFFF"/>
            <w:vAlign w:val="center"/>
          </w:tcPr>
          <w:p>
            <w:pPr>
              <w:keepNext w:val="0"/>
              <w:keepLines w:val="0"/>
              <w:widowControl/>
              <w:suppressLineNumbers w:val="0"/>
              <w:jc w:val="center"/>
              <w:textAlignment w:val="center"/>
              <w:rPr>
                <w:color w:val="000000"/>
                <w:kern w:val="0"/>
                <w:sz w:val="22"/>
                <w:szCs w:val="22"/>
                <w:highlight w:val="none"/>
              </w:rPr>
            </w:pPr>
            <w:r>
              <w:rPr>
                <w:rFonts w:hint="default" w:ascii="Times New Roman" w:hAnsi="Times New Roman" w:eastAsia="宋体" w:cs="Times New Roman"/>
                <w:i w:val="0"/>
                <w:iCs w:val="0"/>
                <w:color w:val="000000"/>
                <w:kern w:val="0"/>
                <w:sz w:val="24"/>
                <w:szCs w:val="24"/>
                <w:u w:val="none"/>
                <w:lang w:val="en-US" w:eastAsia="zh-CN" w:bidi="ar"/>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pPr>
              <w:jc w:val="center"/>
              <w:rPr>
                <w:color w:val="000000"/>
                <w:kern w:val="0"/>
                <w:sz w:val="22"/>
                <w:szCs w:val="22"/>
              </w:rPr>
            </w:pPr>
          </w:p>
        </w:tc>
        <w:tc>
          <w:tcPr>
            <w:tcW w:w="750" w:type="dxa"/>
            <w:vMerge w:val="restart"/>
            <w:shd w:val="clear" w:color="auto" w:fill="FFFFFF"/>
            <w:vAlign w:val="center"/>
          </w:tcPr>
          <w:p>
            <w:pPr>
              <w:keepNext w:val="0"/>
              <w:keepLines w:val="0"/>
              <w:widowControl/>
              <w:suppressLineNumbers w:val="0"/>
              <w:jc w:val="center"/>
              <w:textAlignment w:val="center"/>
              <w:rPr>
                <w:color w:val="000000"/>
                <w:kern w:val="0"/>
                <w:sz w:val="22"/>
                <w:szCs w:val="22"/>
              </w:rPr>
            </w:pPr>
            <w:r>
              <w:rPr>
                <w:rFonts w:hint="eastAsia" w:ascii="方正仿宋_GBK" w:hAnsi="方正仿宋_GBK" w:eastAsia="方正仿宋_GBK" w:cs="方正仿宋_GBK"/>
                <w:i w:val="0"/>
                <w:iCs w:val="0"/>
                <w:color w:val="000000"/>
                <w:kern w:val="0"/>
                <w:sz w:val="24"/>
                <w:szCs w:val="24"/>
                <w:u w:val="none"/>
                <w:lang w:val="en-US" w:eastAsia="zh-CN" w:bidi="ar"/>
              </w:rPr>
              <w:t>绩效目标（5分）</w:t>
            </w:r>
          </w:p>
        </w:tc>
        <w:tc>
          <w:tcPr>
            <w:tcW w:w="911" w:type="dxa"/>
            <w:shd w:val="clear" w:color="auto" w:fill="FFFFFF"/>
            <w:vAlign w:val="center"/>
          </w:tcPr>
          <w:p>
            <w:pPr>
              <w:keepNext w:val="0"/>
              <w:keepLines w:val="0"/>
              <w:widowControl/>
              <w:suppressLineNumbers w:val="0"/>
              <w:jc w:val="center"/>
              <w:textAlignment w:val="center"/>
              <w:rPr>
                <w:color w:val="000000"/>
                <w:kern w:val="0"/>
                <w:sz w:val="22"/>
                <w:szCs w:val="22"/>
              </w:rPr>
            </w:pPr>
            <w:r>
              <w:rPr>
                <w:rFonts w:hint="eastAsia" w:ascii="方正仿宋_GBK" w:hAnsi="方正仿宋_GBK" w:eastAsia="方正仿宋_GBK" w:cs="方正仿宋_GBK"/>
                <w:i w:val="0"/>
                <w:iCs w:val="0"/>
                <w:color w:val="000000"/>
                <w:kern w:val="0"/>
                <w:sz w:val="24"/>
                <w:szCs w:val="24"/>
                <w:u w:val="none"/>
                <w:lang w:val="en-US" w:eastAsia="zh-CN" w:bidi="ar"/>
              </w:rPr>
              <w:t>绩效目标合理性（3分）</w:t>
            </w:r>
          </w:p>
        </w:tc>
        <w:tc>
          <w:tcPr>
            <w:tcW w:w="5008" w:type="dxa"/>
            <w:shd w:val="clear" w:color="auto" w:fill="FFFFFF"/>
            <w:vAlign w:val="center"/>
          </w:tcPr>
          <w:p>
            <w:pPr>
              <w:keepNext w:val="0"/>
              <w:keepLines w:val="0"/>
              <w:widowControl/>
              <w:suppressLineNumbers w:val="0"/>
              <w:jc w:val="left"/>
              <w:textAlignment w:val="center"/>
              <w:rPr>
                <w:color w:val="000000"/>
                <w:kern w:val="0"/>
                <w:sz w:val="22"/>
                <w:szCs w:val="22"/>
                <w:highlight w:val="none"/>
              </w:rPr>
            </w:pPr>
            <w:r>
              <w:rPr>
                <w:rFonts w:hint="eastAsia" w:ascii="方正仿宋_GBK" w:hAnsi="方正仿宋_GBK" w:eastAsia="方正仿宋_GBK" w:cs="方正仿宋_GBK"/>
                <w:i w:val="0"/>
                <w:iCs w:val="0"/>
                <w:color w:val="000000"/>
                <w:kern w:val="0"/>
                <w:sz w:val="24"/>
                <w:szCs w:val="24"/>
                <w:u w:val="none"/>
                <w:lang w:val="en-US" w:eastAsia="zh-CN" w:bidi="ar"/>
              </w:rPr>
              <w:t>①项目是否有绩效目标得0.5分，否则不得分；②项目绩效目标与实际工作内容是否具有相关性得1分，否则不得分；③项目预期产出效益和效果是否符合正常的业绩水平得0.5分，否则不得分；④是否与预算确定的项目投资额或资金量相匹配得1分，否则不得分；。</w:t>
            </w:r>
          </w:p>
        </w:tc>
        <w:tc>
          <w:tcPr>
            <w:tcW w:w="1039" w:type="dxa"/>
            <w:shd w:val="clear" w:color="auto" w:fill="FFFFFF"/>
            <w:vAlign w:val="center"/>
          </w:tcPr>
          <w:p>
            <w:pPr>
              <w:keepNext w:val="0"/>
              <w:keepLines w:val="0"/>
              <w:widowControl/>
              <w:suppressLineNumbers w:val="0"/>
              <w:jc w:val="center"/>
              <w:textAlignment w:val="center"/>
              <w:rPr>
                <w:color w:val="000000"/>
                <w:kern w:val="0"/>
                <w:sz w:val="22"/>
                <w:szCs w:val="22"/>
                <w:highlight w:val="none"/>
              </w:rPr>
            </w:pPr>
            <w:r>
              <w:rPr>
                <w:rFonts w:hint="default" w:ascii="Times New Roman" w:hAnsi="Times New Roman" w:eastAsia="宋体" w:cs="Times New Roman"/>
                <w:i w:val="0"/>
                <w:iCs w:val="0"/>
                <w:color w:val="000000"/>
                <w:kern w:val="0"/>
                <w:sz w:val="24"/>
                <w:szCs w:val="24"/>
                <w:u w:val="none"/>
                <w:lang w:val="en-US" w:eastAsia="zh-CN" w:bidi="ar"/>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pPr>
              <w:jc w:val="center"/>
              <w:rPr>
                <w:color w:val="000000"/>
                <w:kern w:val="0"/>
                <w:sz w:val="22"/>
                <w:szCs w:val="22"/>
              </w:rPr>
            </w:pPr>
          </w:p>
        </w:tc>
        <w:tc>
          <w:tcPr>
            <w:tcW w:w="750" w:type="dxa"/>
            <w:vMerge w:val="continue"/>
            <w:shd w:val="clear" w:color="auto" w:fill="FFFFFF"/>
            <w:vAlign w:val="center"/>
          </w:tcPr>
          <w:p>
            <w:pPr>
              <w:jc w:val="center"/>
              <w:rPr>
                <w:color w:val="000000"/>
                <w:kern w:val="0"/>
                <w:sz w:val="22"/>
                <w:szCs w:val="22"/>
              </w:rPr>
            </w:pPr>
          </w:p>
        </w:tc>
        <w:tc>
          <w:tcPr>
            <w:tcW w:w="911" w:type="dxa"/>
            <w:shd w:val="clear" w:color="auto" w:fill="FFFFFF"/>
            <w:vAlign w:val="center"/>
          </w:tcPr>
          <w:p>
            <w:pPr>
              <w:keepNext w:val="0"/>
              <w:keepLines w:val="0"/>
              <w:widowControl/>
              <w:suppressLineNumbers w:val="0"/>
              <w:jc w:val="center"/>
              <w:textAlignment w:val="center"/>
              <w:rPr>
                <w:color w:val="000000"/>
                <w:kern w:val="0"/>
                <w:sz w:val="22"/>
                <w:szCs w:val="22"/>
              </w:rPr>
            </w:pPr>
            <w:r>
              <w:rPr>
                <w:rFonts w:hint="eastAsia" w:ascii="方正仿宋_GBK" w:hAnsi="方正仿宋_GBK" w:eastAsia="方正仿宋_GBK" w:cs="方正仿宋_GBK"/>
                <w:i w:val="0"/>
                <w:iCs w:val="0"/>
                <w:color w:val="000000"/>
                <w:kern w:val="0"/>
                <w:sz w:val="24"/>
                <w:szCs w:val="24"/>
                <w:u w:val="none"/>
                <w:lang w:val="en-US" w:eastAsia="zh-CN" w:bidi="ar"/>
              </w:rPr>
              <w:t>绩效指标明确性（2分）</w:t>
            </w:r>
          </w:p>
        </w:tc>
        <w:tc>
          <w:tcPr>
            <w:tcW w:w="5008" w:type="dxa"/>
            <w:shd w:val="clear" w:color="auto" w:fill="FFFFFF"/>
            <w:vAlign w:val="center"/>
          </w:tcPr>
          <w:p>
            <w:pPr>
              <w:keepNext w:val="0"/>
              <w:keepLines w:val="0"/>
              <w:widowControl/>
              <w:suppressLineNumbers w:val="0"/>
              <w:jc w:val="left"/>
              <w:textAlignment w:val="center"/>
              <w:rPr>
                <w:color w:val="000000"/>
                <w:kern w:val="0"/>
                <w:sz w:val="22"/>
                <w:szCs w:val="22"/>
                <w:highlight w:val="none"/>
              </w:rPr>
            </w:pPr>
            <w:r>
              <w:rPr>
                <w:rFonts w:hint="eastAsia" w:ascii="方正仿宋_GBK" w:hAnsi="方正仿宋_GBK" w:eastAsia="方正仿宋_GBK" w:cs="方正仿宋_GBK"/>
                <w:i w:val="0"/>
                <w:iCs w:val="0"/>
                <w:color w:val="000000"/>
                <w:kern w:val="0"/>
                <w:sz w:val="24"/>
                <w:szCs w:val="24"/>
                <w:u w:val="none"/>
                <w:lang w:val="en-US" w:eastAsia="zh-CN" w:bidi="ar"/>
              </w:rPr>
              <w:t>①是否将项目绩效目标细化分解为具体的绩效指标得0.5分，否则不得分；②是否通过清晰、可衡量的指标值予以体现得1分，否则不得分；③是否与项目目标任务数或计划数相对应得0.5分，否则不得分；</w:t>
            </w:r>
          </w:p>
        </w:tc>
        <w:tc>
          <w:tcPr>
            <w:tcW w:w="1039" w:type="dxa"/>
            <w:shd w:val="clear" w:color="auto" w:fill="FFFFFF"/>
            <w:vAlign w:val="center"/>
          </w:tcPr>
          <w:p>
            <w:pPr>
              <w:keepNext w:val="0"/>
              <w:keepLines w:val="0"/>
              <w:widowControl/>
              <w:suppressLineNumbers w:val="0"/>
              <w:jc w:val="center"/>
              <w:textAlignment w:val="center"/>
              <w:rPr>
                <w:color w:val="000000"/>
                <w:kern w:val="0"/>
                <w:sz w:val="22"/>
                <w:szCs w:val="22"/>
                <w:highlight w:val="none"/>
              </w:rPr>
            </w:pPr>
            <w:r>
              <w:rPr>
                <w:rFonts w:hint="default" w:ascii="Times New Roman" w:hAnsi="Times New Roman" w:eastAsia="宋体" w:cs="Times New Roman"/>
                <w:i w:val="0"/>
                <w:iCs w:val="0"/>
                <w:color w:val="000000"/>
                <w:kern w:val="0"/>
                <w:sz w:val="24"/>
                <w:szCs w:val="24"/>
                <w:u w:val="none"/>
                <w:lang w:val="en-US" w:eastAsia="zh-CN" w:bidi="ar"/>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pPr>
              <w:jc w:val="center"/>
              <w:rPr>
                <w:color w:val="000000"/>
                <w:kern w:val="0"/>
                <w:sz w:val="22"/>
                <w:szCs w:val="22"/>
              </w:rPr>
            </w:pPr>
          </w:p>
        </w:tc>
        <w:tc>
          <w:tcPr>
            <w:tcW w:w="750" w:type="dxa"/>
            <w:vMerge w:val="restart"/>
            <w:shd w:val="clear" w:color="auto" w:fill="FFFFFF"/>
            <w:vAlign w:val="center"/>
          </w:tcPr>
          <w:p>
            <w:pPr>
              <w:keepNext w:val="0"/>
              <w:keepLines w:val="0"/>
              <w:widowControl/>
              <w:suppressLineNumbers w:val="0"/>
              <w:jc w:val="center"/>
              <w:textAlignment w:val="center"/>
              <w:rPr>
                <w:color w:val="000000"/>
                <w:kern w:val="0"/>
                <w:sz w:val="22"/>
                <w:szCs w:val="22"/>
              </w:rPr>
            </w:pPr>
            <w:r>
              <w:rPr>
                <w:rFonts w:hint="eastAsia" w:ascii="方正仿宋_GBK" w:hAnsi="方正仿宋_GBK" w:eastAsia="方正仿宋_GBK" w:cs="方正仿宋_GBK"/>
                <w:i w:val="0"/>
                <w:iCs w:val="0"/>
                <w:color w:val="000000"/>
                <w:kern w:val="0"/>
                <w:sz w:val="24"/>
                <w:szCs w:val="24"/>
                <w:u w:val="none"/>
                <w:lang w:val="en-US" w:eastAsia="zh-CN" w:bidi="ar"/>
              </w:rPr>
              <w:t>资金投入（10分）</w:t>
            </w:r>
          </w:p>
        </w:tc>
        <w:tc>
          <w:tcPr>
            <w:tcW w:w="911" w:type="dxa"/>
            <w:shd w:val="clear" w:color="auto" w:fill="FFFFFF"/>
            <w:vAlign w:val="center"/>
          </w:tcPr>
          <w:p>
            <w:pPr>
              <w:keepNext w:val="0"/>
              <w:keepLines w:val="0"/>
              <w:widowControl/>
              <w:suppressLineNumbers w:val="0"/>
              <w:jc w:val="center"/>
              <w:textAlignment w:val="center"/>
              <w:rPr>
                <w:color w:val="000000"/>
                <w:kern w:val="0"/>
                <w:sz w:val="22"/>
                <w:szCs w:val="22"/>
              </w:rPr>
            </w:pPr>
            <w:r>
              <w:rPr>
                <w:rFonts w:hint="eastAsia" w:ascii="方正仿宋_GBK" w:hAnsi="方正仿宋_GBK" w:eastAsia="方正仿宋_GBK" w:cs="方正仿宋_GBK"/>
                <w:i w:val="0"/>
                <w:iCs w:val="0"/>
                <w:color w:val="000000"/>
                <w:kern w:val="0"/>
                <w:sz w:val="24"/>
                <w:szCs w:val="24"/>
                <w:u w:val="none"/>
                <w:lang w:val="en-US" w:eastAsia="zh-CN" w:bidi="ar"/>
              </w:rPr>
              <w:t>预算编制（5分）</w:t>
            </w:r>
          </w:p>
        </w:tc>
        <w:tc>
          <w:tcPr>
            <w:tcW w:w="5008" w:type="dxa"/>
            <w:shd w:val="clear" w:color="auto" w:fill="FFFFFF"/>
            <w:vAlign w:val="center"/>
          </w:tcPr>
          <w:p>
            <w:pPr>
              <w:keepNext w:val="0"/>
              <w:keepLines w:val="0"/>
              <w:widowControl/>
              <w:suppressLineNumbers w:val="0"/>
              <w:jc w:val="left"/>
              <w:textAlignment w:val="center"/>
              <w:rPr>
                <w:color w:val="000000"/>
                <w:kern w:val="0"/>
                <w:sz w:val="22"/>
                <w:szCs w:val="22"/>
                <w:highlight w:val="none"/>
              </w:rPr>
            </w:pPr>
            <w:r>
              <w:rPr>
                <w:rFonts w:hint="eastAsia" w:ascii="方正仿宋_GBK" w:hAnsi="方正仿宋_GBK" w:eastAsia="方正仿宋_GBK" w:cs="方正仿宋_GBK"/>
                <w:i w:val="0"/>
                <w:iCs w:val="0"/>
                <w:color w:val="000000"/>
                <w:kern w:val="0"/>
                <w:sz w:val="24"/>
                <w:szCs w:val="24"/>
                <w:u w:val="none"/>
                <w:lang w:val="en-US" w:eastAsia="zh-CN" w:bidi="ar"/>
              </w:rPr>
              <w:t>①预算编制是否经过科学论证得1分，否则不得分；②预算内容与项目内容是否匹配得1分，否则不得分；③预算额度测算依据是否充分，是否按照标准编制得1分，否则不得分；④预算确定的项目投资额或资金量是否与工作任务相匹配得2分，否则不得分。</w:t>
            </w:r>
          </w:p>
        </w:tc>
        <w:tc>
          <w:tcPr>
            <w:tcW w:w="1039" w:type="dxa"/>
            <w:shd w:val="clear" w:color="000000" w:fill="FFFFFF"/>
            <w:vAlign w:val="center"/>
          </w:tcPr>
          <w:p>
            <w:pPr>
              <w:keepNext w:val="0"/>
              <w:keepLines w:val="0"/>
              <w:widowControl/>
              <w:suppressLineNumbers w:val="0"/>
              <w:jc w:val="center"/>
              <w:textAlignment w:val="center"/>
              <w:rPr>
                <w:color w:val="000000"/>
                <w:kern w:val="0"/>
                <w:sz w:val="22"/>
                <w:szCs w:val="22"/>
                <w:highlight w:val="none"/>
              </w:rPr>
            </w:pPr>
            <w:r>
              <w:rPr>
                <w:rFonts w:hint="default" w:ascii="Times New Roman" w:hAnsi="Times New Roman" w:eastAsia="宋体" w:cs="Times New Roman"/>
                <w:i w:val="0"/>
                <w:iCs w:val="0"/>
                <w:color w:val="000000"/>
                <w:kern w:val="0"/>
                <w:sz w:val="24"/>
                <w:szCs w:val="24"/>
                <w:u w:val="none"/>
                <w:lang w:val="en-US" w:eastAsia="zh-CN" w:bidi="ar"/>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pPr>
              <w:jc w:val="center"/>
              <w:rPr>
                <w:color w:val="000000" w:themeColor="text1"/>
                <w:kern w:val="0"/>
                <w:sz w:val="22"/>
                <w:szCs w:val="22"/>
                <w:highlight w:val="none"/>
                <w14:textFill>
                  <w14:solidFill>
                    <w14:schemeClr w14:val="tx1"/>
                  </w14:solidFill>
                </w14:textFill>
              </w:rPr>
            </w:pPr>
          </w:p>
        </w:tc>
        <w:tc>
          <w:tcPr>
            <w:tcW w:w="750" w:type="dxa"/>
            <w:vMerge w:val="continue"/>
            <w:shd w:val="clear" w:color="auto" w:fill="FFFFFF"/>
            <w:vAlign w:val="center"/>
          </w:tcPr>
          <w:p>
            <w:pPr>
              <w:jc w:val="center"/>
              <w:rPr>
                <w:color w:val="000000" w:themeColor="text1"/>
                <w:kern w:val="0"/>
                <w:sz w:val="22"/>
                <w:szCs w:val="22"/>
                <w:highlight w:val="none"/>
                <w14:textFill>
                  <w14:solidFill>
                    <w14:schemeClr w14:val="tx1"/>
                  </w14:solidFill>
                </w14:textFill>
              </w:rPr>
            </w:pPr>
          </w:p>
        </w:tc>
        <w:tc>
          <w:tcPr>
            <w:tcW w:w="911" w:type="dxa"/>
            <w:shd w:val="clear" w:color="auto" w:fill="FFFFFF"/>
            <w:vAlign w:val="center"/>
          </w:tcPr>
          <w:p>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资金分配合理性（5分）</w:t>
            </w:r>
          </w:p>
        </w:tc>
        <w:tc>
          <w:tcPr>
            <w:tcW w:w="5008" w:type="dxa"/>
            <w:shd w:val="clear" w:color="auto" w:fill="FFFFFF"/>
            <w:vAlign w:val="center"/>
          </w:tcPr>
          <w:p>
            <w:pPr>
              <w:keepNext w:val="0"/>
              <w:keepLines w:val="0"/>
              <w:widowControl/>
              <w:suppressLineNumbers w:val="0"/>
              <w:jc w:val="left"/>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①预算资金分配依据是否充分得2.5分，否则不得分；②资金分配额度是否合理，与项目单位或地方实际是否相适应得2.5分，否则不得分。</w:t>
            </w:r>
          </w:p>
        </w:tc>
        <w:tc>
          <w:tcPr>
            <w:tcW w:w="1039" w:type="dxa"/>
            <w:shd w:val="clear" w:color="auto" w:fill="FFFFFF"/>
            <w:vAlign w:val="center"/>
          </w:tcPr>
          <w:p>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default" w:ascii="Times New Roman" w:hAnsi="Times New Roman" w:eastAsia="宋体" w:cs="Times New Roman"/>
                <w:i w:val="0"/>
                <w:iCs w:val="0"/>
                <w:color w:val="000000"/>
                <w:kern w:val="0"/>
                <w:sz w:val="24"/>
                <w:szCs w:val="24"/>
                <w:u w:val="none"/>
                <w:lang w:val="en-US" w:eastAsia="zh-CN" w:bidi="ar"/>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restart"/>
            <w:shd w:val="clear" w:color="auto" w:fill="FFFFFF"/>
            <w:vAlign w:val="center"/>
          </w:tcPr>
          <w:p>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过程（20分）</w:t>
            </w:r>
          </w:p>
        </w:tc>
        <w:tc>
          <w:tcPr>
            <w:tcW w:w="750" w:type="dxa"/>
            <w:vMerge w:val="restart"/>
            <w:shd w:val="clear" w:color="auto" w:fill="FFFFFF"/>
            <w:vAlign w:val="center"/>
          </w:tcPr>
          <w:p>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资金管理（15分）</w:t>
            </w:r>
          </w:p>
        </w:tc>
        <w:tc>
          <w:tcPr>
            <w:tcW w:w="911" w:type="dxa"/>
            <w:shd w:val="clear" w:color="auto" w:fill="FFFFFF"/>
            <w:vAlign w:val="center"/>
          </w:tcPr>
          <w:p>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资金到位率（5分）</w:t>
            </w:r>
          </w:p>
        </w:tc>
        <w:tc>
          <w:tcPr>
            <w:tcW w:w="5008" w:type="dxa"/>
            <w:shd w:val="clear" w:color="auto" w:fill="FFFFFF"/>
            <w:vAlign w:val="center"/>
          </w:tcPr>
          <w:p>
            <w:pPr>
              <w:keepNext w:val="0"/>
              <w:keepLines w:val="0"/>
              <w:widowControl/>
              <w:suppressLineNumbers w:val="0"/>
              <w:jc w:val="left"/>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资金到位率=（实际到位资金/预算资金）×100%，实际到位资金：一定时期（本年度或项目期）内落实到具体项目的资金得2.5分，否则不得分；预算资金：一定时期（本年度或项目期）内预算安排到具体项目的资金得2.5分，否则不得分。</w:t>
            </w:r>
          </w:p>
        </w:tc>
        <w:tc>
          <w:tcPr>
            <w:tcW w:w="1039" w:type="dxa"/>
            <w:shd w:val="clear" w:color="000000" w:fill="FFFFFF"/>
            <w:vAlign w:val="center"/>
          </w:tcPr>
          <w:p>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default" w:ascii="Times New Roman" w:hAnsi="Times New Roman" w:eastAsia="宋体" w:cs="Times New Roman"/>
                <w:i w:val="0"/>
                <w:iCs w:val="0"/>
                <w:color w:val="000000"/>
                <w:kern w:val="0"/>
                <w:sz w:val="24"/>
                <w:szCs w:val="24"/>
                <w:u w:val="none"/>
                <w:lang w:val="en-US" w:eastAsia="zh-CN" w:bidi="ar"/>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777" w:hRule="atLeast"/>
        </w:trPr>
        <w:tc>
          <w:tcPr>
            <w:tcW w:w="866" w:type="dxa"/>
            <w:vMerge w:val="continue"/>
            <w:shd w:val="clear" w:color="auto" w:fill="FFFFFF"/>
            <w:vAlign w:val="center"/>
          </w:tcPr>
          <w:p>
            <w:pPr>
              <w:jc w:val="center"/>
              <w:rPr>
                <w:color w:val="000000" w:themeColor="text1"/>
                <w:kern w:val="0"/>
                <w:sz w:val="22"/>
                <w:szCs w:val="22"/>
                <w:highlight w:val="none"/>
                <w14:textFill>
                  <w14:solidFill>
                    <w14:schemeClr w14:val="tx1"/>
                  </w14:solidFill>
                </w14:textFill>
              </w:rPr>
            </w:pPr>
          </w:p>
        </w:tc>
        <w:tc>
          <w:tcPr>
            <w:tcW w:w="750" w:type="dxa"/>
            <w:vMerge w:val="continue"/>
            <w:shd w:val="clear" w:color="auto" w:fill="FFFFFF"/>
            <w:vAlign w:val="center"/>
          </w:tcPr>
          <w:p>
            <w:pPr>
              <w:jc w:val="center"/>
              <w:rPr>
                <w:color w:val="000000" w:themeColor="text1"/>
                <w:kern w:val="0"/>
                <w:sz w:val="22"/>
                <w:szCs w:val="22"/>
                <w:highlight w:val="none"/>
                <w14:textFill>
                  <w14:solidFill>
                    <w14:schemeClr w14:val="tx1"/>
                  </w14:solidFill>
                </w14:textFill>
              </w:rPr>
            </w:pPr>
          </w:p>
        </w:tc>
        <w:tc>
          <w:tcPr>
            <w:tcW w:w="911" w:type="dxa"/>
            <w:shd w:val="clear" w:color="auto" w:fill="FFFFFF"/>
            <w:vAlign w:val="center"/>
          </w:tcPr>
          <w:p>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预算执行率（5分）</w:t>
            </w:r>
          </w:p>
        </w:tc>
        <w:tc>
          <w:tcPr>
            <w:tcW w:w="5008" w:type="dxa"/>
            <w:shd w:val="clear" w:color="auto" w:fill="FFFFFF"/>
            <w:vAlign w:val="center"/>
          </w:tcPr>
          <w:p>
            <w:pPr>
              <w:keepNext w:val="0"/>
              <w:keepLines w:val="0"/>
              <w:widowControl/>
              <w:suppressLineNumbers w:val="0"/>
              <w:jc w:val="left"/>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预算执行率为100%，得5分，否则得分=（实际支出资金/实际到位资金）×100%*5。</w:t>
            </w:r>
          </w:p>
        </w:tc>
        <w:tc>
          <w:tcPr>
            <w:tcW w:w="1039" w:type="dxa"/>
            <w:shd w:val="clear" w:color="000000" w:fill="FFFFFF"/>
            <w:vAlign w:val="center"/>
          </w:tcPr>
          <w:p>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eastAsia" w:ascii="Times New Roman" w:hAnsi="Times New Roman" w:eastAsia="宋体" w:cs="Times New Roman"/>
                <w:i w:val="0"/>
                <w:iCs w:val="0"/>
                <w:color w:val="000000"/>
                <w:kern w:val="0"/>
                <w:sz w:val="24"/>
                <w:szCs w:val="24"/>
                <w:u w:val="none"/>
                <w:lang w:val="en-US" w:eastAsia="zh-CN" w:bidi="ar"/>
              </w:rPr>
              <w:t>3.74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pPr>
              <w:jc w:val="center"/>
              <w:rPr>
                <w:color w:val="000000" w:themeColor="text1"/>
                <w:kern w:val="0"/>
                <w:sz w:val="22"/>
                <w:szCs w:val="22"/>
                <w:highlight w:val="none"/>
                <w14:textFill>
                  <w14:solidFill>
                    <w14:schemeClr w14:val="tx1"/>
                  </w14:solidFill>
                </w14:textFill>
              </w:rPr>
            </w:pPr>
          </w:p>
        </w:tc>
        <w:tc>
          <w:tcPr>
            <w:tcW w:w="750" w:type="dxa"/>
            <w:vMerge w:val="continue"/>
            <w:shd w:val="clear" w:color="auto" w:fill="FFFFFF"/>
            <w:vAlign w:val="center"/>
          </w:tcPr>
          <w:p>
            <w:pPr>
              <w:jc w:val="center"/>
              <w:rPr>
                <w:color w:val="000000" w:themeColor="text1"/>
                <w:kern w:val="0"/>
                <w:sz w:val="22"/>
                <w:szCs w:val="22"/>
                <w:highlight w:val="none"/>
                <w14:textFill>
                  <w14:solidFill>
                    <w14:schemeClr w14:val="tx1"/>
                  </w14:solidFill>
                </w14:textFill>
              </w:rPr>
            </w:pPr>
          </w:p>
        </w:tc>
        <w:tc>
          <w:tcPr>
            <w:tcW w:w="911" w:type="dxa"/>
            <w:shd w:val="clear" w:color="auto" w:fill="FFFFFF"/>
            <w:vAlign w:val="center"/>
          </w:tcPr>
          <w:p>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资金使用合规性（5分）</w:t>
            </w:r>
          </w:p>
        </w:tc>
        <w:tc>
          <w:tcPr>
            <w:tcW w:w="5008" w:type="dxa"/>
            <w:shd w:val="clear" w:color="auto" w:fill="FFFFFF"/>
            <w:vAlign w:val="center"/>
          </w:tcPr>
          <w:p>
            <w:pPr>
              <w:keepNext w:val="0"/>
              <w:keepLines w:val="0"/>
              <w:widowControl/>
              <w:suppressLineNumbers w:val="0"/>
              <w:jc w:val="left"/>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①是否符合国家财经法规和财务管理制度以及有关专项资金管理办法的规定得1分，否则不得分；②资金的拨付是否有完整的审批程序和手续得1分，否则不得分；③是否符合项目预算批复或合同规定的用途得1分，否则不得分；④是否存在截留、挤占、挪用、虚列支出等情况得2分，否则不得分。</w:t>
            </w:r>
          </w:p>
        </w:tc>
        <w:tc>
          <w:tcPr>
            <w:tcW w:w="1039" w:type="dxa"/>
            <w:shd w:val="clear" w:color="000000" w:fill="FFFFFF"/>
            <w:vAlign w:val="center"/>
          </w:tcPr>
          <w:p>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default" w:ascii="Times New Roman" w:hAnsi="Times New Roman" w:eastAsia="宋体" w:cs="Times New Roman"/>
                <w:i w:val="0"/>
                <w:iCs w:val="0"/>
                <w:color w:val="000000"/>
                <w:kern w:val="0"/>
                <w:sz w:val="24"/>
                <w:szCs w:val="24"/>
                <w:u w:val="none"/>
                <w:lang w:val="en-US" w:eastAsia="zh-CN" w:bidi="ar"/>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pPr>
              <w:jc w:val="center"/>
              <w:rPr>
                <w:color w:val="000000" w:themeColor="text1"/>
                <w:kern w:val="0"/>
                <w:sz w:val="22"/>
                <w:szCs w:val="22"/>
                <w:highlight w:val="none"/>
                <w14:textFill>
                  <w14:solidFill>
                    <w14:schemeClr w14:val="tx1"/>
                  </w14:solidFill>
                </w14:textFill>
              </w:rPr>
            </w:pPr>
          </w:p>
        </w:tc>
        <w:tc>
          <w:tcPr>
            <w:tcW w:w="750" w:type="dxa"/>
            <w:vMerge w:val="restart"/>
            <w:shd w:val="clear" w:color="auto" w:fill="FFFFFF"/>
            <w:vAlign w:val="center"/>
          </w:tcPr>
          <w:p>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组织实施（5分）</w:t>
            </w:r>
          </w:p>
        </w:tc>
        <w:tc>
          <w:tcPr>
            <w:tcW w:w="911" w:type="dxa"/>
            <w:shd w:val="clear" w:color="auto" w:fill="FFFFFF"/>
            <w:vAlign w:val="center"/>
          </w:tcPr>
          <w:p>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管理制度健全性（2分）</w:t>
            </w:r>
          </w:p>
        </w:tc>
        <w:tc>
          <w:tcPr>
            <w:tcW w:w="5008" w:type="dxa"/>
            <w:shd w:val="clear" w:color="auto" w:fill="FFFFFF"/>
            <w:vAlign w:val="center"/>
          </w:tcPr>
          <w:p>
            <w:pPr>
              <w:keepNext w:val="0"/>
              <w:keepLines w:val="0"/>
              <w:widowControl/>
              <w:suppressLineNumbers w:val="0"/>
              <w:jc w:val="left"/>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①是否已制定或具有相应的财务和业务管理制度得1分，否则不得分；②财务和业务管理制度是否合法、合规、完整得1分，否则不得分。</w:t>
            </w:r>
          </w:p>
        </w:tc>
        <w:tc>
          <w:tcPr>
            <w:tcW w:w="1039" w:type="dxa"/>
            <w:shd w:val="clear" w:color="000000" w:fill="FFFFFF"/>
            <w:vAlign w:val="center"/>
          </w:tcPr>
          <w:p>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default" w:ascii="Times New Roman" w:hAnsi="Times New Roman" w:eastAsia="宋体" w:cs="Times New Roman"/>
                <w:i w:val="0"/>
                <w:iCs w:val="0"/>
                <w:color w:val="000000"/>
                <w:kern w:val="0"/>
                <w:sz w:val="24"/>
                <w:szCs w:val="24"/>
                <w:u w:val="none"/>
                <w:lang w:val="en-US" w:eastAsia="zh-CN" w:bidi="ar"/>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pPr>
              <w:jc w:val="center"/>
              <w:rPr>
                <w:color w:val="000000" w:themeColor="text1"/>
                <w:kern w:val="0"/>
                <w:sz w:val="22"/>
                <w:szCs w:val="22"/>
                <w:highlight w:val="none"/>
                <w14:textFill>
                  <w14:solidFill>
                    <w14:schemeClr w14:val="tx1"/>
                  </w14:solidFill>
                </w14:textFill>
              </w:rPr>
            </w:pPr>
          </w:p>
        </w:tc>
        <w:tc>
          <w:tcPr>
            <w:tcW w:w="750" w:type="dxa"/>
            <w:vMerge w:val="continue"/>
            <w:shd w:val="clear" w:color="auto" w:fill="FFFFFF"/>
            <w:vAlign w:val="center"/>
          </w:tcPr>
          <w:p>
            <w:pPr>
              <w:jc w:val="center"/>
              <w:rPr>
                <w:color w:val="000000" w:themeColor="text1"/>
                <w:kern w:val="0"/>
                <w:sz w:val="22"/>
                <w:szCs w:val="22"/>
                <w:highlight w:val="none"/>
                <w14:textFill>
                  <w14:solidFill>
                    <w14:schemeClr w14:val="tx1"/>
                  </w14:solidFill>
                </w14:textFill>
              </w:rPr>
            </w:pPr>
          </w:p>
        </w:tc>
        <w:tc>
          <w:tcPr>
            <w:tcW w:w="911" w:type="dxa"/>
            <w:shd w:val="clear" w:color="auto" w:fill="FFFFFF"/>
            <w:vAlign w:val="center"/>
          </w:tcPr>
          <w:p>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制度执行（3分）</w:t>
            </w:r>
          </w:p>
        </w:tc>
        <w:tc>
          <w:tcPr>
            <w:tcW w:w="5008" w:type="dxa"/>
            <w:shd w:val="clear" w:color="auto" w:fill="FFFFFF"/>
            <w:vAlign w:val="center"/>
          </w:tcPr>
          <w:p>
            <w:pPr>
              <w:keepNext w:val="0"/>
              <w:keepLines w:val="0"/>
              <w:widowControl/>
              <w:suppressLineNumbers w:val="0"/>
              <w:jc w:val="left"/>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①是否遵守相关法律法规和相关管理规定得1分，否则不得分；；②项目调整及支出调整手续是否完备得1分，否则不得分；③项目合同书、验收报告、技术鉴定等资料是否齐全并及时归档得0.5分，否则不得分；；④项目实施的人员条件、场地设备、信息支撑等是否落实到位得0.5分，否则不得分。</w:t>
            </w:r>
          </w:p>
        </w:tc>
        <w:tc>
          <w:tcPr>
            <w:tcW w:w="1039" w:type="dxa"/>
            <w:shd w:val="clear" w:color="000000" w:fill="FFFFFF"/>
            <w:vAlign w:val="center"/>
          </w:tcPr>
          <w:p>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default" w:ascii="Times New Roman" w:hAnsi="Times New Roman" w:eastAsia="宋体" w:cs="Times New Roman"/>
                <w:i w:val="0"/>
                <w:iCs w:val="0"/>
                <w:color w:val="000000"/>
                <w:kern w:val="0"/>
                <w:sz w:val="24"/>
                <w:szCs w:val="24"/>
                <w:u w:val="none"/>
                <w:lang w:val="en-US" w:eastAsia="zh-CN" w:bidi="ar"/>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restart"/>
            <w:shd w:val="clear" w:color="auto" w:fill="FFFFFF"/>
            <w:vAlign w:val="center"/>
          </w:tcPr>
          <w:p>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产出（40分）</w:t>
            </w:r>
          </w:p>
        </w:tc>
        <w:tc>
          <w:tcPr>
            <w:tcW w:w="750" w:type="dxa"/>
            <w:vMerge w:val="restart"/>
            <w:shd w:val="clear" w:color="auto" w:fill="FFFFFF"/>
            <w:vAlign w:val="center"/>
          </w:tcPr>
          <w:p>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产出数量（</w:t>
            </w:r>
            <w:r>
              <w:rPr>
                <w:rFonts w:hint="default" w:ascii="Times New Roman" w:hAnsi="Times New Roman" w:eastAsia="方正仿宋_GBK" w:cs="Times New Roman"/>
                <w:i w:val="0"/>
                <w:iCs w:val="0"/>
                <w:color w:val="000000"/>
                <w:kern w:val="0"/>
                <w:sz w:val="24"/>
                <w:szCs w:val="24"/>
                <w:u w:val="none"/>
                <w:lang w:val="en-US" w:eastAsia="zh-CN" w:bidi="ar"/>
              </w:rPr>
              <w:t>10</w:t>
            </w:r>
            <w:r>
              <w:rPr>
                <w:rFonts w:hint="eastAsia" w:ascii="方正仿宋_GBK" w:hAnsi="方正仿宋_GBK" w:eastAsia="方正仿宋_GBK" w:cs="方正仿宋_GBK"/>
                <w:i w:val="0"/>
                <w:iCs w:val="0"/>
                <w:color w:val="000000"/>
                <w:kern w:val="0"/>
                <w:sz w:val="24"/>
                <w:szCs w:val="24"/>
                <w:u w:val="none"/>
                <w:lang w:val="en-US" w:eastAsia="zh-CN" w:bidi="ar"/>
              </w:rPr>
              <w:t>分）</w:t>
            </w:r>
          </w:p>
        </w:tc>
        <w:tc>
          <w:tcPr>
            <w:tcW w:w="911" w:type="dxa"/>
            <w:vMerge w:val="restart"/>
            <w:shd w:val="clear" w:color="auto" w:fill="FFFFFF"/>
            <w:vAlign w:val="center"/>
          </w:tcPr>
          <w:p>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实际完成率（10分）</w:t>
            </w:r>
          </w:p>
        </w:tc>
        <w:tc>
          <w:tcPr>
            <w:tcW w:w="5008" w:type="dxa"/>
            <w:shd w:val="clear" w:color="auto" w:fill="FFFFFF"/>
            <w:vAlign w:val="center"/>
          </w:tcPr>
          <w:p>
            <w:pPr>
              <w:keepNext w:val="0"/>
              <w:keepLines w:val="0"/>
              <w:widowControl/>
              <w:suppressLineNumbers w:val="0"/>
              <w:jc w:val="both"/>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①“完成建设用地地质灾害危险性评估项目”完成该指标得满分（2分），否则按照（实际产出数/计划产出数）×100%*2分得分。</w:t>
            </w:r>
          </w:p>
        </w:tc>
        <w:tc>
          <w:tcPr>
            <w:tcW w:w="1039" w:type="dxa"/>
            <w:vMerge w:val="restart"/>
            <w:shd w:val="clear" w:color="000000" w:fill="FFFFFF"/>
            <w:vAlign w:val="center"/>
          </w:tcPr>
          <w:p>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default" w:ascii="Times New Roman" w:hAnsi="Times New Roman" w:eastAsia="宋体" w:cs="Times New Roman"/>
                <w:i w:val="0"/>
                <w:iCs w:val="0"/>
                <w:color w:val="000000"/>
                <w:kern w:val="0"/>
                <w:sz w:val="24"/>
                <w:szCs w:val="24"/>
                <w:u w:val="none"/>
                <w:lang w:val="en-US" w:eastAsia="zh-CN" w:bidi="ar"/>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pPr>
              <w:jc w:val="center"/>
              <w:rPr>
                <w:color w:val="000000" w:themeColor="text1"/>
                <w:kern w:val="0"/>
                <w:sz w:val="22"/>
                <w:szCs w:val="22"/>
                <w:highlight w:val="none"/>
                <w14:textFill>
                  <w14:solidFill>
                    <w14:schemeClr w14:val="tx1"/>
                  </w14:solidFill>
                </w14:textFill>
              </w:rPr>
            </w:pPr>
          </w:p>
        </w:tc>
        <w:tc>
          <w:tcPr>
            <w:tcW w:w="750" w:type="dxa"/>
            <w:vMerge w:val="continue"/>
            <w:shd w:val="clear" w:color="auto" w:fill="FFFFFF"/>
            <w:vAlign w:val="center"/>
          </w:tcPr>
          <w:p>
            <w:pPr>
              <w:jc w:val="center"/>
              <w:rPr>
                <w:color w:val="000000" w:themeColor="text1"/>
                <w:kern w:val="0"/>
                <w:sz w:val="22"/>
                <w:szCs w:val="22"/>
                <w:highlight w:val="none"/>
                <w14:textFill>
                  <w14:solidFill>
                    <w14:schemeClr w14:val="tx1"/>
                  </w14:solidFill>
                </w14:textFill>
              </w:rPr>
            </w:pPr>
          </w:p>
        </w:tc>
        <w:tc>
          <w:tcPr>
            <w:tcW w:w="911" w:type="dxa"/>
            <w:vMerge w:val="continue"/>
            <w:shd w:val="clear" w:color="auto" w:fill="FFFFFF"/>
            <w:vAlign w:val="center"/>
          </w:tcPr>
          <w:p>
            <w:pPr>
              <w:jc w:val="center"/>
              <w:rPr>
                <w:color w:val="000000" w:themeColor="text1"/>
                <w:kern w:val="0"/>
                <w:sz w:val="22"/>
                <w:szCs w:val="22"/>
                <w:highlight w:val="none"/>
                <w14:textFill>
                  <w14:solidFill>
                    <w14:schemeClr w14:val="tx1"/>
                  </w14:solidFill>
                </w14:textFill>
              </w:rPr>
            </w:pPr>
          </w:p>
        </w:tc>
        <w:tc>
          <w:tcPr>
            <w:tcW w:w="5008" w:type="dxa"/>
            <w:shd w:val="clear" w:color="auto" w:fill="FFFFFF"/>
            <w:vAlign w:val="center"/>
          </w:tcPr>
          <w:p>
            <w:pPr>
              <w:keepNext w:val="0"/>
              <w:keepLines w:val="0"/>
              <w:widowControl/>
              <w:suppressLineNumbers w:val="0"/>
              <w:jc w:val="both"/>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②“完成监理项目”完成该指标得满分（2分），否则按照（实际产出数/计划产出数）×100%*2分得分。</w:t>
            </w:r>
          </w:p>
        </w:tc>
        <w:tc>
          <w:tcPr>
            <w:tcW w:w="1039" w:type="dxa"/>
            <w:vMerge w:val="continue"/>
            <w:shd w:val="clear" w:color="000000" w:fill="FFFFFF"/>
            <w:vAlign w:val="center"/>
          </w:tcPr>
          <w:p>
            <w:pPr>
              <w:jc w:val="center"/>
              <w:rPr>
                <w:color w:val="000000" w:themeColor="text1"/>
                <w:kern w:val="0"/>
                <w:sz w:val="22"/>
                <w:szCs w:val="22"/>
                <w:highlight w:val="none"/>
                <w14:textFill>
                  <w14:solidFill>
                    <w14:schemeClr w14:val="tx1"/>
                  </w14:solidFill>
                </w14:textFill>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pPr>
              <w:jc w:val="center"/>
              <w:rPr>
                <w:color w:val="000000" w:themeColor="text1"/>
                <w:kern w:val="0"/>
                <w:sz w:val="22"/>
                <w:szCs w:val="22"/>
                <w:highlight w:val="none"/>
                <w14:textFill>
                  <w14:solidFill>
                    <w14:schemeClr w14:val="tx1"/>
                  </w14:solidFill>
                </w14:textFill>
              </w:rPr>
            </w:pPr>
          </w:p>
        </w:tc>
        <w:tc>
          <w:tcPr>
            <w:tcW w:w="750" w:type="dxa"/>
            <w:vMerge w:val="continue"/>
            <w:shd w:val="clear" w:color="auto" w:fill="FFFFFF"/>
            <w:vAlign w:val="center"/>
          </w:tcPr>
          <w:p>
            <w:pPr>
              <w:jc w:val="center"/>
              <w:rPr>
                <w:color w:val="000000" w:themeColor="text1"/>
                <w:kern w:val="0"/>
                <w:sz w:val="22"/>
                <w:szCs w:val="22"/>
                <w:highlight w:val="none"/>
                <w14:textFill>
                  <w14:solidFill>
                    <w14:schemeClr w14:val="tx1"/>
                  </w14:solidFill>
                </w14:textFill>
              </w:rPr>
            </w:pPr>
          </w:p>
        </w:tc>
        <w:tc>
          <w:tcPr>
            <w:tcW w:w="911" w:type="dxa"/>
            <w:vMerge w:val="continue"/>
            <w:shd w:val="clear" w:color="auto" w:fill="FFFFFF"/>
            <w:vAlign w:val="center"/>
          </w:tcPr>
          <w:p>
            <w:pPr>
              <w:jc w:val="center"/>
              <w:rPr>
                <w:color w:val="000000" w:themeColor="text1"/>
                <w:kern w:val="0"/>
                <w:sz w:val="22"/>
                <w:szCs w:val="22"/>
                <w:highlight w:val="none"/>
                <w14:textFill>
                  <w14:solidFill>
                    <w14:schemeClr w14:val="tx1"/>
                  </w14:solidFill>
                </w14:textFill>
              </w:rPr>
            </w:pPr>
          </w:p>
        </w:tc>
        <w:tc>
          <w:tcPr>
            <w:tcW w:w="5008" w:type="dxa"/>
            <w:shd w:val="clear" w:color="auto" w:fill="FFFFFF"/>
            <w:vAlign w:val="center"/>
          </w:tcPr>
          <w:p>
            <w:pPr>
              <w:keepNext w:val="0"/>
              <w:keepLines w:val="0"/>
              <w:widowControl/>
              <w:suppressLineNumbers w:val="0"/>
              <w:jc w:val="both"/>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③“完成地下水监测设备校核”完成该指标得满分（2分），否则按照（实际产出数/计划产出数）×100%*2分得分。</w:t>
            </w:r>
          </w:p>
        </w:tc>
        <w:tc>
          <w:tcPr>
            <w:tcW w:w="1039" w:type="dxa"/>
            <w:vMerge w:val="continue"/>
            <w:shd w:val="clear" w:color="auto" w:fill="FFFFFF"/>
            <w:vAlign w:val="center"/>
          </w:tcPr>
          <w:p>
            <w:pPr>
              <w:jc w:val="center"/>
              <w:rPr>
                <w:rFonts w:hint="default" w:eastAsia="宋体"/>
                <w:color w:val="000000" w:themeColor="text1"/>
                <w:kern w:val="0"/>
                <w:sz w:val="22"/>
                <w:szCs w:val="22"/>
                <w:highlight w:val="none"/>
                <w:lang w:val="en-US" w:eastAsia="zh-CN"/>
                <w14:textFill>
                  <w14:solidFill>
                    <w14:schemeClr w14:val="tx1"/>
                  </w14:solidFill>
                </w14:textFill>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pPr>
              <w:jc w:val="center"/>
              <w:rPr>
                <w:color w:val="000000" w:themeColor="text1"/>
                <w:kern w:val="0"/>
                <w:sz w:val="22"/>
                <w:szCs w:val="22"/>
                <w:highlight w:val="none"/>
                <w14:textFill>
                  <w14:solidFill>
                    <w14:schemeClr w14:val="tx1"/>
                  </w14:solidFill>
                </w14:textFill>
              </w:rPr>
            </w:pPr>
          </w:p>
        </w:tc>
        <w:tc>
          <w:tcPr>
            <w:tcW w:w="750" w:type="dxa"/>
            <w:vMerge w:val="continue"/>
            <w:shd w:val="clear" w:color="auto" w:fill="FFFFFF"/>
            <w:vAlign w:val="center"/>
          </w:tcPr>
          <w:p>
            <w:pPr>
              <w:jc w:val="center"/>
              <w:rPr>
                <w:color w:val="000000" w:themeColor="text1"/>
                <w:kern w:val="0"/>
                <w:sz w:val="22"/>
                <w:szCs w:val="22"/>
                <w:highlight w:val="none"/>
                <w14:textFill>
                  <w14:solidFill>
                    <w14:schemeClr w14:val="tx1"/>
                  </w14:solidFill>
                </w14:textFill>
              </w:rPr>
            </w:pPr>
          </w:p>
        </w:tc>
        <w:tc>
          <w:tcPr>
            <w:tcW w:w="911" w:type="dxa"/>
            <w:vMerge w:val="continue"/>
            <w:shd w:val="clear" w:color="auto" w:fill="FFFFFF"/>
            <w:vAlign w:val="center"/>
          </w:tcPr>
          <w:p>
            <w:pPr>
              <w:jc w:val="center"/>
              <w:rPr>
                <w:color w:val="000000" w:themeColor="text1"/>
                <w:kern w:val="0"/>
                <w:sz w:val="22"/>
                <w:szCs w:val="22"/>
                <w:highlight w:val="none"/>
                <w14:textFill>
                  <w14:solidFill>
                    <w14:schemeClr w14:val="tx1"/>
                  </w14:solidFill>
                </w14:textFill>
              </w:rPr>
            </w:pPr>
          </w:p>
        </w:tc>
        <w:tc>
          <w:tcPr>
            <w:tcW w:w="5008" w:type="dxa"/>
            <w:shd w:val="clear" w:color="auto" w:fill="FFFFFF"/>
            <w:vAlign w:val="center"/>
          </w:tcPr>
          <w:p>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④“完成监测井井深测量”完成该指标得满分（2分），否则按照（实际产出数/计划产出数）×100%*2分得分。</w:t>
            </w:r>
          </w:p>
        </w:tc>
        <w:tc>
          <w:tcPr>
            <w:tcW w:w="1039" w:type="dxa"/>
            <w:vMerge w:val="continue"/>
            <w:shd w:val="clear" w:color="auto" w:fill="FFFFFF"/>
            <w:vAlign w:val="center"/>
          </w:tcPr>
          <w:p>
            <w:pPr>
              <w:jc w:val="center"/>
              <w:rPr>
                <w:rFonts w:hint="default" w:eastAsia="宋体"/>
                <w:color w:val="000000" w:themeColor="text1"/>
                <w:kern w:val="0"/>
                <w:sz w:val="22"/>
                <w:szCs w:val="22"/>
                <w:highlight w:val="none"/>
                <w:lang w:val="en-US" w:eastAsia="zh-CN"/>
                <w14:textFill>
                  <w14:solidFill>
                    <w14:schemeClr w14:val="tx1"/>
                  </w14:solidFill>
                </w14:textFill>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pPr>
              <w:jc w:val="center"/>
              <w:rPr>
                <w:color w:val="000000" w:themeColor="text1"/>
                <w:kern w:val="0"/>
                <w:sz w:val="22"/>
                <w:szCs w:val="22"/>
                <w:highlight w:val="none"/>
                <w14:textFill>
                  <w14:solidFill>
                    <w14:schemeClr w14:val="tx1"/>
                  </w14:solidFill>
                </w14:textFill>
              </w:rPr>
            </w:pPr>
          </w:p>
        </w:tc>
        <w:tc>
          <w:tcPr>
            <w:tcW w:w="750" w:type="dxa"/>
            <w:vMerge w:val="continue"/>
            <w:shd w:val="clear" w:color="auto" w:fill="FFFFFF"/>
            <w:vAlign w:val="center"/>
          </w:tcPr>
          <w:p>
            <w:pPr>
              <w:jc w:val="center"/>
              <w:rPr>
                <w:color w:val="000000" w:themeColor="text1"/>
                <w:kern w:val="0"/>
                <w:sz w:val="22"/>
                <w:szCs w:val="22"/>
                <w:highlight w:val="none"/>
                <w14:textFill>
                  <w14:solidFill>
                    <w14:schemeClr w14:val="tx1"/>
                  </w14:solidFill>
                </w14:textFill>
              </w:rPr>
            </w:pPr>
          </w:p>
        </w:tc>
        <w:tc>
          <w:tcPr>
            <w:tcW w:w="911" w:type="dxa"/>
            <w:vMerge w:val="continue"/>
            <w:shd w:val="clear" w:color="auto" w:fill="FFFFFF"/>
            <w:vAlign w:val="center"/>
          </w:tcPr>
          <w:p>
            <w:pPr>
              <w:jc w:val="center"/>
              <w:rPr>
                <w:color w:val="000000" w:themeColor="text1"/>
                <w:kern w:val="0"/>
                <w:sz w:val="22"/>
                <w:szCs w:val="22"/>
                <w:highlight w:val="none"/>
                <w14:textFill>
                  <w14:solidFill>
                    <w14:schemeClr w14:val="tx1"/>
                  </w14:solidFill>
                </w14:textFill>
              </w:rPr>
            </w:pPr>
          </w:p>
        </w:tc>
        <w:tc>
          <w:tcPr>
            <w:tcW w:w="5008" w:type="dxa"/>
            <w:shd w:val="clear" w:color="auto" w:fill="FFFFFF"/>
            <w:vAlign w:val="center"/>
          </w:tcPr>
          <w:p>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⑤“完成监测站点辅助设施养护维修”完成该指标得满分（2分），否则按照（实际产出数/计划产出数）×100%*2分得分。</w:t>
            </w:r>
          </w:p>
        </w:tc>
        <w:tc>
          <w:tcPr>
            <w:tcW w:w="1039" w:type="dxa"/>
            <w:vMerge w:val="continue"/>
            <w:shd w:val="clear" w:color="auto" w:fill="FFFFFF"/>
            <w:vAlign w:val="center"/>
          </w:tcPr>
          <w:p>
            <w:pPr>
              <w:jc w:val="center"/>
              <w:rPr>
                <w:rFonts w:hint="default" w:eastAsia="宋体"/>
                <w:color w:val="000000" w:themeColor="text1"/>
                <w:kern w:val="0"/>
                <w:sz w:val="22"/>
                <w:szCs w:val="22"/>
                <w:highlight w:val="none"/>
                <w:lang w:val="en-US" w:eastAsia="zh-CN"/>
                <w14:textFill>
                  <w14:solidFill>
                    <w14:schemeClr w14:val="tx1"/>
                  </w14:solidFill>
                </w14:textFill>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pPr>
              <w:jc w:val="center"/>
              <w:rPr>
                <w:color w:val="000000" w:themeColor="text1"/>
                <w:kern w:val="0"/>
                <w:sz w:val="22"/>
                <w:szCs w:val="22"/>
                <w:highlight w:val="none"/>
                <w14:textFill>
                  <w14:solidFill>
                    <w14:schemeClr w14:val="tx1"/>
                  </w14:solidFill>
                </w14:textFill>
              </w:rPr>
            </w:pPr>
          </w:p>
        </w:tc>
        <w:tc>
          <w:tcPr>
            <w:tcW w:w="750" w:type="dxa"/>
            <w:vMerge w:val="continue"/>
            <w:shd w:val="clear" w:color="auto" w:fill="FFFFFF"/>
            <w:vAlign w:val="center"/>
          </w:tcPr>
          <w:p>
            <w:pPr>
              <w:jc w:val="center"/>
              <w:rPr>
                <w:color w:val="000000" w:themeColor="text1"/>
                <w:kern w:val="0"/>
                <w:sz w:val="22"/>
                <w:szCs w:val="22"/>
                <w:highlight w:val="none"/>
                <w14:textFill>
                  <w14:solidFill>
                    <w14:schemeClr w14:val="tx1"/>
                  </w14:solidFill>
                </w14:textFill>
              </w:rPr>
            </w:pPr>
          </w:p>
        </w:tc>
        <w:tc>
          <w:tcPr>
            <w:tcW w:w="911" w:type="dxa"/>
            <w:vMerge w:val="continue"/>
            <w:shd w:val="clear" w:color="auto" w:fill="FFFFFF"/>
            <w:vAlign w:val="center"/>
          </w:tcPr>
          <w:p>
            <w:pPr>
              <w:jc w:val="center"/>
              <w:rPr>
                <w:color w:val="000000" w:themeColor="text1"/>
                <w:kern w:val="0"/>
                <w:sz w:val="22"/>
                <w:szCs w:val="22"/>
                <w:highlight w:val="none"/>
                <w14:textFill>
                  <w14:solidFill>
                    <w14:schemeClr w14:val="tx1"/>
                  </w14:solidFill>
                </w14:textFill>
              </w:rPr>
            </w:pPr>
          </w:p>
        </w:tc>
        <w:tc>
          <w:tcPr>
            <w:tcW w:w="5008" w:type="dxa"/>
            <w:shd w:val="clear" w:color="auto" w:fill="FFFFFF"/>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实际完成率=（实际产出数/计划产出数）×100% 。             </w:t>
            </w:r>
          </w:p>
        </w:tc>
        <w:tc>
          <w:tcPr>
            <w:tcW w:w="1039" w:type="dxa"/>
            <w:vMerge w:val="continue"/>
            <w:shd w:val="clear" w:color="auto" w:fill="FFFFFF"/>
            <w:vAlign w:val="center"/>
          </w:tcPr>
          <w:p>
            <w:pPr>
              <w:jc w:val="center"/>
              <w:rPr>
                <w:rFonts w:hint="default" w:eastAsia="宋体"/>
                <w:color w:val="000000" w:themeColor="text1"/>
                <w:kern w:val="0"/>
                <w:sz w:val="22"/>
                <w:szCs w:val="22"/>
                <w:highlight w:val="none"/>
                <w:lang w:val="en-US" w:eastAsia="zh-CN"/>
                <w14:textFill>
                  <w14:solidFill>
                    <w14:schemeClr w14:val="tx1"/>
                  </w14:solidFill>
                </w14:textFill>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pPr>
              <w:jc w:val="center"/>
              <w:rPr>
                <w:color w:val="000000" w:themeColor="text1"/>
                <w:kern w:val="0"/>
                <w:sz w:val="22"/>
                <w:szCs w:val="22"/>
                <w:highlight w:val="none"/>
                <w14:textFill>
                  <w14:solidFill>
                    <w14:schemeClr w14:val="tx1"/>
                  </w14:solidFill>
                </w14:textFill>
              </w:rPr>
            </w:pPr>
          </w:p>
        </w:tc>
        <w:tc>
          <w:tcPr>
            <w:tcW w:w="750" w:type="dxa"/>
            <w:vMerge w:val="continue"/>
            <w:shd w:val="clear" w:color="auto" w:fill="FFFFFF"/>
            <w:vAlign w:val="center"/>
          </w:tcPr>
          <w:p>
            <w:pPr>
              <w:jc w:val="center"/>
              <w:rPr>
                <w:color w:val="000000" w:themeColor="text1"/>
                <w:kern w:val="0"/>
                <w:sz w:val="22"/>
                <w:szCs w:val="22"/>
                <w:highlight w:val="none"/>
                <w14:textFill>
                  <w14:solidFill>
                    <w14:schemeClr w14:val="tx1"/>
                  </w14:solidFill>
                </w14:textFill>
              </w:rPr>
            </w:pPr>
          </w:p>
        </w:tc>
        <w:tc>
          <w:tcPr>
            <w:tcW w:w="911" w:type="dxa"/>
            <w:vMerge w:val="continue"/>
            <w:shd w:val="clear" w:color="auto" w:fill="FFFFFF"/>
            <w:vAlign w:val="center"/>
          </w:tcPr>
          <w:p>
            <w:pPr>
              <w:jc w:val="center"/>
              <w:rPr>
                <w:color w:val="000000" w:themeColor="text1"/>
                <w:kern w:val="0"/>
                <w:sz w:val="22"/>
                <w:szCs w:val="22"/>
                <w:highlight w:val="none"/>
                <w14:textFill>
                  <w14:solidFill>
                    <w14:schemeClr w14:val="tx1"/>
                  </w14:solidFill>
                </w14:textFill>
              </w:rPr>
            </w:pPr>
          </w:p>
        </w:tc>
        <w:tc>
          <w:tcPr>
            <w:tcW w:w="5008" w:type="dxa"/>
            <w:shd w:val="clear" w:color="auto" w:fill="FFFFFF"/>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实际产出数：一定时期（本年度或项目期）内项目实际产出的产品或提供的服务数量。</w:t>
            </w:r>
          </w:p>
        </w:tc>
        <w:tc>
          <w:tcPr>
            <w:tcW w:w="1039" w:type="dxa"/>
            <w:vMerge w:val="continue"/>
            <w:shd w:val="clear" w:color="auto" w:fill="FFFFFF"/>
            <w:vAlign w:val="center"/>
          </w:tcPr>
          <w:p>
            <w:pPr>
              <w:jc w:val="center"/>
              <w:rPr>
                <w:rFonts w:hint="default" w:eastAsia="宋体"/>
                <w:color w:val="000000" w:themeColor="text1"/>
                <w:kern w:val="0"/>
                <w:sz w:val="22"/>
                <w:szCs w:val="22"/>
                <w:highlight w:val="none"/>
                <w:lang w:val="en-US" w:eastAsia="zh-CN"/>
                <w14:textFill>
                  <w14:solidFill>
                    <w14:schemeClr w14:val="tx1"/>
                  </w14:solidFill>
                </w14:textFill>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pPr>
              <w:jc w:val="center"/>
              <w:rPr>
                <w:color w:val="000000" w:themeColor="text1"/>
                <w:kern w:val="0"/>
                <w:sz w:val="22"/>
                <w:szCs w:val="22"/>
                <w:highlight w:val="none"/>
                <w14:textFill>
                  <w14:solidFill>
                    <w14:schemeClr w14:val="tx1"/>
                  </w14:solidFill>
                </w14:textFill>
              </w:rPr>
            </w:pPr>
          </w:p>
        </w:tc>
        <w:tc>
          <w:tcPr>
            <w:tcW w:w="750" w:type="dxa"/>
            <w:vMerge w:val="restart"/>
            <w:shd w:val="clear" w:color="auto" w:fill="FFFFFF"/>
            <w:vAlign w:val="center"/>
          </w:tcPr>
          <w:p>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产出质量（10分）</w:t>
            </w:r>
          </w:p>
        </w:tc>
        <w:tc>
          <w:tcPr>
            <w:tcW w:w="911" w:type="dxa"/>
            <w:vMerge w:val="restart"/>
            <w:shd w:val="clear" w:color="auto" w:fill="FFFFFF"/>
            <w:vAlign w:val="center"/>
          </w:tcPr>
          <w:p>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质量达标率（10分）</w:t>
            </w:r>
          </w:p>
        </w:tc>
        <w:tc>
          <w:tcPr>
            <w:tcW w:w="5008" w:type="dxa"/>
            <w:shd w:val="clear" w:color="auto" w:fill="FFFFFF"/>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①“地下水监测数据传输故障率”完成该指标得满分（2.5分），否则按照（质量达标产出数/实际产出数）×100%*2.5分得分。</w:t>
            </w:r>
          </w:p>
        </w:tc>
        <w:tc>
          <w:tcPr>
            <w:tcW w:w="1039" w:type="dxa"/>
            <w:vMerge w:val="restart"/>
            <w:shd w:val="clear" w:color="auto" w:fill="FFFFFF"/>
            <w:vAlign w:val="center"/>
          </w:tcPr>
          <w:p>
            <w:pPr>
              <w:keepNext w:val="0"/>
              <w:keepLines w:val="0"/>
              <w:widowControl/>
              <w:suppressLineNumbers w:val="0"/>
              <w:jc w:val="center"/>
              <w:textAlignment w:val="center"/>
              <w:rPr>
                <w:rFonts w:hint="default" w:eastAsia="宋体"/>
                <w:color w:val="000000" w:themeColor="text1"/>
                <w:kern w:val="0"/>
                <w:sz w:val="22"/>
                <w:szCs w:val="22"/>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4"/>
                <w:szCs w:val="24"/>
                <w:u w:val="none"/>
                <w:lang w:val="en-US" w:eastAsia="zh-CN" w:bidi="ar"/>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pPr>
              <w:jc w:val="center"/>
              <w:rPr>
                <w:color w:val="000000" w:themeColor="text1"/>
                <w:kern w:val="0"/>
                <w:sz w:val="22"/>
                <w:szCs w:val="22"/>
                <w:highlight w:val="none"/>
                <w14:textFill>
                  <w14:solidFill>
                    <w14:schemeClr w14:val="tx1"/>
                  </w14:solidFill>
                </w14:textFill>
              </w:rPr>
            </w:pPr>
          </w:p>
        </w:tc>
        <w:tc>
          <w:tcPr>
            <w:tcW w:w="750" w:type="dxa"/>
            <w:vMerge w:val="continue"/>
            <w:shd w:val="clear" w:color="auto" w:fill="FFFFFF"/>
            <w:vAlign w:val="center"/>
          </w:tcPr>
          <w:p>
            <w:pPr>
              <w:jc w:val="center"/>
              <w:rPr>
                <w:color w:val="000000" w:themeColor="text1"/>
                <w:kern w:val="0"/>
                <w:sz w:val="22"/>
                <w:szCs w:val="22"/>
                <w:highlight w:val="none"/>
                <w14:textFill>
                  <w14:solidFill>
                    <w14:schemeClr w14:val="tx1"/>
                  </w14:solidFill>
                </w14:textFill>
              </w:rPr>
            </w:pPr>
          </w:p>
        </w:tc>
        <w:tc>
          <w:tcPr>
            <w:tcW w:w="911" w:type="dxa"/>
            <w:vMerge w:val="continue"/>
            <w:shd w:val="clear" w:color="auto" w:fill="FFFFFF"/>
            <w:vAlign w:val="center"/>
          </w:tcPr>
          <w:p>
            <w:pPr>
              <w:jc w:val="center"/>
              <w:rPr>
                <w:color w:val="000000" w:themeColor="text1"/>
                <w:kern w:val="0"/>
                <w:sz w:val="22"/>
                <w:szCs w:val="22"/>
                <w:highlight w:val="none"/>
                <w14:textFill>
                  <w14:solidFill>
                    <w14:schemeClr w14:val="tx1"/>
                  </w14:solidFill>
                </w14:textFill>
              </w:rPr>
            </w:pPr>
          </w:p>
        </w:tc>
        <w:tc>
          <w:tcPr>
            <w:tcW w:w="5008" w:type="dxa"/>
            <w:shd w:val="clear" w:color="auto" w:fill="FFFFFF"/>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②“工作成果质量合格率”完成该指标得满分（2.5分），否则按照（质量达标产出数/实际产出数）×100%*2.5分得分。</w:t>
            </w:r>
          </w:p>
        </w:tc>
        <w:tc>
          <w:tcPr>
            <w:tcW w:w="1039" w:type="dxa"/>
            <w:vMerge w:val="continue"/>
            <w:shd w:val="clear" w:color="auto" w:fill="FFFFFF"/>
            <w:vAlign w:val="center"/>
          </w:tcPr>
          <w:p>
            <w:pPr>
              <w:jc w:val="center"/>
              <w:rPr>
                <w:rFonts w:hint="default" w:eastAsia="宋体"/>
                <w:color w:val="000000" w:themeColor="text1"/>
                <w:kern w:val="0"/>
                <w:sz w:val="22"/>
                <w:szCs w:val="22"/>
                <w:highlight w:val="none"/>
                <w:lang w:val="en-US" w:eastAsia="zh-CN"/>
                <w14:textFill>
                  <w14:solidFill>
                    <w14:schemeClr w14:val="tx1"/>
                  </w14:solidFill>
                </w14:textFill>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pPr>
              <w:jc w:val="center"/>
              <w:rPr>
                <w:color w:val="000000" w:themeColor="text1"/>
                <w:kern w:val="0"/>
                <w:sz w:val="22"/>
                <w:szCs w:val="22"/>
                <w:highlight w:val="none"/>
                <w14:textFill>
                  <w14:solidFill>
                    <w14:schemeClr w14:val="tx1"/>
                  </w14:solidFill>
                </w14:textFill>
              </w:rPr>
            </w:pPr>
          </w:p>
        </w:tc>
        <w:tc>
          <w:tcPr>
            <w:tcW w:w="750" w:type="dxa"/>
            <w:vMerge w:val="continue"/>
            <w:shd w:val="clear" w:color="auto" w:fill="FFFFFF"/>
            <w:vAlign w:val="center"/>
          </w:tcPr>
          <w:p>
            <w:pPr>
              <w:jc w:val="center"/>
              <w:rPr>
                <w:color w:val="000000" w:themeColor="text1"/>
                <w:kern w:val="0"/>
                <w:sz w:val="22"/>
                <w:szCs w:val="22"/>
                <w:highlight w:val="none"/>
                <w14:textFill>
                  <w14:solidFill>
                    <w14:schemeClr w14:val="tx1"/>
                  </w14:solidFill>
                </w14:textFill>
              </w:rPr>
            </w:pPr>
          </w:p>
        </w:tc>
        <w:tc>
          <w:tcPr>
            <w:tcW w:w="911" w:type="dxa"/>
            <w:vMerge w:val="continue"/>
            <w:shd w:val="clear" w:color="auto" w:fill="FFFFFF"/>
            <w:vAlign w:val="center"/>
          </w:tcPr>
          <w:p>
            <w:pPr>
              <w:jc w:val="center"/>
              <w:rPr>
                <w:color w:val="000000" w:themeColor="text1"/>
                <w:kern w:val="0"/>
                <w:sz w:val="22"/>
                <w:szCs w:val="22"/>
                <w:highlight w:val="none"/>
                <w14:textFill>
                  <w14:solidFill>
                    <w14:schemeClr w14:val="tx1"/>
                  </w14:solidFill>
                </w14:textFill>
              </w:rPr>
            </w:pPr>
          </w:p>
        </w:tc>
        <w:tc>
          <w:tcPr>
            <w:tcW w:w="5008" w:type="dxa"/>
            <w:shd w:val="clear" w:color="auto" w:fill="FFFFFF"/>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③“监测井运行维护合格率”完成该指标得满分（2.5分），否则按照（质量达标产出数/实际产出数）×100%*2.5分得分。</w:t>
            </w:r>
          </w:p>
        </w:tc>
        <w:tc>
          <w:tcPr>
            <w:tcW w:w="1039" w:type="dxa"/>
            <w:vMerge w:val="continue"/>
            <w:shd w:val="clear" w:color="auto" w:fill="FFFFFF"/>
            <w:vAlign w:val="center"/>
          </w:tcPr>
          <w:p>
            <w:pPr>
              <w:jc w:val="center"/>
              <w:rPr>
                <w:rFonts w:hint="default" w:eastAsia="宋体"/>
                <w:color w:val="000000" w:themeColor="text1"/>
                <w:kern w:val="0"/>
                <w:sz w:val="22"/>
                <w:szCs w:val="22"/>
                <w:highlight w:val="none"/>
                <w:lang w:val="en-US" w:eastAsia="zh-CN"/>
                <w14:textFill>
                  <w14:solidFill>
                    <w14:schemeClr w14:val="tx1"/>
                  </w14:solidFill>
                </w14:textFill>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pPr>
              <w:jc w:val="center"/>
              <w:rPr>
                <w:color w:val="000000" w:themeColor="text1"/>
                <w:kern w:val="0"/>
                <w:sz w:val="22"/>
                <w:szCs w:val="22"/>
                <w:highlight w:val="none"/>
                <w14:textFill>
                  <w14:solidFill>
                    <w14:schemeClr w14:val="tx1"/>
                  </w14:solidFill>
                </w14:textFill>
              </w:rPr>
            </w:pPr>
          </w:p>
        </w:tc>
        <w:tc>
          <w:tcPr>
            <w:tcW w:w="750" w:type="dxa"/>
            <w:vMerge w:val="continue"/>
            <w:shd w:val="clear" w:color="auto" w:fill="FFFFFF"/>
            <w:vAlign w:val="center"/>
          </w:tcPr>
          <w:p>
            <w:pPr>
              <w:jc w:val="center"/>
              <w:rPr>
                <w:color w:val="000000" w:themeColor="text1"/>
                <w:kern w:val="0"/>
                <w:sz w:val="22"/>
                <w:szCs w:val="22"/>
                <w:highlight w:val="none"/>
                <w14:textFill>
                  <w14:solidFill>
                    <w14:schemeClr w14:val="tx1"/>
                  </w14:solidFill>
                </w14:textFill>
              </w:rPr>
            </w:pPr>
          </w:p>
        </w:tc>
        <w:tc>
          <w:tcPr>
            <w:tcW w:w="911" w:type="dxa"/>
            <w:vMerge w:val="continue"/>
            <w:shd w:val="clear" w:color="auto" w:fill="FFFFFF"/>
            <w:vAlign w:val="center"/>
          </w:tcPr>
          <w:p>
            <w:pPr>
              <w:jc w:val="center"/>
              <w:rPr>
                <w:color w:val="000000" w:themeColor="text1"/>
                <w:kern w:val="0"/>
                <w:sz w:val="22"/>
                <w:szCs w:val="22"/>
                <w:highlight w:val="none"/>
                <w14:textFill>
                  <w14:solidFill>
                    <w14:schemeClr w14:val="tx1"/>
                  </w14:solidFill>
                </w14:textFill>
              </w:rPr>
            </w:pPr>
          </w:p>
        </w:tc>
        <w:tc>
          <w:tcPr>
            <w:tcW w:w="5008" w:type="dxa"/>
            <w:shd w:val="clear" w:color="auto" w:fill="FFFFFF"/>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④“地下水均衡试验场运行故障率”完成该指标得满分（2.5分），否则按照（质量达标产出数/实际产出数）×100%*2.5分得分。</w:t>
            </w:r>
          </w:p>
        </w:tc>
        <w:tc>
          <w:tcPr>
            <w:tcW w:w="1039" w:type="dxa"/>
            <w:vMerge w:val="continue"/>
            <w:shd w:val="clear" w:color="auto" w:fill="FFFFFF"/>
            <w:vAlign w:val="center"/>
          </w:tcPr>
          <w:p>
            <w:pPr>
              <w:jc w:val="center"/>
              <w:rPr>
                <w:rFonts w:hint="default" w:eastAsia="宋体"/>
                <w:color w:val="000000" w:themeColor="text1"/>
                <w:kern w:val="0"/>
                <w:sz w:val="22"/>
                <w:szCs w:val="22"/>
                <w:highlight w:val="none"/>
                <w:lang w:val="en-US" w:eastAsia="zh-CN"/>
                <w14:textFill>
                  <w14:solidFill>
                    <w14:schemeClr w14:val="tx1"/>
                  </w14:solidFill>
                </w14:textFill>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pPr>
              <w:jc w:val="center"/>
              <w:rPr>
                <w:color w:val="000000" w:themeColor="text1"/>
                <w:kern w:val="0"/>
                <w:sz w:val="22"/>
                <w:szCs w:val="22"/>
                <w:highlight w:val="none"/>
                <w14:textFill>
                  <w14:solidFill>
                    <w14:schemeClr w14:val="tx1"/>
                  </w14:solidFill>
                </w14:textFill>
              </w:rPr>
            </w:pPr>
          </w:p>
        </w:tc>
        <w:tc>
          <w:tcPr>
            <w:tcW w:w="750" w:type="dxa"/>
            <w:vMerge w:val="continue"/>
            <w:shd w:val="clear" w:color="auto" w:fill="FFFFFF"/>
            <w:vAlign w:val="center"/>
          </w:tcPr>
          <w:p>
            <w:pPr>
              <w:jc w:val="center"/>
              <w:rPr>
                <w:color w:val="000000" w:themeColor="text1"/>
                <w:kern w:val="0"/>
                <w:sz w:val="22"/>
                <w:szCs w:val="22"/>
                <w:highlight w:val="none"/>
                <w14:textFill>
                  <w14:solidFill>
                    <w14:schemeClr w14:val="tx1"/>
                  </w14:solidFill>
                </w14:textFill>
              </w:rPr>
            </w:pPr>
          </w:p>
        </w:tc>
        <w:tc>
          <w:tcPr>
            <w:tcW w:w="911" w:type="dxa"/>
            <w:vMerge w:val="continue"/>
            <w:shd w:val="clear" w:color="auto" w:fill="FFFFFF"/>
            <w:vAlign w:val="center"/>
          </w:tcPr>
          <w:p>
            <w:pPr>
              <w:jc w:val="center"/>
              <w:rPr>
                <w:color w:val="000000" w:themeColor="text1"/>
                <w:kern w:val="0"/>
                <w:sz w:val="22"/>
                <w:szCs w:val="22"/>
                <w:highlight w:val="none"/>
                <w14:textFill>
                  <w14:solidFill>
                    <w14:schemeClr w14:val="tx1"/>
                  </w14:solidFill>
                </w14:textFill>
              </w:rPr>
            </w:pPr>
          </w:p>
        </w:tc>
        <w:tc>
          <w:tcPr>
            <w:tcW w:w="5008" w:type="dxa"/>
            <w:shd w:val="clear" w:color="auto" w:fill="FFFFFF"/>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质量达标率=（质量达标产出数/实际产出数）×100%。          </w:t>
            </w:r>
          </w:p>
        </w:tc>
        <w:tc>
          <w:tcPr>
            <w:tcW w:w="1039" w:type="dxa"/>
            <w:vMerge w:val="continue"/>
            <w:shd w:val="clear" w:color="auto" w:fill="FFFFFF"/>
            <w:vAlign w:val="center"/>
          </w:tcPr>
          <w:p>
            <w:pPr>
              <w:jc w:val="center"/>
              <w:rPr>
                <w:rFonts w:hint="default" w:eastAsia="宋体"/>
                <w:color w:val="000000" w:themeColor="text1"/>
                <w:kern w:val="0"/>
                <w:sz w:val="22"/>
                <w:szCs w:val="22"/>
                <w:highlight w:val="none"/>
                <w:lang w:val="en-US" w:eastAsia="zh-CN"/>
                <w14:textFill>
                  <w14:solidFill>
                    <w14:schemeClr w14:val="tx1"/>
                  </w14:solidFill>
                </w14:textFill>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pPr>
              <w:jc w:val="center"/>
              <w:rPr>
                <w:color w:val="000000" w:themeColor="text1"/>
                <w:kern w:val="0"/>
                <w:sz w:val="22"/>
                <w:szCs w:val="22"/>
                <w:highlight w:val="none"/>
                <w14:textFill>
                  <w14:solidFill>
                    <w14:schemeClr w14:val="tx1"/>
                  </w14:solidFill>
                </w14:textFill>
              </w:rPr>
            </w:pPr>
          </w:p>
        </w:tc>
        <w:tc>
          <w:tcPr>
            <w:tcW w:w="750" w:type="dxa"/>
            <w:vMerge w:val="continue"/>
            <w:shd w:val="clear" w:color="auto" w:fill="FFFFFF"/>
            <w:vAlign w:val="center"/>
          </w:tcPr>
          <w:p>
            <w:pPr>
              <w:jc w:val="center"/>
              <w:rPr>
                <w:color w:val="000000" w:themeColor="text1"/>
                <w:kern w:val="0"/>
                <w:sz w:val="22"/>
                <w:szCs w:val="22"/>
                <w:highlight w:val="none"/>
                <w14:textFill>
                  <w14:solidFill>
                    <w14:schemeClr w14:val="tx1"/>
                  </w14:solidFill>
                </w14:textFill>
              </w:rPr>
            </w:pPr>
          </w:p>
        </w:tc>
        <w:tc>
          <w:tcPr>
            <w:tcW w:w="911" w:type="dxa"/>
            <w:vMerge w:val="continue"/>
            <w:shd w:val="clear" w:color="auto" w:fill="FFFFFF"/>
            <w:vAlign w:val="center"/>
          </w:tcPr>
          <w:p>
            <w:pPr>
              <w:jc w:val="center"/>
              <w:rPr>
                <w:color w:val="000000" w:themeColor="text1"/>
                <w:kern w:val="0"/>
                <w:sz w:val="22"/>
                <w:szCs w:val="22"/>
                <w:highlight w:val="none"/>
                <w14:textFill>
                  <w14:solidFill>
                    <w14:schemeClr w14:val="tx1"/>
                  </w14:solidFill>
                </w14:textFill>
              </w:rPr>
            </w:pPr>
          </w:p>
        </w:tc>
        <w:tc>
          <w:tcPr>
            <w:tcW w:w="5008" w:type="dxa"/>
            <w:shd w:val="clear" w:color="auto" w:fill="FFFFFF"/>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质量达标产出数：一定时期（本年度或项目期）内实际达到既定质量标准的产品或服务数量。</w:t>
            </w:r>
          </w:p>
        </w:tc>
        <w:tc>
          <w:tcPr>
            <w:tcW w:w="1039" w:type="dxa"/>
            <w:vMerge w:val="continue"/>
            <w:shd w:val="clear" w:color="auto" w:fill="FFFFFF"/>
            <w:vAlign w:val="center"/>
          </w:tcPr>
          <w:p>
            <w:pPr>
              <w:jc w:val="center"/>
              <w:rPr>
                <w:rFonts w:hint="default" w:eastAsia="宋体"/>
                <w:color w:val="000000" w:themeColor="text1"/>
                <w:kern w:val="0"/>
                <w:sz w:val="22"/>
                <w:szCs w:val="22"/>
                <w:highlight w:val="none"/>
                <w:lang w:val="en-US" w:eastAsia="zh-CN"/>
                <w14:textFill>
                  <w14:solidFill>
                    <w14:schemeClr w14:val="tx1"/>
                  </w14:solidFill>
                </w14:textFill>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pPr>
              <w:jc w:val="center"/>
              <w:rPr>
                <w:color w:val="000000" w:themeColor="text1"/>
                <w:kern w:val="0"/>
                <w:sz w:val="22"/>
                <w:szCs w:val="22"/>
                <w:highlight w:val="none"/>
                <w14:textFill>
                  <w14:solidFill>
                    <w14:schemeClr w14:val="tx1"/>
                  </w14:solidFill>
                </w14:textFill>
              </w:rPr>
            </w:pPr>
          </w:p>
        </w:tc>
        <w:tc>
          <w:tcPr>
            <w:tcW w:w="750" w:type="dxa"/>
            <w:vMerge w:val="restart"/>
            <w:shd w:val="clear" w:color="auto" w:fill="FFFFFF"/>
            <w:vAlign w:val="center"/>
          </w:tcPr>
          <w:p>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产出成本（20分）</w:t>
            </w:r>
          </w:p>
        </w:tc>
        <w:tc>
          <w:tcPr>
            <w:tcW w:w="911" w:type="dxa"/>
            <w:vMerge w:val="restart"/>
            <w:shd w:val="clear" w:color="auto" w:fill="FFFFFF"/>
            <w:vAlign w:val="center"/>
          </w:tcPr>
          <w:p>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成本节约率（20分）</w:t>
            </w:r>
          </w:p>
        </w:tc>
        <w:tc>
          <w:tcPr>
            <w:tcW w:w="5008" w:type="dxa"/>
            <w:shd w:val="clear" w:color="auto" w:fill="FFFFFF"/>
            <w:vAlign w:val="center"/>
          </w:tcPr>
          <w:p>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①“建设用地地质灾害危险性评估项目经费”完成该指标得满分（5分）否则得分=（实际支出资金/实际到位资金）×100%*5</w:t>
            </w:r>
          </w:p>
        </w:tc>
        <w:tc>
          <w:tcPr>
            <w:tcW w:w="1039" w:type="dxa"/>
            <w:vMerge w:val="restart"/>
            <w:shd w:val="clear" w:color="auto" w:fill="FFFFFF"/>
            <w:vAlign w:val="center"/>
          </w:tcPr>
          <w:p>
            <w:pPr>
              <w:keepNext w:val="0"/>
              <w:keepLines w:val="0"/>
              <w:widowControl/>
              <w:suppressLineNumbers w:val="0"/>
              <w:jc w:val="center"/>
              <w:textAlignment w:val="center"/>
              <w:rPr>
                <w:rFonts w:hint="default" w:eastAsia="宋体"/>
                <w:color w:val="000000" w:themeColor="text1"/>
                <w:kern w:val="0"/>
                <w:sz w:val="22"/>
                <w:szCs w:val="22"/>
                <w:highlight w:val="none"/>
                <w:lang w:val="en-US" w:eastAsia="zh-CN"/>
                <w14:textFill>
                  <w14:solidFill>
                    <w14:schemeClr w14:val="tx1"/>
                  </w14:solidFill>
                </w14:textFill>
              </w:rPr>
            </w:pPr>
            <w:r>
              <w:rPr>
                <w:rFonts w:hint="eastAsia" w:cs="Times New Roman"/>
                <w:i w:val="0"/>
                <w:iCs w:val="0"/>
                <w:color w:val="000000"/>
                <w:kern w:val="0"/>
                <w:sz w:val="24"/>
                <w:szCs w:val="24"/>
                <w:u w:val="none"/>
                <w:lang w:val="en-US" w:eastAsia="zh-CN" w:bidi="ar"/>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pPr>
              <w:jc w:val="center"/>
              <w:rPr>
                <w:color w:val="000000" w:themeColor="text1"/>
                <w:kern w:val="0"/>
                <w:sz w:val="22"/>
                <w:szCs w:val="22"/>
                <w:highlight w:val="none"/>
                <w14:textFill>
                  <w14:solidFill>
                    <w14:schemeClr w14:val="tx1"/>
                  </w14:solidFill>
                </w14:textFill>
              </w:rPr>
            </w:pPr>
          </w:p>
        </w:tc>
        <w:tc>
          <w:tcPr>
            <w:tcW w:w="750" w:type="dxa"/>
            <w:vMerge w:val="continue"/>
            <w:shd w:val="clear" w:color="auto" w:fill="FFFFFF"/>
            <w:vAlign w:val="center"/>
          </w:tcPr>
          <w:p>
            <w:pPr>
              <w:jc w:val="center"/>
              <w:rPr>
                <w:color w:val="000000" w:themeColor="text1"/>
                <w:kern w:val="0"/>
                <w:sz w:val="22"/>
                <w:szCs w:val="22"/>
                <w:highlight w:val="none"/>
                <w14:textFill>
                  <w14:solidFill>
                    <w14:schemeClr w14:val="tx1"/>
                  </w14:solidFill>
                </w14:textFill>
              </w:rPr>
            </w:pPr>
          </w:p>
        </w:tc>
        <w:tc>
          <w:tcPr>
            <w:tcW w:w="911" w:type="dxa"/>
            <w:vMerge w:val="continue"/>
            <w:shd w:val="clear" w:color="auto" w:fill="FFFFFF"/>
            <w:vAlign w:val="center"/>
          </w:tcPr>
          <w:p>
            <w:pPr>
              <w:jc w:val="center"/>
              <w:rPr>
                <w:color w:val="000000" w:themeColor="text1"/>
                <w:kern w:val="0"/>
                <w:sz w:val="22"/>
                <w:szCs w:val="22"/>
                <w:highlight w:val="none"/>
                <w14:textFill>
                  <w14:solidFill>
                    <w14:schemeClr w14:val="tx1"/>
                  </w14:solidFill>
                </w14:textFill>
              </w:rPr>
            </w:pPr>
          </w:p>
        </w:tc>
        <w:tc>
          <w:tcPr>
            <w:tcW w:w="5008" w:type="dxa"/>
            <w:shd w:val="clear" w:color="auto" w:fill="FFFFFF"/>
            <w:vAlign w:val="center"/>
          </w:tcPr>
          <w:p>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②"项目监理费"完成该指标得满分（5分）否则得分=（实际支出资金/实际到位资金）×100%*5</w:t>
            </w:r>
          </w:p>
        </w:tc>
        <w:tc>
          <w:tcPr>
            <w:tcW w:w="1039" w:type="dxa"/>
            <w:vMerge w:val="continue"/>
            <w:shd w:val="clear" w:color="auto" w:fill="FFFFFF"/>
            <w:vAlign w:val="center"/>
          </w:tcPr>
          <w:p>
            <w:pPr>
              <w:jc w:val="center"/>
              <w:rPr>
                <w:rFonts w:hint="default" w:eastAsia="宋体"/>
                <w:color w:val="000000" w:themeColor="text1"/>
                <w:kern w:val="0"/>
                <w:sz w:val="22"/>
                <w:szCs w:val="22"/>
                <w:highlight w:val="none"/>
                <w:lang w:val="en-US" w:eastAsia="zh-CN"/>
                <w14:textFill>
                  <w14:solidFill>
                    <w14:schemeClr w14:val="tx1"/>
                  </w14:solidFill>
                </w14:textFill>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pPr>
              <w:jc w:val="center"/>
              <w:rPr>
                <w:color w:val="000000" w:themeColor="text1"/>
                <w:kern w:val="0"/>
                <w:sz w:val="22"/>
                <w:szCs w:val="22"/>
                <w:highlight w:val="none"/>
                <w14:textFill>
                  <w14:solidFill>
                    <w14:schemeClr w14:val="tx1"/>
                  </w14:solidFill>
                </w14:textFill>
              </w:rPr>
            </w:pPr>
          </w:p>
        </w:tc>
        <w:tc>
          <w:tcPr>
            <w:tcW w:w="750" w:type="dxa"/>
            <w:vMerge w:val="continue"/>
            <w:shd w:val="clear" w:color="auto" w:fill="FFFFFF"/>
            <w:vAlign w:val="center"/>
          </w:tcPr>
          <w:p>
            <w:pPr>
              <w:jc w:val="center"/>
              <w:rPr>
                <w:color w:val="000000" w:themeColor="text1"/>
                <w:kern w:val="0"/>
                <w:sz w:val="22"/>
                <w:szCs w:val="22"/>
                <w:highlight w:val="none"/>
                <w14:textFill>
                  <w14:solidFill>
                    <w14:schemeClr w14:val="tx1"/>
                  </w14:solidFill>
                </w14:textFill>
              </w:rPr>
            </w:pPr>
          </w:p>
        </w:tc>
        <w:tc>
          <w:tcPr>
            <w:tcW w:w="911" w:type="dxa"/>
            <w:vMerge w:val="continue"/>
            <w:shd w:val="clear" w:color="auto" w:fill="FFFFFF"/>
            <w:vAlign w:val="center"/>
          </w:tcPr>
          <w:p>
            <w:pPr>
              <w:jc w:val="center"/>
              <w:rPr>
                <w:color w:val="000000" w:themeColor="text1"/>
                <w:kern w:val="0"/>
                <w:sz w:val="22"/>
                <w:szCs w:val="22"/>
                <w:highlight w:val="none"/>
                <w14:textFill>
                  <w14:solidFill>
                    <w14:schemeClr w14:val="tx1"/>
                  </w14:solidFill>
                </w14:textFill>
              </w:rPr>
            </w:pPr>
          </w:p>
        </w:tc>
        <w:tc>
          <w:tcPr>
            <w:tcW w:w="5008" w:type="dxa"/>
            <w:shd w:val="clear" w:color="auto" w:fill="FFFFFF"/>
            <w:vAlign w:val="center"/>
          </w:tcPr>
          <w:p>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③"完成地下水监测站点运行维护工作经费"完成该指标得满分（10分）否则得分=（实际支出资金/实际到位资金）×100%*10</w:t>
            </w:r>
          </w:p>
        </w:tc>
        <w:tc>
          <w:tcPr>
            <w:tcW w:w="1039" w:type="dxa"/>
            <w:vMerge w:val="continue"/>
            <w:shd w:val="clear" w:color="auto" w:fill="FFFFFF"/>
            <w:vAlign w:val="center"/>
          </w:tcPr>
          <w:p>
            <w:pPr>
              <w:jc w:val="center"/>
              <w:rPr>
                <w:rFonts w:hint="default" w:eastAsia="宋体"/>
                <w:color w:val="000000" w:themeColor="text1"/>
                <w:kern w:val="0"/>
                <w:sz w:val="22"/>
                <w:szCs w:val="22"/>
                <w:highlight w:val="none"/>
                <w:lang w:val="en-US" w:eastAsia="zh-CN"/>
                <w14:textFill>
                  <w14:solidFill>
                    <w14:schemeClr w14:val="tx1"/>
                  </w14:solidFill>
                </w14:textFill>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restart"/>
            <w:shd w:val="clear" w:color="auto" w:fill="FFFFFF"/>
            <w:vAlign w:val="center"/>
          </w:tcPr>
          <w:p>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效益（20分）</w:t>
            </w:r>
          </w:p>
        </w:tc>
        <w:tc>
          <w:tcPr>
            <w:tcW w:w="750" w:type="dxa"/>
            <w:vMerge w:val="restart"/>
            <w:shd w:val="clear" w:color="auto" w:fill="FFFFFF"/>
            <w:vAlign w:val="center"/>
          </w:tcPr>
          <w:p>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项目效益（20分）</w:t>
            </w:r>
          </w:p>
        </w:tc>
        <w:tc>
          <w:tcPr>
            <w:tcW w:w="911" w:type="dxa"/>
            <w:vMerge w:val="restart"/>
            <w:shd w:val="clear" w:color="auto" w:fill="FFFFFF"/>
            <w:vAlign w:val="center"/>
          </w:tcPr>
          <w:p>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实施效益（20分）</w:t>
            </w:r>
          </w:p>
        </w:tc>
        <w:tc>
          <w:tcPr>
            <w:tcW w:w="5008" w:type="dxa"/>
            <w:shd w:val="clear" w:color="auto" w:fill="FFFFFF"/>
            <w:vAlign w:val="center"/>
          </w:tcPr>
          <w:p>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①经济效益：无</w:t>
            </w:r>
          </w:p>
        </w:tc>
        <w:tc>
          <w:tcPr>
            <w:tcW w:w="1039" w:type="dxa"/>
            <w:vMerge w:val="restart"/>
            <w:shd w:val="clear" w:color="auto" w:fill="FFFFFF"/>
            <w:vAlign w:val="center"/>
          </w:tcPr>
          <w:p>
            <w:pPr>
              <w:keepNext w:val="0"/>
              <w:keepLines w:val="0"/>
              <w:widowControl/>
              <w:suppressLineNumbers w:val="0"/>
              <w:jc w:val="center"/>
              <w:textAlignment w:val="center"/>
              <w:rPr>
                <w:rFonts w:hint="default" w:eastAsia="宋体"/>
                <w:color w:val="000000" w:themeColor="text1"/>
                <w:kern w:val="0"/>
                <w:sz w:val="22"/>
                <w:szCs w:val="22"/>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4"/>
                <w:szCs w:val="24"/>
                <w:u w:val="none"/>
                <w:lang w:val="en-US" w:eastAsia="zh-CN" w:bidi="ar"/>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pPr>
              <w:jc w:val="center"/>
              <w:rPr>
                <w:color w:val="000000" w:themeColor="text1"/>
                <w:kern w:val="0"/>
                <w:sz w:val="22"/>
                <w:szCs w:val="22"/>
                <w:highlight w:val="none"/>
                <w14:textFill>
                  <w14:solidFill>
                    <w14:schemeClr w14:val="tx1"/>
                  </w14:solidFill>
                </w14:textFill>
              </w:rPr>
            </w:pPr>
          </w:p>
        </w:tc>
        <w:tc>
          <w:tcPr>
            <w:tcW w:w="750" w:type="dxa"/>
            <w:vMerge w:val="continue"/>
            <w:shd w:val="clear" w:color="auto" w:fill="FFFFFF"/>
            <w:vAlign w:val="center"/>
          </w:tcPr>
          <w:p>
            <w:pPr>
              <w:jc w:val="center"/>
              <w:rPr>
                <w:color w:val="000000" w:themeColor="text1"/>
                <w:kern w:val="0"/>
                <w:sz w:val="22"/>
                <w:szCs w:val="22"/>
                <w:highlight w:val="none"/>
                <w14:textFill>
                  <w14:solidFill>
                    <w14:schemeClr w14:val="tx1"/>
                  </w14:solidFill>
                </w14:textFill>
              </w:rPr>
            </w:pPr>
          </w:p>
        </w:tc>
        <w:tc>
          <w:tcPr>
            <w:tcW w:w="911" w:type="dxa"/>
            <w:vMerge w:val="continue"/>
            <w:shd w:val="clear" w:color="auto" w:fill="FFFFFF"/>
            <w:vAlign w:val="center"/>
          </w:tcPr>
          <w:p>
            <w:pPr>
              <w:jc w:val="center"/>
              <w:rPr>
                <w:color w:val="000000" w:themeColor="text1"/>
                <w:kern w:val="0"/>
                <w:sz w:val="22"/>
                <w:szCs w:val="22"/>
                <w:highlight w:val="none"/>
                <w14:textFill>
                  <w14:solidFill>
                    <w14:schemeClr w14:val="tx1"/>
                  </w14:solidFill>
                </w14:textFill>
              </w:rPr>
            </w:pPr>
          </w:p>
        </w:tc>
        <w:tc>
          <w:tcPr>
            <w:tcW w:w="5008" w:type="dxa"/>
            <w:shd w:val="clear" w:color="auto" w:fill="FFFFFF"/>
            <w:vAlign w:val="center"/>
          </w:tcPr>
          <w:p>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②社会效益：“有效提高我区地质灾害防治能力”完成该指标得满分（10分）否则不得分；             </w:t>
            </w:r>
          </w:p>
        </w:tc>
        <w:tc>
          <w:tcPr>
            <w:tcW w:w="1039" w:type="dxa"/>
            <w:vMerge w:val="continue"/>
            <w:shd w:val="clear" w:color="auto" w:fill="FFFFFF"/>
            <w:vAlign w:val="center"/>
          </w:tcPr>
          <w:p>
            <w:pPr>
              <w:jc w:val="center"/>
              <w:rPr>
                <w:rFonts w:hint="default" w:eastAsia="宋体"/>
                <w:color w:val="000000" w:themeColor="text1"/>
                <w:kern w:val="0"/>
                <w:sz w:val="22"/>
                <w:szCs w:val="22"/>
                <w:highlight w:val="none"/>
                <w:lang w:val="en-US" w:eastAsia="zh-CN"/>
                <w14:textFill>
                  <w14:solidFill>
                    <w14:schemeClr w14:val="tx1"/>
                  </w14:solidFill>
                </w14:textFill>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pPr>
              <w:jc w:val="center"/>
              <w:rPr>
                <w:color w:val="000000" w:themeColor="text1"/>
                <w:kern w:val="0"/>
                <w:sz w:val="22"/>
                <w:szCs w:val="22"/>
                <w:highlight w:val="none"/>
                <w14:textFill>
                  <w14:solidFill>
                    <w14:schemeClr w14:val="tx1"/>
                  </w14:solidFill>
                </w14:textFill>
              </w:rPr>
            </w:pPr>
          </w:p>
        </w:tc>
        <w:tc>
          <w:tcPr>
            <w:tcW w:w="750" w:type="dxa"/>
            <w:vMerge w:val="continue"/>
            <w:shd w:val="clear" w:color="auto" w:fill="FFFFFF"/>
            <w:vAlign w:val="center"/>
          </w:tcPr>
          <w:p>
            <w:pPr>
              <w:jc w:val="center"/>
              <w:rPr>
                <w:color w:val="000000" w:themeColor="text1"/>
                <w:kern w:val="0"/>
                <w:sz w:val="22"/>
                <w:szCs w:val="22"/>
                <w:highlight w:val="none"/>
                <w14:textFill>
                  <w14:solidFill>
                    <w14:schemeClr w14:val="tx1"/>
                  </w14:solidFill>
                </w14:textFill>
              </w:rPr>
            </w:pPr>
          </w:p>
        </w:tc>
        <w:tc>
          <w:tcPr>
            <w:tcW w:w="911" w:type="dxa"/>
            <w:vMerge w:val="continue"/>
            <w:shd w:val="clear" w:color="auto" w:fill="FFFFFF"/>
            <w:vAlign w:val="center"/>
          </w:tcPr>
          <w:p>
            <w:pPr>
              <w:jc w:val="center"/>
              <w:rPr>
                <w:color w:val="000000" w:themeColor="text1"/>
                <w:kern w:val="0"/>
                <w:sz w:val="22"/>
                <w:szCs w:val="22"/>
                <w:highlight w:val="none"/>
                <w14:textFill>
                  <w14:solidFill>
                    <w14:schemeClr w14:val="tx1"/>
                  </w14:solidFill>
                </w14:textFill>
              </w:rPr>
            </w:pPr>
          </w:p>
        </w:tc>
        <w:tc>
          <w:tcPr>
            <w:tcW w:w="5008" w:type="dxa"/>
            <w:shd w:val="clear" w:color="auto" w:fill="FFFFFF"/>
            <w:vAlign w:val="center"/>
          </w:tcPr>
          <w:p>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③社会效益：“有效提升我区地下水资源监测能力”完成该指标得满分（10分）否则不得分；             </w:t>
            </w:r>
          </w:p>
        </w:tc>
        <w:tc>
          <w:tcPr>
            <w:tcW w:w="1039" w:type="dxa"/>
            <w:vMerge w:val="continue"/>
            <w:shd w:val="clear" w:color="auto" w:fill="FFFFFF"/>
            <w:vAlign w:val="center"/>
          </w:tcPr>
          <w:p>
            <w:pPr>
              <w:jc w:val="center"/>
              <w:rPr>
                <w:rFonts w:hint="default" w:eastAsia="宋体"/>
                <w:color w:val="000000" w:themeColor="text1"/>
                <w:kern w:val="0"/>
                <w:sz w:val="22"/>
                <w:szCs w:val="22"/>
                <w:highlight w:val="none"/>
                <w:lang w:val="en-US" w:eastAsia="zh-CN"/>
                <w14:textFill>
                  <w14:solidFill>
                    <w14:schemeClr w14:val="tx1"/>
                  </w14:solidFill>
                </w14:textFill>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pPr>
              <w:jc w:val="center"/>
              <w:rPr>
                <w:color w:val="000000" w:themeColor="text1"/>
                <w:kern w:val="0"/>
                <w:sz w:val="22"/>
                <w:szCs w:val="22"/>
                <w:highlight w:val="none"/>
                <w14:textFill>
                  <w14:solidFill>
                    <w14:schemeClr w14:val="tx1"/>
                  </w14:solidFill>
                </w14:textFill>
              </w:rPr>
            </w:pPr>
          </w:p>
        </w:tc>
        <w:tc>
          <w:tcPr>
            <w:tcW w:w="750" w:type="dxa"/>
            <w:vMerge w:val="continue"/>
            <w:shd w:val="clear" w:color="auto" w:fill="FFFFFF"/>
            <w:vAlign w:val="center"/>
          </w:tcPr>
          <w:p>
            <w:pPr>
              <w:jc w:val="center"/>
              <w:rPr>
                <w:color w:val="000000" w:themeColor="text1"/>
                <w:kern w:val="0"/>
                <w:sz w:val="22"/>
                <w:szCs w:val="22"/>
                <w:highlight w:val="none"/>
                <w14:textFill>
                  <w14:solidFill>
                    <w14:schemeClr w14:val="tx1"/>
                  </w14:solidFill>
                </w14:textFill>
              </w:rPr>
            </w:pPr>
          </w:p>
        </w:tc>
        <w:tc>
          <w:tcPr>
            <w:tcW w:w="911" w:type="dxa"/>
            <w:vMerge w:val="continue"/>
            <w:shd w:val="clear" w:color="auto" w:fill="FFFFFF"/>
            <w:vAlign w:val="center"/>
          </w:tcPr>
          <w:p>
            <w:pPr>
              <w:jc w:val="center"/>
            </w:pPr>
          </w:p>
        </w:tc>
        <w:tc>
          <w:tcPr>
            <w:tcW w:w="5008" w:type="dxa"/>
            <w:shd w:val="clear" w:color="auto" w:fill="FFFFFF"/>
            <w:vAlign w:val="center"/>
          </w:tcPr>
          <w:p>
            <w:pPr>
              <w:keepNext w:val="0"/>
              <w:keepLines w:val="0"/>
              <w:widowControl/>
              <w:suppressLineNumbers w:val="0"/>
              <w:jc w:val="both"/>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④</w:t>
            </w:r>
            <w:r>
              <w:rPr>
                <w:rFonts w:hint="eastAsia" w:ascii="方正仿宋_GBK" w:hAnsi="方正仿宋_GBK" w:eastAsia="方正仿宋_GBK" w:cs="方正仿宋_GBK"/>
                <w:i w:val="0"/>
                <w:iCs w:val="0"/>
                <w:color w:val="000000"/>
                <w:kern w:val="0"/>
                <w:sz w:val="24"/>
                <w:szCs w:val="24"/>
                <w:u w:val="none"/>
                <w:lang w:val="en-US" w:eastAsia="zh-CN" w:bidi="ar"/>
              </w:rPr>
              <w:t xml:space="preserve">生态效益：无                                                 </w:t>
            </w:r>
          </w:p>
        </w:tc>
        <w:tc>
          <w:tcPr>
            <w:tcW w:w="1039" w:type="dxa"/>
            <w:vMerge w:val="continue"/>
            <w:shd w:val="clear" w:color="auto" w:fill="FFFFFF"/>
            <w:vAlign w:val="center"/>
          </w:tcPr>
          <w:p>
            <w:pPr>
              <w:jc w:val="center"/>
              <w:rPr>
                <w:rFonts w:hint="default" w:eastAsia="宋体"/>
                <w:color w:val="000000" w:themeColor="text1"/>
                <w:kern w:val="0"/>
                <w:sz w:val="22"/>
                <w:szCs w:val="22"/>
                <w:highlight w:val="none"/>
                <w:lang w:val="en-US" w:eastAsia="zh-CN"/>
                <w14:textFill>
                  <w14:solidFill>
                    <w14:schemeClr w14:val="tx1"/>
                  </w14:solidFill>
                </w14:textFill>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pPr>
              <w:jc w:val="center"/>
              <w:rPr>
                <w:color w:val="000000" w:themeColor="text1"/>
                <w:kern w:val="0"/>
                <w:sz w:val="22"/>
                <w:szCs w:val="22"/>
                <w:highlight w:val="none"/>
                <w14:textFill>
                  <w14:solidFill>
                    <w14:schemeClr w14:val="tx1"/>
                  </w14:solidFill>
                </w14:textFill>
              </w:rPr>
            </w:pPr>
          </w:p>
        </w:tc>
        <w:tc>
          <w:tcPr>
            <w:tcW w:w="750" w:type="dxa"/>
            <w:vMerge w:val="continue"/>
            <w:shd w:val="clear" w:color="auto" w:fill="FFFFFF"/>
            <w:vAlign w:val="center"/>
          </w:tcPr>
          <w:p>
            <w:pPr>
              <w:jc w:val="center"/>
              <w:rPr>
                <w:color w:val="000000" w:themeColor="text1"/>
                <w:kern w:val="0"/>
                <w:sz w:val="22"/>
                <w:szCs w:val="22"/>
                <w:highlight w:val="none"/>
                <w14:textFill>
                  <w14:solidFill>
                    <w14:schemeClr w14:val="tx1"/>
                  </w14:solidFill>
                </w14:textFill>
              </w:rPr>
            </w:pPr>
          </w:p>
        </w:tc>
        <w:tc>
          <w:tcPr>
            <w:tcW w:w="911" w:type="dxa"/>
            <w:vMerge w:val="continue"/>
            <w:shd w:val="clear" w:color="auto" w:fill="FFFFFF"/>
            <w:vAlign w:val="center"/>
          </w:tcPr>
          <w:p>
            <w:pPr>
              <w:jc w:val="center"/>
            </w:pPr>
          </w:p>
        </w:tc>
        <w:tc>
          <w:tcPr>
            <w:tcW w:w="5008" w:type="dxa"/>
            <w:shd w:val="clear" w:color="auto" w:fill="FFFFFF"/>
            <w:vAlign w:val="center"/>
          </w:tcPr>
          <w:p>
            <w:pPr>
              <w:keepNext w:val="0"/>
              <w:keepLines w:val="0"/>
              <w:widowControl/>
              <w:suppressLineNumbers w:val="0"/>
              <w:jc w:val="both"/>
              <w:textAlignment w:val="center"/>
              <w:rPr>
                <w:rStyle w:val="56"/>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⑤</w:t>
            </w:r>
            <w:r>
              <w:rPr>
                <w:rFonts w:hint="eastAsia" w:ascii="方正仿宋_GBK" w:hAnsi="方正仿宋_GBK" w:eastAsia="方正仿宋_GBK" w:cs="方正仿宋_GBK"/>
                <w:i w:val="0"/>
                <w:iCs w:val="0"/>
                <w:color w:val="000000"/>
                <w:kern w:val="0"/>
                <w:sz w:val="24"/>
                <w:szCs w:val="24"/>
                <w:u w:val="none"/>
                <w:lang w:val="en-US" w:eastAsia="zh-CN" w:bidi="ar"/>
              </w:rPr>
              <w:t>可持续影响：无</w:t>
            </w:r>
          </w:p>
        </w:tc>
        <w:tc>
          <w:tcPr>
            <w:tcW w:w="1039" w:type="dxa"/>
            <w:vMerge w:val="continue"/>
            <w:shd w:val="clear" w:color="auto" w:fill="FFFFFF"/>
            <w:vAlign w:val="center"/>
          </w:tcPr>
          <w:p>
            <w:pPr>
              <w:jc w:val="center"/>
              <w:rPr>
                <w:rFonts w:hint="default" w:eastAsia="宋体"/>
                <w:color w:val="000000" w:themeColor="text1"/>
                <w:kern w:val="0"/>
                <w:sz w:val="22"/>
                <w:szCs w:val="22"/>
                <w:highlight w:val="none"/>
                <w:lang w:val="en-US" w:eastAsia="zh-CN"/>
                <w14:textFill>
                  <w14:solidFill>
                    <w14:schemeClr w14:val="tx1"/>
                  </w14:solidFill>
                </w14:textFill>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shd w:val="clear" w:color="auto" w:fill="FFFFFF"/>
            <w:vAlign w:val="center"/>
          </w:tcPr>
          <w:p>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合计</w:t>
            </w:r>
          </w:p>
        </w:tc>
        <w:tc>
          <w:tcPr>
            <w:tcW w:w="1661" w:type="dxa"/>
            <w:gridSpan w:val="2"/>
            <w:shd w:val="clear" w:color="auto" w:fill="FFFFFF"/>
            <w:vAlign w:val="center"/>
          </w:tcPr>
          <w:p>
            <w:pPr>
              <w:keepNext w:val="0"/>
              <w:keepLines w:val="0"/>
              <w:widowControl/>
              <w:suppressLineNumbers w:val="0"/>
              <w:jc w:val="center"/>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100分</w:t>
            </w:r>
          </w:p>
        </w:tc>
        <w:tc>
          <w:tcPr>
            <w:tcW w:w="5008" w:type="dxa"/>
            <w:shd w:val="clear" w:color="auto" w:fill="FFFFFF"/>
            <w:vAlign w:val="center"/>
          </w:tcPr>
          <w:p>
            <w:pPr>
              <w:jc w:val="center"/>
              <w:rPr>
                <w:rStyle w:val="56"/>
                <w:lang w:val="en-US" w:eastAsia="zh-CN" w:bidi="ar"/>
              </w:rPr>
            </w:pPr>
          </w:p>
        </w:tc>
        <w:tc>
          <w:tcPr>
            <w:tcW w:w="1039" w:type="dxa"/>
            <w:shd w:val="clear" w:color="auto" w:fill="FFFFFF"/>
            <w:vAlign w:val="center"/>
          </w:tcPr>
          <w:p>
            <w:pPr>
              <w:keepNext w:val="0"/>
              <w:keepLines w:val="0"/>
              <w:widowControl/>
              <w:suppressLineNumbers w:val="0"/>
              <w:jc w:val="center"/>
              <w:textAlignment w:val="center"/>
              <w:rPr>
                <w:rFonts w:hint="default" w:eastAsia="宋体"/>
                <w:color w:val="000000" w:themeColor="text1"/>
                <w:kern w:val="0"/>
                <w:sz w:val="22"/>
                <w:szCs w:val="22"/>
                <w:highlight w:val="none"/>
                <w:lang w:val="en-US" w:eastAsia="zh-CN"/>
                <w14:textFill>
                  <w14:solidFill>
                    <w14:schemeClr w14:val="tx1"/>
                  </w14:solidFill>
                </w14:textFill>
              </w:rPr>
            </w:pPr>
            <w:r>
              <w:rPr>
                <w:rFonts w:hint="eastAsia" w:ascii="宋体" w:hAnsi="宋体" w:cs="宋体"/>
                <w:i w:val="0"/>
                <w:iCs w:val="0"/>
                <w:color w:val="000000"/>
                <w:kern w:val="0"/>
                <w:sz w:val="22"/>
                <w:szCs w:val="22"/>
                <w:u w:val="none"/>
                <w:lang w:val="en-US" w:eastAsia="zh-CN" w:bidi="ar"/>
              </w:rPr>
              <w:t>93.74</w:t>
            </w:r>
          </w:p>
        </w:tc>
      </w:tr>
    </w:tbl>
    <w:p>
      <w:pPr>
        <w:keepNext w:val="0"/>
        <w:keepLines w:val="0"/>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b w:val="0"/>
          <w:bCs w:val="0"/>
          <w:sz w:val="28"/>
          <w:szCs w:val="28"/>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仿宋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小标宋">
    <w:altName w:val="微软雅黑"/>
    <w:panose1 w:val="03000509000000000000"/>
    <w:charset w:val="86"/>
    <w:family w:val="auto"/>
    <w:pitch w:val="default"/>
    <w:sig w:usb0="00000000" w:usb1="00000000" w:usb2="00000000" w:usb3="00000000" w:csb0="00040000" w:csb1="00000000"/>
  </w:font>
  <w:font w:name="方正黑体_GBK">
    <w:altName w:val="微软雅黑"/>
    <w:panose1 w:val="03000509000000000000"/>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4"/>
          <w:jc w:val="center"/>
        </w:pPr>
        <w:r>
          <w:fldChar w:fldCharType="begin"/>
        </w:r>
        <w:r>
          <w:instrText xml:space="preserve">PAGE   \* MERGEFORMAT</w:instrText>
        </w:r>
        <w:r>
          <w:fldChar w:fldCharType="separate"/>
        </w:r>
        <w:r>
          <w:rPr>
            <w:lang w:val="zh-CN"/>
          </w:rPr>
          <w:t>1</w:t>
        </w:r>
        <w:r>
          <w:fldChar w:fldCharType="end"/>
        </w:r>
      </w:p>
    </w:sdtContent>
  </w:sdt>
  <w:p>
    <w:pPr>
      <w:pStyle w:val="1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47EF152B"/>
    <w:multiLevelType w:val="singleLevel"/>
    <w:tmpl w:val="47EF152B"/>
    <w:lvl w:ilvl="0" w:tentative="0">
      <w:start w:val="1"/>
      <w:numFmt w:val="decimal"/>
      <w:suff w:val="nothing"/>
      <w:lvlText w:val="（%1）"/>
      <w:lvlJc w:val="left"/>
      <w:pPr>
        <w:ind w:left="562"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E3ZWM3YjhkYjM5NjU1YzgyNWNjOTJiODZhOTYxNDM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153741C"/>
    <w:rsid w:val="02D33AEB"/>
    <w:rsid w:val="03CE7CF1"/>
    <w:rsid w:val="051A6F66"/>
    <w:rsid w:val="06680BF7"/>
    <w:rsid w:val="07E21FBD"/>
    <w:rsid w:val="09463D77"/>
    <w:rsid w:val="094C6A76"/>
    <w:rsid w:val="0A070E2C"/>
    <w:rsid w:val="0AA27E70"/>
    <w:rsid w:val="0AA417AC"/>
    <w:rsid w:val="0C0A1AE2"/>
    <w:rsid w:val="0CFE46DD"/>
    <w:rsid w:val="13EB044B"/>
    <w:rsid w:val="142851FC"/>
    <w:rsid w:val="14B472A5"/>
    <w:rsid w:val="14D119F3"/>
    <w:rsid w:val="18BA49DA"/>
    <w:rsid w:val="19836A30"/>
    <w:rsid w:val="1ABB2C07"/>
    <w:rsid w:val="1FA0557D"/>
    <w:rsid w:val="20EF38A1"/>
    <w:rsid w:val="229A49B5"/>
    <w:rsid w:val="22CB7BA2"/>
    <w:rsid w:val="23ED4D6B"/>
    <w:rsid w:val="254774AC"/>
    <w:rsid w:val="269B3D60"/>
    <w:rsid w:val="27532288"/>
    <w:rsid w:val="283C0E1E"/>
    <w:rsid w:val="28920A3E"/>
    <w:rsid w:val="2A905451"/>
    <w:rsid w:val="2AE11386"/>
    <w:rsid w:val="2BA411B4"/>
    <w:rsid w:val="2C9254B0"/>
    <w:rsid w:val="2CBA67B5"/>
    <w:rsid w:val="2D4C6AD2"/>
    <w:rsid w:val="2D5A6638"/>
    <w:rsid w:val="310717AB"/>
    <w:rsid w:val="311F41E9"/>
    <w:rsid w:val="326A2A2B"/>
    <w:rsid w:val="33D13BC9"/>
    <w:rsid w:val="340D5924"/>
    <w:rsid w:val="342310E4"/>
    <w:rsid w:val="34733E19"/>
    <w:rsid w:val="362A1178"/>
    <w:rsid w:val="363500AF"/>
    <w:rsid w:val="363D33E6"/>
    <w:rsid w:val="379C6587"/>
    <w:rsid w:val="37F279C1"/>
    <w:rsid w:val="39284085"/>
    <w:rsid w:val="39F03B45"/>
    <w:rsid w:val="39F257E0"/>
    <w:rsid w:val="3A331B0D"/>
    <w:rsid w:val="3CCC056A"/>
    <w:rsid w:val="3CF655E7"/>
    <w:rsid w:val="3ED96F6F"/>
    <w:rsid w:val="41274A94"/>
    <w:rsid w:val="4136526A"/>
    <w:rsid w:val="41782A6F"/>
    <w:rsid w:val="43B04001"/>
    <w:rsid w:val="44202BA2"/>
    <w:rsid w:val="45687296"/>
    <w:rsid w:val="46001285"/>
    <w:rsid w:val="4609551D"/>
    <w:rsid w:val="472278DA"/>
    <w:rsid w:val="47D57668"/>
    <w:rsid w:val="485F5097"/>
    <w:rsid w:val="48667AA9"/>
    <w:rsid w:val="48E46C3C"/>
    <w:rsid w:val="4A82670C"/>
    <w:rsid w:val="4ABE0489"/>
    <w:rsid w:val="4B06733D"/>
    <w:rsid w:val="4D2606A1"/>
    <w:rsid w:val="4DAD1CF2"/>
    <w:rsid w:val="4DD42C22"/>
    <w:rsid w:val="4E134A35"/>
    <w:rsid w:val="4E345F70"/>
    <w:rsid w:val="4E3D7D7E"/>
    <w:rsid w:val="4EE86A4B"/>
    <w:rsid w:val="4FFC0D0F"/>
    <w:rsid w:val="500E2086"/>
    <w:rsid w:val="505C542A"/>
    <w:rsid w:val="50796DE0"/>
    <w:rsid w:val="51556929"/>
    <w:rsid w:val="52EB5081"/>
    <w:rsid w:val="54947FF9"/>
    <w:rsid w:val="550409D4"/>
    <w:rsid w:val="56D227CA"/>
    <w:rsid w:val="56F72230"/>
    <w:rsid w:val="5A1D242F"/>
    <w:rsid w:val="5AA359D0"/>
    <w:rsid w:val="5C875E04"/>
    <w:rsid w:val="5CF27722"/>
    <w:rsid w:val="5DA70C36"/>
    <w:rsid w:val="5DD53C6C"/>
    <w:rsid w:val="5F483D13"/>
    <w:rsid w:val="60E667C9"/>
    <w:rsid w:val="6103059A"/>
    <w:rsid w:val="61B37F3E"/>
    <w:rsid w:val="61CC5C25"/>
    <w:rsid w:val="63B320EE"/>
    <w:rsid w:val="64DD2A65"/>
    <w:rsid w:val="660237E8"/>
    <w:rsid w:val="676E7ECB"/>
    <w:rsid w:val="67FD1DAB"/>
    <w:rsid w:val="681744E0"/>
    <w:rsid w:val="6903530E"/>
    <w:rsid w:val="6AF723A7"/>
    <w:rsid w:val="6C5C1109"/>
    <w:rsid w:val="6D477761"/>
    <w:rsid w:val="6E7C7749"/>
    <w:rsid w:val="6FA01084"/>
    <w:rsid w:val="70E64A50"/>
    <w:rsid w:val="716B6B6A"/>
    <w:rsid w:val="72845F62"/>
    <w:rsid w:val="730D09BA"/>
    <w:rsid w:val="756B57AF"/>
    <w:rsid w:val="767F4ACF"/>
    <w:rsid w:val="784C3649"/>
    <w:rsid w:val="78FC21E8"/>
    <w:rsid w:val="7A083D0E"/>
    <w:rsid w:val="7A4A6204"/>
    <w:rsid w:val="7B5F1FCE"/>
    <w:rsid w:val="7B720293"/>
    <w:rsid w:val="7C7B6554"/>
    <w:rsid w:val="7CC876FF"/>
    <w:rsid w:val="7D6438CC"/>
    <w:rsid w:val="7DD24CD9"/>
    <w:rsid w:val="7E9F0934"/>
    <w:rsid w:val="7EF42A2E"/>
    <w:rsid w:val="7EFC26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4"/>
    <w:autoRedefine/>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3"/>
    <w:autoRedefine/>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5"/>
    <w:autoRedefine/>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6"/>
    <w:autoRedefine/>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7"/>
    <w:autoRedefine/>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8"/>
    <w:autoRedefine/>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9"/>
    <w:autoRedefine/>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30"/>
    <w:autoRedefine/>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31"/>
    <w:autoRedefine/>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0">
    <w:name w:val="Default Paragraph Font"/>
    <w:autoRedefine/>
    <w:semiHidden/>
    <w:unhideWhenUsed/>
    <w:qFormat/>
    <w:uiPriority w:val="1"/>
  </w:style>
  <w:style w:type="table" w:default="1" w:styleId="19">
    <w:name w:val="Normal Table"/>
    <w:autoRedefine/>
    <w:semiHidden/>
    <w:unhideWhenUsed/>
    <w:qFormat/>
    <w:uiPriority w:val="99"/>
    <w:tblPr>
      <w:tblCellMar>
        <w:top w:w="0" w:type="dxa"/>
        <w:left w:w="108" w:type="dxa"/>
        <w:bottom w:w="0" w:type="dxa"/>
        <w:right w:w="108" w:type="dxa"/>
      </w:tblCellMar>
    </w:tblPr>
  </w:style>
  <w:style w:type="paragraph" w:styleId="11">
    <w:name w:val="annotation text"/>
    <w:basedOn w:val="1"/>
    <w:autoRedefine/>
    <w:unhideWhenUsed/>
    <w:qFormat/>
    <w:uiPriority w:val="99"/>
    <w:rPr>
      <w:rFonts w:cs="Times New Roman"/>
      <w:kern w:val="0"/>
      <w:sz w:val="20"/>
      <w:szCs w:val="20"/>
    </w:rPr>
  </w:style>
  <w:style w:type="paragraph" w:styleId="12">
    <w:name w:val="Plain Text"/>
    <w:basedOn w:val="1"/>
    <w:autoRedefine/>
    <w:qFormat/>
    <w:uiPriority w:val="0"/>
    <w:pPr>
      <w:adjustRightInd/>
      <w:snapToGrid/>
      <w:spacing w:afterLines="0"/>
      <w:ind w:firstLine="0" w:firstLineChars="0"/>
    </w:pPr>
    <w:rPr>
      <w:rFonts w:hAnsi="Courier New"/>
      <w:sz w:val="21"/>
      <w:szCs w:val="20"/>
    </w:rPr>
  </w:style>
  <w:style w:type="paragraph" w:styleId="13">
    <w:name w:val="Balloon Text"/>
    <w:basedOn w:val="1"/>
    <w:link w:val="48"/>
    <w:autoRedefine/>
    <w:semiHidden/>
    <w:unhideWhenUsed/>
    <w:qFormat/>
    <w:uiPriority w:val="99"/>
    <w:rPr>
      <w:sz w:val="18"/>
      <w:szCs w:val="18"/>
    </w:rPr>
  </w:style>
  <w:style w:type="paragraph" w:styleId="14">
    <w:name w:val="footer"/>
    <w:basedOn w:val="1"/>
    <w:link w:val="47"/>
    <w:autoRedefine/>
    <w:unhideWhenUsed/>
    <w:qFormat/>
    <w:uiPriority w:val="99"/>
    <w:pPr>
      <w:tabs>
        <w:tab w:val="center" w:pos="4153"/>
        <w:tab w:val="right" w:pos="8306"/>
      </w:tabs>
      <w:snapToGrid w:val="0"/>
      <w:jc w:val="left"/>
    </w:pPr>
    <w:rPr>
      <w:rFonts w:ascii="Calibri" w:hAnsi="Calibri"/>
      <w:sz w:val="18"/>
      <w:szCs w:val="18"/>
    </w:rPr>
  </w:style>
  <w:style w:type="paragraph" w:styleId="15">
    <w:name w:val="header"/>
    <w:basedOn w:val="1"/>
    <w:link w:val="46"/>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6">
    <w:name w:val="Subtitle"/>
    <w:basedOn w:val="1"/>
    <w:next w:val="1"/>
    <w:link w:val="33"/>
    <w:autoRedefine/>
    <w:qFormat/>
    <w:uiPriority w:val="11"/>
    <w:pPr>
      <w:widowControl/>
      <w:spacing w:after="60"/>
      <w:jc w:val="center"/>
      <w:outlineLvl w:val="1"/>
    </w:pPr>
    <w:rPr>
      <w:rFonts w:asciiTheme="majorHAnsi" w:hAnsiTheme="majorHAnsi" w:eastAsiaTheme="majorEastAsia"/>
      <w:kern w:val="0"/>
      <w:sz w:val="24"/>
    </w:rPr>
  </w:style>
  <w:style w:type="paragraph" w:styleId="17">
    <w:name w:val="Normal (Web)"/>
    <w:basedOn w:val="1"/>
    <w:autoRedefine/>
    <w:unhideWhenUsed/>
    <w:qFormat/>
    <w:uiPriority w:val="0"/>
    <w:pPr>
      <w:widowControl/>
      <w:spacing w:before="100" w:beforeAutospacing="1" w:after="100" w:afterAutospacing="1"/>
      <w:jc w:val="left"/>
    </w:pPr>
    <w:rPr>
      <w:rFonts w:ascii="宋体" w:hAnsi="宋体" w:cs="宋体"/>
      <w:kern w:val="0"/>
      <w:sz w:val="24"/>
    </w:rPr>
  </w:style>
  <w:style w:type="paragraph" w:styleId="18">
    <w:name w:val="Title"/>
    <w:basedOn w:val="1"/>
    <w:next w:val="1"/>
    <w:link w:val="32"/>
    <w:autoRedefine/>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21">
    <w:name w:val="Strong"/>
    <w:basedOn w:val="20"/>
    <w:autoRedefine/>
    <w:qFormat/>
    <w:uiPriority w:val="0"/>
    <w:rPr>
      <w:b/>
      <w:bCs/>
    </w:rPr>
  </w:style>
  <w:style w:type="character" w:styleId="22">
    <w:name w:val="Emphasis"/>
    <w:basedOn w:val="20"/>
    <w:autoRedefine/>
    <w:qFormat/>
    <w:uiPriority w:val="20"/>
    <w:rPr>
      <w:rFonts w:asciiTheme="minorHAnsi" w:hAnsiTheme="minorHAnsi"/>
      <w:b/>
      <w:i/>
      <w:iCs/>
    </w:rPr>
  </w:style>
  <w:style w:type="character" w:customStyle="1" w:styleId="23">
    <w:name w:val="标题 2 字符"/>
    <w:basedOn w:val="20"/>
    <w:link w:val="3"/>
    <w:autoRedefine/>
    <w:semiHidden/>
    <w:qFormat/>
    <w:uiPriority w:val="9"/>
    <w:rPr>
      <w:rFonts w:asciiTheme="majorHAnsi" w:hAnsiTheme="majorHAnsi" w:eastAsiaTheme="majorEastAsia"/>
      <w:b/>
      <w:bCs/>
      <w:i/>
      <w:iCs/>
      <w:sz w:val="28"/>
      <w:szCs w:val="28"/>
    </w:rPr>
  </w:style>
  <w:style w:type="character" w:customStyle="1" w:styleId="24">
    <w:name w:val="标题 1 字符"/>
    <w:basedOn w:val="20"/>
    <w:link w:val="2"/>
    <w:autoRedefine/>
    <w:qFormat/>
    <w:uiPriority w:val="9"/>
    <w:rPr>
      <w:rFonts w:asciiTheme="majorHAnsi" w:hAnsiTheme="majorHAnsi" w:eastAsiaTheme="majorEastAsia"/>
      <w:b/>
      <w:bCs/>
      <w:kern w:val="32"/>
      <w:sz w:val="32"/>
      <w:szCs w:val="32"/>
    </w:rPr>
  </w:style>
  <w:style w:type="character" w:customStyle="1" w:styleId="25">
    <w:name w:val="标题 3 字符"/>
    <w:basedOn w:val="20"/>
    <w:link w:val="4"/>
    <w:autoRedefine/>
    <w:semiHidden/>
    <w:qFormat/>
    <w:uiPriority w:val="9"/>
    <w:rPr>
      <w:rFonts w:asciiTheme="majorHAnsi" w:hAnsiTheme="majorHAnsi" w:eastAsiaTheme="majorEastAsia"/>
      <w:b/>
      <w:bCs/>
      <w:sz w:val="26"/>
      <w:szCs w:val="26"/>
    </w:rPr>
  </w:style>
  <w:style w:type="character" w:customStyle="1" w:styleId="26">
    <w:name w:val="标题 4 字符"/>
    <w:basedOn w:val="20"/>
    <w:link w:val="5"/>
    <w:autoRedefine/>
    <w:qFormat/>
    <w:uiPriority w:val="9"/>
    <w:rPr>
      <w:b/>
      <w:bCs/>
      <w:sz w:val="28"/>
      <w:szCs w:val="28"/>
    </w:rPr>
  </w:style>
  <w:style w:type="character" w:customStyle="1" w:styleId="27">
    <w:name w:val="标题 5 字符"/>
    <w:basedOn w:val="20"/>
    <w:link w:val="6"/>
    <w:autoRedefine/>
    <w:semiHidden/>
    <w:qFormat/>
    <w:uiPriority w:val="9"/>
    <w:rPr>
      <w:b/>
      <w:bCs/>
      <w:i/>
      <w:iCs/>
      <w:sz w:val="26"/>
      <w:szCs w:val="26"/>
    </w:rPr>
  </w:style>
  <w:style w:type="character" w:customStyle="1" w:styleId="28">
    <w:name w:val="标题 6 字符"/>
    <w:basedOn w:val="20"/>
    <w:link w:val="7"/>
    <w:autoRedefine/>
    <w:semiHidden/>
    <w:qFormat/>
    <w:uiPriority w:val="9"/>
    <w:rPr>
      <w:b/>
      <w:bCs/>
    </w:rPr>
  </w:style>
  <w:style w:type="character" w:customStyle="1" w:styleId="29">
    <w:name w:val="标题 7 字符"/>
    <w:basedOn w:val="20"/>
    <w:link w:val="8"/>
    <w:autoRedefine/>
    <w:semiHidden/>
    <w:qFormat/>
    <w:uiPriority w:val="9"/>
    <w:rPr>
      <w:sz w:val="24"/>
      <w:szCs w:val="24"/>
    </w:rPr>
  </w:style>
  <w:style w:type="character" w:customStyle="1" w:styleId="30">
    <w:name w:val="标题 8 字符"/>
    <w:basedOn w:val="20"/>
    <w:link w:val="9"/>
    <w:autoRedefine/>
    <w:semiHidden/>
    <w:qFormat/>
    <w:uiPriority w:val="9"/>
    <w:rPr>
      <w:i/>
      <w:iCs/>
      <w:sz w:val="24"/>
      <w:szCs w:val="24"/>
    </w:rPr>
  </w:style>
  <w:style w:type="character" w:customStyle="1" w:styleId="31">
    <w:name w:val="标题 9 字符"/>
    <w:basedOn w:val="20"/>
    <w:link w:val="10"/>
    <w:autoRedefine/>
    <w:semiHidden/>
    <w:qFormat/>
    <w:uiPriority w:val="9"/>
    <w:rPr>
      <w:rFonts w:asciiTheme="majorHAnsi" w:hAnsiTheme="majorHAnsi" w:eastAsiaTheme="majorEastAsia"/>
    </w:rPr>
  </w:style>
  <w:style w:type="character" w:customStyle="1" w:styleId="32">
    <w:name w:val="标题 字符"/>
    <w:basedOn w:val="20"/>
    <w:link w:val="18"/>
    <w:autoRedefine/>
    <w:qFormat/>
    <w:uiPriority w:val="10"/>
    <w:rPr>
      <w:rFonts w:asciiTheme="majorHAnsi" w:hAnsiTheme="majorHAnsi" w:eastAsiaTheme="majorEastAsia"/>
      <w:b/>
      <w:bCs/>
      <w:kern w:val="28"/>
      <w:sz w:val="32"/>
      <w:szCs w:val="32"/>
    </w:rPr>
  </w:style>
  <w:style w:type="character" w:customStyle="1" w:styleId="33">
    <w:name w:val="副标题 字符"/>
    <w:basedOn w:val="20"/>
    <w:link w:val="16"/>
    <w:autoRedefine/>
    <w:qFormat/>
    <w:uiPriority w:val="11"/>
    <w:rPr>
      <w:rFonts w:asciiTheme="majorHAnsi" w:hAnsiTheme="majorHAnsi" w:eastAsiaTheme="majorEastAsia"/>
      <w:sz w:val="24"/>
      <w:szCs w:val="24"/>
    </w:rPr>
  </w:style>
  <w:style w:type="paragraph" w:styleId="34">
    <w:name w:val="No Spacing"/>
    <w:basedOn w:val="1"/>
    <w:autoRedefine/>
    <w:qFormat/>
    <w:uiPriority w:val="1"/>
    <w:pPr>
      <w:widowControl/>
      <w:jc w:val="left"/>
    </w:pPr>
    <w:rPr>
      <w:rFonts w:asciiTheme="minorHAnsi" w:hAnsiTheme="minorHAnsi" w:eastAsiaTheme="minorEastAsia"/>
      <w:kern w:val="0"/>
      <w:sz w:val="24"/>
      <w:szCs w:val="32"/>
      <w:lang w:eastAsia="en-US" w:bidi="en-US"/>
    </w:rPr>
  </w:style>
  <w:style w:type="paragraph" w:styleId="35">
    <w:name w:val="List Paragraph"/>
    <w:basedOn w:val="1"/>
    <w:autoRedefine/>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6">
    <w:name w:val="Quote"/>
    <w:basedOn w:val="1"/>
    <w:next w:val="1"/>
    <w:link w:val="37"/>
    <w:autoRedefine/>
    <w:qFormat/>
    <w:uiPriority w:val="29"/>
    <w:pPr>
      <w:widowControl/>
      <w:jc w:val="left"/>
    </w:pPr>
    <w:rPr>
      <w:rFonts w:asciiTheme="minorHAnsi" w:hAnsiTheme="minorHAnsi" w:eastAsiaTheme="minorEastAsia"/>
      <w:i/>
      <w:kern w:val="0"/>
      <w:sz w:val="24"/>
    </w:rPr>
  </w:style>
  <w:style w:type="character" w:customStyle="1" w:styleId="37">
    <w:name w:val="引用 字符"/>
    <w:basedOn w:val="20"/>
    <w:link w:val="36"/>
    <w:autoRedefine/>
    <w:qFormat/>
    <w:uiPriority w:val="29"/>
    <w:rPr>
      <w:i/>
      <w:sz w:val="24"/>
      <w:szCs w:val="24"/>
    </w:rPr>
  </w:style>
  <w:style w:type="paragraph" w:styleId="38">
    <w:name w:val="Intense Quote"/>
    <w:basedOn w:val="1"/>
    <w:next w:val="1"/>
    <w:link w:val="39"/>
    <w:autoRedefine/>
    <w:qFormat/>
    <w:uiPriority w:val="30"/>
    <w:pPr>
      <w:widowControl/>
      <w:ind w:left="720" w:right="720"/>
      <w:jc w:val="left"/>
    </w:pPr>
    <w:rPr>
      <w:rFonts w:asciiTheme="minorHAnsi" w:hAnsiTheme="minorHAnsi" w:eastAsiaTheme="minorEastAsia"/>
      <w:b/>
      <w:i/>
      <w:kern w:val="0"/>
      <w:sz w:val="24"/>
      <w:szCs w:val="22"/>
    </w:rPr>
  </w:style>
  <w:style w:type="character" w:customStyle="1" w:styleId="39">
    <w:name w:val="明显引用 字符"/>
    <w:basedOn w:val="20"/>
    <w:link w:val="38"/>
    <w:autoRedefine/>
    <w:qFormat/>
    <w:uiPriority w:val="30"/>
    <w:rPr>
      <w:b/>
      <w:i/>
      <w:sz w:val="24"/>
    </w:rPr>
  </w:style>
  <w:style w:type="character" w:customStyle="1" w:styleId="40">
    <w:name w:val="不明显强调1"/>
    <w:autoRedefine/>
    <w:qFormat/>
    <w:uiPriority w:val="19"/>
    <w:rPr>
      <w:i/>
      <w:color w:val="595959" w:themeColor="text1" w:themeTint="A6"/>
      <w14:textFill>
        <w14:solidFill>
          <w14:schemeClr w14:val="tx1">
            <w14:lumMod w14:val="65000"/>
            <w14:lumOff w14:val="35000"/>
          </w14:schemeClr>
        </w14:solidFill>
      </w14:textFill>
    </w:rPr>
  </w:style>
  <w:style w:type="character" w:customStyle="1" w:styleId="41">
    <w:name w:val="明显强调1"/>
    <w:basedOn w:val="20"/>
    <w:autoRedefine/>
    <w:qFormat/>
    <w:uiPriority w:val="21"/>
    <w:rPr>
      <w:b/>
      <w:i/>
      <w:sz w:val="24"/>
      <w:szCs w:val="24"/>
      <w:u w:val="single"/>
    </w:rPr>
  </w:style>
  <w:style w:type="character" w:customStyle="1" w:styleId="42">
    <w:name w:val="不明显参考1"/>
    <w:basedOn w:val="20"/>
    <w:autoRedefine/>
    <w:qFormat/>
    <w:uiPriority w:val="31"/>
    <w:rPr>
      <w:sz w:val="24"/>
      <w:szCs w:val="24"/>
      <w:u w:val="single"/>
    </w:rPr>
  </w:style>
  <w:style w:type="character" w:customStyle="1" w:styleId="43">
    <w:name w:val="明显参考1"/>
    <w:basedOn w:val="20"/>
    <w:autoRedefine/>
    <w:qFormat/>
    <w:uiPriority w:val="32"/>
    <w:rPr>
      <w:b/>
      <w:sz w:val="24"/>
      <w:u w:val="single"/>
    </w:rPr>
  </w:style>
  <w:style w:type="character" w:customStyle="1" w:styleId="44">
    <w:name w:val="书籍标题1"/>
    <w:basedOn w:val="20"/>
    <w:autoRedefine/>
    <w:qFormat/>
    <w:uiPriority w:val="33"/>
    <w:rPr>
      <w:rFonts w:asciiTheme="majorHAnsi" w:hAnsiTheme="majorHAnsi" w:eastAsiaTheme="majorEastAsia"/>
      <w:b/>
      <w:i/>
      <w:sz w:val="24"/>
      <w:szCs w:val="24"/>
    </w:rPr>
  </w:style>
  <w:style w:type="paragraph" w:customStyle="1" w:styleId="45">
    <w:name w:val="TOC 标题1"/>
    <w:basedOn w:val="2"/>
    <w:next w:val="1"/>
    <w:autoRedefine/>
    <w:semiHidden/>
    <w:unhideWhenUsed/>
    <w:qFormat/>
    <w:uiPriority w:val="39"/>
    <w:pPr>
      <w:outlineLvl w:val="9"/>
    </w:pPr>
    <w:rPr>
      <w:lang w:eastAsia="en-US" w:bidi="en-US"/>
    </w:rPr>
  </w:style>
  <w:style w:type="character" w:customStyle="1" w:styleId="46">
    <w:name w:val="页眉 字符"/>
    <w:basedOn w:val="20"/>
    <w:link w:val="15"/>
    <w:autoRedefine/>
    <w:qFormat/>
    <w:uiPriority w:val="99"/>
    <w:rPr>
      <w:rFonts w:ascii="Calibri" w:hAnsi="Calibri" w:eastAsia="宋体"/>
      <w:kern w:val="2"/>
      <w:sz w:val="18"/>
      <w:szCs w:val="18"/>
    </w:rPr>
  </w:style>
  <w:style w:type="character" w:customStyle="1" w:styleId="47">
    <w:name w:val="页脚 字符"/>
    <w:basedOn w:val="20"/>
    <w:link w:val="14"/>
    <w:autoRedefine/>
    <w:qFormat/>
    <w:uiPriority w:val="99"/>
    <w:rPr>
      <w:rFonts w:ascii="Calibri" w:hAnsi="Calibri" w:eastAsia="宋体"/>
      <w:kern w:val="2"/>
      <w:sz w:val="18"/>
      <w:szCs w:val="18"/>
    </w:rPr>
  </w:style>
  <w:style w:type="character" w:customStyle="1" w:styleId="48">
    <w:name w:val="批注框文本 字符"/>
    <w:basedOn w:val="20"/>
    <w:link w:val="13"/>
    <w:autoRedefine/>
    <w:semiHidden/>
    <w:qFormat/>
    <w:uiPriority w:val="99"/>
    <w:rPr>
      <w:rFonts w:ascii="Times New Roman" w:hAnsi="Times New Roman" w:eastAsia="宋体"/>
      <w:kern w:val="2"/>
      <w:sz w:val="18"/>
      <w:szCs w:val="18"/>
    </w:rPr>
  </w:style>
  <w:style w:type="paragraph" w:customStyle="1" w:styleId="49">
    <w:name w:val="闻政-正文段落文字"/>
    <w:basedOn w:val="1"/>
    <w:autoRedefine/>
    <w:qFormat/>
    <w:uiPriority w:val="3"/>
    <w:pPr>
      <w:spacing w:line="500" w:lineRule="exact"/>
      <w:ind w:firstLine="200"/>
    </w:pPr>
    <w:rPr>
      <w:rFonts w:cs="Times New Roman"/>
      <w:kern w:val="0"/>
      <w:szCs w:val="28"/>
    </w:rPr>
  </w:style>
  <w:style w:type="paragraph" w:customStyle="1" w:styleId="50">
    <w:name w:val="闻政-正文二级标题"/>
    <w:basedOn w:val="3"/>
    <w:next w:val="49"/>
    <w:autoRedefine/>
    <w:qFormat/>
    <w:uiPriority w:val="3"/>
    <w:pPr>
      <w:spacing w:before="120" w:after="60" w:line="500" w:lineRule="exact"/>
      <w:ind w:left="200" w:leftChars="200" w:firstLine="0" w:firstLineChars="0"/>
    </w:pPr>
    <w:rPr>
      <w:rFonts w:ascii="Times New Roman" w:hAnsi="Times New Roman"/>
      <w:sz w:val="28"/>
    </w:rPr>
  </w:style>
  <w:style w:type="character" w:customStyle="1" w:styleId="51">
    <w:name w:val="font21"/>
    <w:basedOn w:val="20"/>
    <w:autoRedefine/>
    <w:qFormat/>
    <w:uiPriority w:val="0"/>
    <w:rPr>
      <w:rFonts w:hint="eastAsia" w:ascii="方正仿宋_GBK" w:hAnsi="方正仿宋_GBK" w:eastAsia="方正仿宋_GBK" w:cs="方正仿宋_GBK"/>
      <w:color w:val="000000"/>
      <w:sz w:val="24"/>
      <w:szCs w:val="24"/>
      <w:u w:val="none"/>
    </w:rPr>
  </w:style>
  <w:style w:type="character" w:customStyle="1" w:styleId="52">
    <w:name w:val="font31"/>
    <w:basedOn w:val="20"/>
    <w:autoRedefine/>
    <w:qFormat/>
    <w:uiPriority w:val="0"/>
    <w:rPr>
      <w:rFonts w:hint="default" w:ascii="Times New Roman" w:hAnsi="Times New Roman" w:cs="Times New Roman"/>
      <w:color w:val="000000"/>
      <w:sz w:val="24"/>
      <w:szCs w:val="24"/>
      <w:u w:val="none"/>
    </w:rPr>
  </w:style>
  <w:style w:type="character" w:customStyle="1" w:styleId="53">
    <w:name w:val="font61"/>
    <w:basedOn w:val="20"/>
    <w:autoRedefine/>
    <w:qFormat/>
    <w:uiPriority w:val="0"/>
    <w:rPr>
      <w:rFonts w:hint="eastAsia" w:ascii="微软雅黑" w:hAnsi="微软雅黑" w:eastAsia="微软雅黑" w:cs="微软雅黑"/>
      <w:color w:val="000000"/>
      <w:sz w:val="24"/>
      <w:szCs w:val="24"/>
      <w:u w:val="none"/>
    </w:rPr>
  </w:style>
  <w:style w:type="character" w:customStyle="1" w:styleId="54">
    <w:name w:val="font51"/>
    <w:basedOn w:val="20"/>
    <w:autoRedefine/>
    <w:qFormat/>
    <w:uiPriority w:val="0"/>
    <w:rPr>
      <w:rFonts w:hint="eastAsia" w:ascii="方正仿宋_GBK" w:hAnsi="方正仿宋_GBK" w:eastAsia="方正仿宋_GBK" w:cs="方正仿宋_GBK"/>
      <w:color w:val="000000"/>
      <w:sz w:val="24"/>
      <w:szCs w:val="24"/>
      <w:u w:val="none"/>
    </w:rPr>
  </w:style>
  <w:style w:type="character" w:customStyle="1" w:styleId="55">
    <w:name w:val="font41"/>
    <w:basedOn w:val="20"/>
    <w:autoRedefine/>
    <w:qFormat/>
    <w:uiPriority w:val="0"/>
    <w:rPr>
      <w:rFonts w:hint="eastAsia" w:ascii="方正仿宋_GBK" w:hAnsi="方正仿宋_GBK" w:eastAsia="方正仿宋_GBK" w:cs="方正仿宋_GBK"/>
      <w:color w:val="000000"/>
      <w:sz w:val="24"/>
      <w:szCs w:val="24"/>
      <w:u w:val="none"/>
    </w:rPr>
  </w:style>
  <w:style w:type="character" w:customStyle="1" w:styleId="56">
    <w:name w:val="font81"/>
    <w:basedOn w:val="20"/>
    <w:autoRedefine/>
    <w:qFormat/>
    <w:uiPriority w:val="0"/>
    <w:rPr>
      <w:rFonts w:hint="eastAsia" w:ascii="微软雅黑" w:hAnsi="微软雅黑" w:eastAsia="微软雅黑" w:cs="微软雅黑"/>
      <w:color w:val="000000"/>
      <w:sz w:val="24"/>
      <w:szCs w:val="24"/>
      <w:u w:val="none"/>
    </w:rPr>
  </w:style>
  <w:style w:type="character" w:customStyle="1" w:styleId="57">
    <w:name w:val="font71"/>
    <w:basedOn w:val="20"/>
    <w:autoRedefine/>
    <w:qFormat/>
    <w:uiPriority w:val="0"/>
    <w:rPr>
      <w:rFonts w:hint="eastAsia" w:ascii="方正仿宋_GBK" w:hAnsi="方正仿宋_GBK" w:eastAsia="方正仿宋_GBK" w:cs="方正仿宋_GBK"/>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24</Pages>
  <Words>110</Words>
  <Characters>633</Characters>
  <Lines>5</Lines>
  <Paragraphs>1</Paragraphs>
  <TotalTime>33</TotalTime>
  <ScaleCrop>false</ScaleCrop>
  <LinksUpToDate>false</LinksUpToDate>
  <CharactersWithSpaces>742</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贝贝</cp:lastModifiedBy>
  <cp:lastPrinted>2024-04-07T03:33:00Z</cp:lastPrinted>
  <dcterms:modified xsi:type="dcterms:W3CDTF">2024-04-08T08:26:31Z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180E246A7C03460B97761024DCA7A59B_13</vt:lpwstr>
  </property>
</Properties>
</file>