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F405B">
      <w:pPr>
        <w:rPr>
          <w:rFonts w:ascii="黑体" w:hAnsi="黑体" w:eastAsia="黑体"/>
          <w:sz w:val="32"/>
          <w:szCs w:val="32"/>
        </w:rPr>
      </w:pPr>
    </w:p>
    <w:p w14:paraId="2507B8A9">
      <w:pPr>
        <w:jc w:val="center"/>
        <w:rPr>
          <w:rFonts w:ascii="方正小标宋_GBK" w:hAnsi="宋体" w:eastAsia="方正小标宋_GBK"/>
          <w:sz w:val="44"/>
          <w:szCs w:val="44"/>
        </w:rPr>
      </w:pPr>
    </w:p>
    <w:p w14:paraId="090A75CC">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新疆维吾尔自治区地质环境监测院</w:t>
      </w:r>
    </w:p>
    <w:p w14:paraId="73B7609B">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1D247FF">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1E7D6740">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21F5BB7A">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D8EBB16">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57202FD">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3F0D7C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0D0A421">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468119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51C1595">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1A7597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1516AB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157325E">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85732CA">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685848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61BAA13">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52C500B">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2BF7497">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967B32D">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0A7A2D2">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A492280">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25D00FD">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8196098">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2B4FC20">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F2D2AA5">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CC162A7">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7F891E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A074F55">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EC5604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8059D39">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FEFCF9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0267F58">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14D53CA">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5EC368F">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EB3EDAA">
      <w:r>
        <w:rPr>
          <w:rFonts w:hint="eastAsia" w:ascii="仿宋_GB2312" w:hAnsi="仿宋_GB2312" w:eastAsia="仿宋_GB2312" w:cs="仿宋_GB2312"/>
          <w:sz w:val="32"/>
          <w:szCs w:val="32"/>
        </w:rPr>
        <w:fldChar w:fldCharType="end"/>
      </w:r>
    </w:p>
    <w:p w14:paraId="2077D9CD">
      <w:pPr>
        <w:rPr>
          <w:rFonts w:ascii="仿宋_GB2312" w:eastAsia="仿宋_GB2312"/>
          <w:sz w:val="32"/>
          <w:szCs w:val="32"/>
        </w:rPr>
      </w:pPr>
      <w:r>
        <w:rPr>
          <w:rFonts w:hint="eastAsia" w:ascii="仿宋_GB2312" w:eastAsia="仿宋_GB2312"/>
          <w:sz w:val="32"/>
          <w:szCs w:val="32"/>
        </w:rPr>
        <w:br w:type="page"/>
      </w:r>
    </w:p>
    <w:p w14:paraId="13D227A0">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E75CDA5">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FF44A0C">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疆地质环境监测院是根据新机编字2001-46号和新国资办发2001-388号文件精神，于2002年2月成立的独立事业法人单位。新自然资人函2019-103号三定方案赋予我们的职责任务主要是为自治区地下水、地质灾害防治、国土空间生态修复、地质遗迹管理方面的调查评价监测提供技术支撑和服务保障</w:t>
      </w:r>
      <w:r>
        <w:rPr>
          <w:rFonts w:hint="eastAsia" w:ascii="仿宋_GB2312" w:eastAsia="仿宋_GB2312"/>
          <w:sz w:val="32"/>
          <w:szCs w:val="32"/>
        </w:rPr>
        <w:t>。</w:t>
      </w:r>
    </w:p>
    <w:p w14:paraId="54D6F631">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441D567">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新疆维吾尔自治区地质环境监测院2023年度，实有人数</w:t>
      </w:r>
      <w:r>
        <w:rPr>
          <w:rFonts w:hint="eastAsia" w:ascii="仿宋_GB2312" w:eastAsia="仿宋_GB2312"/>
          <w:sz w:val="32"/>
          <w:szCs w:val="32"/>
          <w:lang w:val="zh-CN"/>
        </w:rPr>
        <w:t>76</w:t>
      </w:r>
      <w:r>
        <w:rPr>
          <w:rFonts w:hint="eastAsia" w:ascii="仿宋_GB2312" w:eastAsia="仿宋_GB2312"/>
          <w:sz w:val="32"/>
          <w:szCs w:val="32"/>
        </w:rPr>
        <w:t>人，其中：在职人员</w:t>
      </w:r>
      <w:r>
        <w:rPr>
          <w:rFonts w:hint="eastAsia" w:ascii="仿宋_GB2312" w:eastAsia="仿宋_GB2312"/>
          <w:sz w:val="32"/>
          <w:szCs w:val="32"/>
          <w:lang w:val="zh-CN"/>
        </w:rPr>
        <w:t>48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28</w:t>
      </w:r>
      <w:r>
        <w:rPr>
          <w:rFonts w:hint="eastAsia" w:ascii="仿宋_GB2312" w:eastAsia="仿宋_GB2312"/>
          <w:sz w:val="32"/>
          <w:szCs w:val="32"/>
        </w:rPr>
        <w:t>人。</w:t>
      </w:r>
    </w:p>
    <w:p w14:paraId="0D6DD472">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10</w:t>
      </w:r>
      <w:r>
        <w:rPr>
          <w:rFonts w:hint="eastAsia" w:ascii="仿宋_GB2312" w:hAnsi="黑体" w:eastAsia="仿宋_GB2312" w:cs="宋体"/>
          <w:bCs/>
          <w:kern w:val="0"/>
          <w:sz w:val="32"/>
          <w:szCs w:val="32"/>
        </w:rPr>
        <w:t>个处室，分别是：办公室、总工程师办公室、财务室、地下水资源调查评价研究室、地下水动态监测室、国土空间评价室、国土空间生态修复室、地质灾害调查评价室、地质灾害监测预警室、信息和遥感技术室</w:t>
      </w:r>
      <w:r>
        <w:rPr>
          <w:rFonts w:hint="eastAsia" w:ascii="仿宋_GB2312" w:hAnsi="宋体" w:eastAsia="仿宋_GB2312" w:cs="宋体"/>
          <w:kern w:val="0"/>
          <w:sz w:val="32"/>
          <w:szCs w:val="32"/>
        </w:rPr>
        <w:t>。</w:t>
      </w:r>
    </w:p>
    <w:p w14:paraId="61FA66F7">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506E23DD">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17056B4E">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C211F1E">
      <w:pPr>
        <w:ind w:firstLine="640" w:firstLineChars="200"/>
        <w:jc w:val="left"/>
        <w:rPr>
          <w:rFonts w:ascii="仿宋_GB2312" w:eastAsia="仿宋_GB2312"/>
          <w:sz w:val="32"/>
          <w:szCs w:val="32"/>
        </w:rPr>
      </w:pPr>
      <w:r>
        <w:rPr>
          <w:rFonts w:hint="eastAsia" w:ascii="仿宋_GB2312" w:eastAsia="仿宋_GB2312"/>
          <w:sz w:val="32"/>
          <w:szCs w:val="32"/>
        </w:rPr>
        <w:t>2023年度收入总计4,428.65万元，其中：本年收入合计3,258.45万元，使用非财政拨款结余1,116.00万元，年初结转和结余54.20万元。</w:t>
      </w:r>
    </w:p>
    <w:p w14:paraId="78FEFE53">
      <w:pPr>
        <w:ind w:firstLine="640" w:firstLineChars="200"/>
        <w:jc w:val="left"/>
        <w:rPr>
          <w:rFonts w:ascii="仿宋_GB2312" w:eastAsia="仿宋_GB2312"/>
          <w:sz w:val="32"/>
          <w:szCs w:val="32"/>
        </w:rPr>
      </w:pPr>
      <w:r>
        <w:rPr>
          <w:rFonts w:hint="eastAsia" w:ascii="仿宋_GB2312" w:eastAsia="仿宋_GB2312"/>
          <w:sz w:val="32"/>
          <w:szCs w:val="32"/>
        </w:rPr>
        <w:t>2023年度支出总计4,428.65万元，其中：本年支出合计4,154.26万元，结余分配197.15万元，年末结转和结余77.23万元。</w:t>
      </w:r>
    </w:p>
    <w:p w14:paraId="73C40E38">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增加1,016.6</w:t>
      </w:r>
      <w:r>
        <w:rPr>
          <w:rFonts w:hint="eastAsia" w:ascii="仿宋_GB2312" w:eastAsia="仿宋_GB2312"/>
          <w:sz w:val="32"/>
          <w:szCs w:val="32"/>
        </w:rPr>
        <w:t>8</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增长29.80%</w:t>
      </w:r>
      <w:r>
        <w:rPr>
          <w:rFonts w:hint="eastAsia" w:ascii="仿宋_GB2312" w:eastAsia="仿宋_GB2312"/>
          <w:sz w:val="32"/>
          <w:szCs w:val="32"/>
        </w:rPr>
        <w:t>，主要原因是：2023年使用非财政拨款结余资金1116万元安排项目，使得2023年收入支出总体较2022年有所增加。</w:t>
      </w:r>
    </w:p>
    <w:p w14:paraId="00DDEF04">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636D328">
      <w:pPr>
        <w:ind w:firstLine="640" w:firstLineChars="200"/>
        <w:jc w:val="left"/>
        <w:rPr>
          <w:rFonts w:ascii="仿宋_GB2312" w:eastAsia="仿宋_GB2312"/>
          <w:sz w:val="32"/>
          <w:szCs w:val="32"/>
        </w:rPr>
      </w:pPr>
      <w:r>
        <w:rPr>
          <w:rFonts w:hint="eastAsia" w:ascii="仿宋_GB2312" w:eastAsia="仿宋_GB2312"/>
          <w:sz w:val="32"/>
          <w:szCs w:val="32"/>
        </w:rPr>
        <w:t>本年收入3,258.45万元，其中：财政拨款收入</w:t>
      </w:r>
      <w:r>
        <w:rPr>
          <w:rFonts w:hint="eastAsia" w:ascii="仿宋_GB2312" w:eastAsia="仿宋_GB2312"/>
          <w:sz w:val="32"/>
          <w:szCs w:val="32"/>
          <w:lang w:val="zh-CN"/>
        </w:rPr>
        <w:t>2,091.23</w:t>
      </w:r>
      <w:r>
        <w:rPr>
          <w:rFonts w:hint="eastAsia" w:ascii="仿宋_GB2312" w:eastAsia="仿宋_GB2312"/>
          <w:sz w:val="32"/>
          <w:szCs w:val="32"/>
        </w:rPr>
        <w:t>万元，占</w:t>
      </w:r>
      <w:r>
        <w:rPr>
          <w:rFonts w:hint="eastAsia" w:ascii="仿宋_GB2312" w:eastAsia="仿宋_GB2312"/>
          <w:sz w:val="32"/>
          <w:szCs w:val="32"/>
          <w:lang w:val="zh-CN"/>
        </w:rPr>
        <w:t>64.18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55.00</w:t>
      </w:r>
      <w:r>
        <w:rPr>
          <w:rFonts w:hint="eastAsia" w:ascii="仿宋_GB2312" w:eastAsia="仿宋_GB2312"/>
          <w:sz w:val="32"/>
          <w:szCs w:val="32"/>
        </w:rPr>
        <w:t>万元，占</w:t>
      </w:r>
      <w:r>
        <w:rPr>
          <w:rFonts w:hint="eastAsia" w:ascii="仿宋_GB2312" w:eastAsia="仿宋_GB2312"/>
          <w:sz w:val="32"/>
          <w:szCs w:val="32"/>
          <w:lang w:val="zh-CN"/>
        </w:rPr>
        <w:t>1.69</w:t>
      </w:r>
      <w:r>
        <w:rPr>
          <w:rFonts w:hint="eastAsia" w:ascii="仿宋_GB2312" w:eastAsia="仿宋_GB2312"/>
          <w:sz w:val="32"/>
          <w:szCs w:val="32"/>
        </w:rPr>
        <w:t>%；经营收入</w:t>
      </w:r>
      <w:r>
        <w:rPr>
          <w:rFonts w:hint="eastAsia" w:ascii="仿宋_GB2312" w:eastAsia="仿宋_GB2312"/>
          <w:sz w:val="32"/>
          <w:szCs w:val="32"/>
          <w:lang w:val="zh-CN"/>
        </w:rPr>
        <w:t>1,105.74</w:t>
      </w:r>
      <w:r>
        <w:rPr>
          <w:rFonts w:hint="eastAsia" w:ascii="仿宋_GB2312" w:eastAsia="仿宋_GB2312"/>
          <w:sz w:val="32"/>
          <w:szCs w:val="32"/>
        </w:rPr>
        <w:t>万元，占</w:t>
      </w:r>
      <w:r>
        <w:rPr>
          <w:rFonts w:hint="eastAsia" w:ascii="仿宋_GB2312" w:eastAsia="仿宋_GB2312"/>
          <w:sz w:val="32"/>
          <w:szCs w:val="32"/>
          <w:lang w:val="zh-CN"/>
        </w:rPr>
        <w:t>33.93</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6.47</w:t>
      </w:r>
      <w:r>
        <w:rPr>
          <w:rFonts w:hint="eastAsia" w:ascii="仿宋_GB2312" w:eastAsia="仿宋_GB2312"/>
          <w:sz w:val="32"/>
          <w:szCs w:val="32"/>
        </w:rPr>
        <w:t>万元，占</w:t>
      </w:r>
      <w:r>
        <w:rPr>
          <w:rFonts w:hint="eastAsia" w:ascii="仿宋_GB2312" w:eastAsia="仿宋_GB2312"/>
          <w:sz w:val="32"/>
          <w:szCs w:val="32"/>
          <w:lang w:val="zh-CN"/>
        </w:rPr>
        <w:t>0.20</w:t>
      </w:r>
      <w:r>
        <w:rPr>
          <w:rFonts w:hint="eastAsia" w:ascii="仿宋_GB2312" w:eastAsia="仿宋_GB2312"/>
          <w:sz w:val="32"/>
          <w:szCs w:val="32"/>
        </w:rPr>
        <w:t>%。</w:t>
      </w:r>
    </w:p>
    <w:p w14:paraId="767420DB">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8DD8A77">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本年支出4,154.26万元，其中：基本支出1,031.23万元，占24.82%；项目支出2,207.97万元，占53.15%；上缴上级支出0.00万元，占0.00%；经营支出915.06万元，占22.03%；对附属单位补助支出0.00万元，占0.00%。</w:t>
      </w:r>
    </w:p>
    <w:p w14:paraId="6C5138D9">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574B1CA">
      <w:pPr>
        <w:ind w:firstLine="640" w:firstLineChars="200"/>
        <w:jc w:val="both"/>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2,091.23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2,091.23</w:t>
      </w:r>
      <w:r>
        <w:rPr>
          <w:rFonts w:hint="eastAsia" w:ascii="仿宋_GB2312" w:eastAsia="仿宋_GB2312"/>
          <w:sz w:val="32"/>
          <w:szCs w:val="32"/>
        </w:rPr>
        <w:t>万元。财政拨款支出总计</w:t>
      </w:r>
      <w:r>
        <w:rPr>
          <w:rFonts w:hint="eastAsia" w:ascii="仿宋_GB2312" w:eastAsia="仿宋_GB2312"/>
          <w:sz w:val="32"/>
          <w:szCs w:val="32"/>
          <w:lang w:val="zh-CN"/>
        </w:rPr>
        <w:t>2,091.23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2,091.23</w:t>
      </w:r>
      <w:r>
        <w:rPr>
          <w:rFonts w:hint="eastAsia" w:ascii="仿宋_GB2312" w:eastAsia="仿宋_GB2312"/>
          <w:sz w:val="32"/>
          <w:szCs w:val="32"/>
        </w:rPr>
        <w:t>万元。</w:t>
      </w:r>
    </w:p>
    <w:p w14:paraId="7D6DAFF6">
      <w:pPr>
        <w:ind w:firstLine="640" w:firstLineChars="200"/>
        <w:jc w:val="both"/>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减少269.23万元</w:t>
      </w:r>
      <w:r>
        <w:rPr>
          <w:rFonts w:hint="eastAsia" w:ascii="仿宋_GB2312" w:eastAsia="仿宋_GB2312"/>
          <w:sz w:val="32"/>
          <w:szCs w:val="32"/>
        </w:rPr>
        <w:t>，</w:t>
      </w:r>
      <w:r>
        <w:rPr>
          <w:rFonts w:hint="eastAsia" w:ascii="仿宋_GB2312" w:eastAsia="仿宋_GB2312"/>
          <w:sz w:val="32"/>
          <w:szCs w:val="32"/>
          <w:lang w:val="zh-CN"/>
        </w:rPr>
        <w:t>下降11.41%，</w:t>
      </w:r>
      <w:r>
        <w:rPr>
          <w:rFonts w:hint="eastAsia" w:ascii="仿宋_GB2312" w:eastAsia="仿宋_GB2312"/>
          <w:sz w:val="32"/>
          <w:szCs w:val="32"/>
        </w:rPr>
        <w:t>主要原因是：</w:t>
      </w:r>
      <w:r>
        <w:rPr>
          <w:rFonts w:hint="eastAsia" w:eastAsia="仿宋_GB2312"/>
          <w:sz w:val="32"/>
          <w:szCs w:val="32"/>
        </w:rPr>
        <w:t>2022年财政拨付“新疆地质灾害遥感识别及重要隐患点核查”项目资金480万元，但2023年财政未拨付该项目资金，使得2023年财政拨款收入支出总体比2022年有所减少。</w:t>
      </w:r>
      <w:r>
        <w:rPr>
          <w:rFonts w:hint="eastAsia" w:ascii="仿宋_GB2312" w:eastAsia="仿宋_GB2312"/>
          <w:sz w:val="32"/>
          <w:szCs w:val="32"/>
        </w:rPr>
        <w:t>与年初预算相比，年初预算数</w:t>
      </w:r>
      <w:r>
        <w:rPr>
          <w:rFonts w:hint="eastAsia" w:ascii="仿宋_GB2312" w:eastAsia="仿宋_GB2312"/>
          <w:sz w:val="32"/>
          <w:szCs w:val="32"/>
          <w:lang w:val="zh-CN"/>
        </w:rPr>
        <w:t>1,970.36</w:t>
      </w:r>
      <w:r>
        <w:rPr>
          <w:rFonts w:hint="eastAsia" w:ascii="仿宋_GB2312" w:eastAsia="仿宋_GB2312"/>
          <w:sz w:val="32"/>
          <w:szCs w:val="32"/>
        </w:rPr>
        <w:t>万元，决算数</w:t>
      </w:r>
      <w:r>
        <w:rPr>
          <w:rFonts w:hint="eastAsia" w:ascii="仿宋_GB2312" w:eastAsia="仿宋_GB2312"/>
          <w:sz w:val="32"/>
          <w:szCs w:val="32"/>
          <w:lang w:val="zh-CN"/>
        </w:rPr>
        <w:t>2,091.23</w:t>
      </w:r>
      <w:r>
        <w:rPr>
          <w:rFonts w:hint="eastAsia" w:ascii="仿宋_GB2312" w:eastAsia="仿宋_GB2312"/>
          <w:sz w:val="32"/>
          <w:szCs w:val="32"/>
        </w:rPr>
        <w:t>万元，预决算差异率6.13%，主要原因是：2023年度发放的在职人员工资调增部分、绩效工资以及退休人员绩效奖均为年中追加。</w:t>
      </w:r>
    </w:p>
    <w:p w14:paraId="56D03FE5">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0FA1FFA">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330B599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2023年度一般公共预算财政拨款支出2,091.23万元，占本年支出合计的</w:t>
      </w:r>
      <w:r>
        <w:rPr>
          <w:rFonts w:hint="eastAsia" w:ascii="仿宋_GB2312" w:eastAsia="仿宋_GB2312"/>
          <w:sz w:val="32"/>
          <w:szCs w:val="32"/>
          <w:lang w:val="zh-CN"/>
        </w:rPr>
        <w:t>50.34%</w:t>
      </w:r>
      <w:r>
        <w:rPr>
          <w:rFonts w:hint="eastAsia" w:ascii="仿宋_GB2312" w:eastAsia="仿宋_GB2312"/>
          <w:sz w:val="32"/>
          <w:szCs w:val="32"/>
        </w:rPr>
        <w:t>。与上年相比，</w:t>
      </w:r>
      <w:r>
        <w:rPr>
          <w:rFonts w:hint="eastAsia" w:ascii="仿宋_GB2312" w:eastAsia="仿宋_GB2312"/>
          <w:sz w:val="32"/>
          <w:szCs w:val="32"/>
          <w:lang w:val="zh-CN"/>
        </w:rPr>
        <w:t>减少269.23万元</w:t>
      </w:r>
      <w:r>
        <w:rPr>
          <w:rFonts w:hint="eastAsia" w:ascii="仿宋_GB2312" w:eastAsia="仿宋_GB2312"/>
          <w:sz w:val="32"/>
          <w:szCs w:val="32"/>
        </w:rPr>
        <w:t>，</w:t>
      </w:r>
      <w:r>
        <w:rPr>
          <w:rFonts w:hint="eastAsia" w:ascii="仿宋_GB2312" w:eastAsia="仿宋_GB2312"/>
          <w:sz w:val="32"/>
          <w:szCs w:val="32"/>
          <w:lang w:val="zh-CN"/>
        </w:rPr>
        <w:t>下降11.41%，</w:t>
      </w:r>
      <w:r>
        <w:rPr>
          <w:rFonts w:hint="eastAsia" w:ascii="仿宋_GB2312" w:eastAsia="仿宋_GB2312"/>
          <w:sz w:val="32"/>
          <w:szCs w:val="32"/>
        </w:rPr>
        <w:t>主要原因是：</w:t>
      </w:r>
      <w:r>
        <w:rPr>
          <w:rFonts w:hint="eastAsia" w:eastAsia="仿宋_GB2312"/>
          <w:sz w:val="32"/>
          <w:szCs w:val="32"/>
        </w:rPr>
        <w:t>2022年财政拨付“新疆地质灾害遥感识别及重要隐患点核查”项目资金480万元，但2023年财政未拨付该项目资金</w:t>
      </w:r>
      <w:r>
        <w:rPr>
          <w:rFonts w:hint="eastAsia" w:ascii="仿宋_GB2312" w:eastAsia="仿宋_GB2312"/>
          <w:sz w:val="32"/>
          <w:szCs w:val="32"/>
        </w:rPr>
        <w:t>。与年初预算相比，年初预算数</w:t>
      </w:r>
      <w:r>
        <w:rPr>
          <w:rFonts w:hint="eastAsia" w:ascii="仿宋_GB2312" w:eastAsia="仿宋_GB2312"/>
          <w:sz w:val="32"/>
          <w:szCs w:val="32"/>
          <w:lang w:val="zh-CN"/>
        </w:rPr>
        <w:t>1,970.36</w:t>
      </w:r>
      <w:r>
        <w:rPr>
          <w:rFonts w:hint="eastAsia" w:ascii="仿宋_GB2312" w:eastAsia="仿宋_GB2312"/>
          <w:sz w:val="32"/>
          <w:szCs w:val="32"/>
        </w:rPr>
        <w:t>万元，决算数</w:t>
      </w:r>
      <w:r>
        <w:rPr>
          <w:rFonts w:hint="eastAsia" w:ascii="仿宋_GB2312" w:eastAsia="仿宋_GB2312"/>
          <w:sz w:val="32"/>
          <w:szCs w:val="32"/>
          <w:lang w:val="zh-CN"/>
        </w:rPr>
        <w:t>2,091.23</w:t>
      </w:r>
      <w:r>
        <w:rPr>
          <w:rFonts w:hint="eastAsia" w:ascii="仿宋_GB2312" w:eastAsia="仿宋_GB2312"/>
          <w:sz w:val="32"/>
          <w:szCs w:val="32"/>
        </w:rPr>
        <w:t>万元，预决算差异率</w:t>
      </w:r>
      <w:r>
        <w:rPr>
          <w:rFonts w:hint="eastAsia" w:ascii="仿宋_GB2312" w:eastAsia="仿宋_GB2312"/>
          <w:sz w:val="32"/>
          <w:szCs w:val="32"/>
          <w:lang w:val="zh-CN"/>
        </w:rPr>
        <w:t>6.13%</w:t>
      </w:r>
      <w:r>
        <w:rPr>
          <w:rFonts w:hint="eastAsia" w:ascii="仿宋_GB2312" w:eastAsia="仿宋_GB2312"/>
          <w:sz w:val="32"/>
          <w:szCs w:val="32"/>
        </w:rPr>
        <w:t>，主要原因是：2023年度发放的在职人员工资调增部分、绩效工资以及退休人员绩效奖均为年中追加。</w:t>
      </w:r>
    </w:p>
    <w:p w14:paraId="20361F2F">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04549189">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166.77</w:t>
      </w:r>
      <w:r>
        <w:rPr>
          <w:rFonts w:ascii="仿宋_GB2312" w:eastAsia="仿宋_GB2312"/>
          <w:kern w:val="2"/>
          <w:sz w:val="32"/>
          <w:szCs w:val="32"/>
          <w:lang w:val="zh-CN"/>
        </w:rPr>
        <w:t>万元，占</w:t>
      </w:r>
      <w:r>
        <w:rPr>
          <w:rFonts w:hint="eastAsia" w:ascii="仿宋_GB2312" w:eastAsia="仿宋_GB2312"/>
          <w:kern w:val="2"/>
          <w:sz w:val="32"/>
          <w:szCs w:val="32"/>
          <w:lang w:val="zh-CN"/>
        </w:rPr>
        <w:t>7.97</w:t>
      </w:r>
      <w:r>
        <w:rPr>
          <w:rFonts w:ascii="仿宋_GB2312" w:eastAsia="仿宋_GB2312"/>
          <w:kern w:val="2"/>
          <w:sz w:val="32"/>
          <w:szCs w:val="32"/>
          <w:lang w:val="zh-CN"/>
        </w:rPr>
        <w:t>%；</w:t>
      </w:r>
    </w:p>
    <w:p w14:paraId="0757C58B">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80.50</w:t>
      </w:r>
      <w:r>
        <w:rPr>
          <w:rFonts w:ascii="仿宋_GB2312" w:eastAsia="仿宋_GB2312"/>
          <w:kern w:val="2"/>
          <w:sz w:val="32"/>
          <w:szCs w:val="32"/>
          <w:lang w:val="zh-CN"/>
        </w:rPr>
        <w:t>万元，占</w:t>
      </w:r>
      <w:r>
        <w:rPr>
          <w:rFonts w:hint="eastAsia" w:ascii="仿宋_GB2312" w:eastAsia="仿宋_GB2312"/>
          <w:kern w:val="2"/>
          <w:sz w:val="32"/>
          <w:szCs w:val="32"/>
          <w:lang w:val="zh-CN"/>
        </w:rPr>
        <w:t>3.85</w:t>
      </w:r>
      <w:r>
        <w:rPr>
          <w:rFonts w:ascii="仿宋_GB2312" w:eastAsia="仿宋_GB2312"/>
          <w:kern w:val="2"/>
          <w:sz w:val="32"/>
          <w:szCs w:val="32"/>
          <w:lang w:val="zh-CN"/>
        </w:rPr>
        <w:t>%；</w:t>
      </w:r>
    </w:p>
    <w:p w14:paraId="67F1A4FD">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720.83</w:t>
      </w:r>
      <w:r>
        <w:rPr>
          <w:rFonts w:ascii="仿宋_GB2312" w:eastAsia="仿宋_GB2312"/>
          <w:kern w:val="2"/>
          <w:sz w:val="32"/>
          <w:szCs w:val="32"/>
          <w:lang w:val="zh-CN"/>
        </w:rPr>
        <w:t>万元，占</w:t>
      </w:r>
      <w:r>
        <w:rPr>
          <w:rFonts w:hint="eastAsia" w:ascii="仿宋_GB2312" w:eastAsia="仿宋_GB2312"/>
          <w:kern w:val="2"/>
          <w:sz w:val="32"/>
          <w:szCs w:val="32"/>
          <w:lang w:val="zh-CN"/>
        </w:rPr>
        <w:t>34.47</w:t>
      </w:r>
      <w:r>
        <w:rPr>
          <w:rFonts w:ascii="仿宋_GB2312" w:eastAsia="仿宋_GB2312"/>
          <w:kern w:val="2"/>
          <w:sz w:val="32"/>
          <w:szCs w:val="32"/>
          <w:lang w:val="zh-CN"/>
        </w:rPr>
        <w:t>%；</w:t>
      </w:r>
    </w:p>
    <w:p w14:paraId="16638060">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63.13</w:t>
      </w:r>
      <w:r>
        <w:rPr>
          <w:rFonts w:ascii="仿宋_GB2312" w:eastAsia="仿宋_GB2312"/>
          <w:kern w:val="2"/>
          <w:sz w:val="32"/>
          <w:szCs w:val="32"/>
          <w:lang w:val="zh-CN"/>
        </w:rPr>
        <w:t>万元，占</w:t>
      </w:r>
      <w:r>
        <w:rPr>
          <w:rFonts w:hint="eastAsia" w:ascii="仿宋_GB2312" w:eastAsia="仿宋_GB2312"/>
          <w:kern w:val="2"/>
          <w:sz w:val="32"/>
          <w:szCs w:val="32"/>
          <w:lang w:val="zh-CN"/>
        </w:rPr>
        <w:t>3.02</w:t>
      </w:r>
      <w:r>
        <w:rPr>
          <w:rFonts w:ascii="仿宋_GB2312" w:eastAsia="仿宋_GB2312"/>
          <w:kern w:val="2"/>
          <w:sz w:val="32"/>
          <w:szCs w:val="32"/>
          <w:lang w:val="zh-CN"/>
        </w:rPr>
        <w:t>%；</w:t>
      </w:r>
    </w:p>
    <w:p w14:paraId="0394B14B">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w:t>
      </w:r>
      <w:r>
        <w:rPr>
          <w:rFonts w:hint="eastAsia" w:ascii="仿宋_GB2312" w:eastAsia="仿宋_GB2312"/>
          <w:kern w:val="2"/>
          <w:sz w:val="32"/>
          <w:szCs w:val="32"/>
          <w:lang w:val="zh-CN"/>
        </w:rPr>
        <w:t>灾</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1,060.00</w:t>
      </w:r>
      <w:r>
        <w:rPr>
          <w:rFonts w:ascii="仿宋_GB2312" w:eastAsia="仿宋_GB2312"/>
          <w:kern w:val="2"/>
          <w:sz w:val="32"/>
          <w:szCs w:val="32"/>
          <w:lang w:val="zh-CN"/>
        </w:rPr>
        <w:t>万元，占</w:t>
      </w:r>
      <w:r>
        <w:rPr>
          <w:rFonts w:hint="eastAsia" w:ascii="仿宋_GB2312" w:eastAsia="仿宋_GB2312"/>
          <w:kern w:val="2"/>
          <w:sz w:val="32"/>
          <w:szCs w:val="32"/>
          <w:lang w:val="zh-CN"/>
        </w:rPr>
        <w:t>50.69</w:t>
      </w:r>
      <w:r>
        <w:rPr>
          <w:rFonts w:ascii="仿宋_GB2312" w:eastAsia="仿宋_GB2312"/>
          <w:kern w:val="2"/>
          <w:sz w:val="32"/>
          <w:szCs w:val="32"/>
          <w:lang w:val="zh-CN"/>
        </w:rPr>
        <w:t>%；</w:t>
      </w:r>
    </w:p>
    <w:p w14:paraId="0F49E0F6">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3A4FA6DB">
      <w:pPr>
        <w:ind w:firstLine="640" w:firstLineChars="200"/>
        <w:jc w:val="both"/>
        <w:rPr>
          <w:rFonts w:eastAsia="仿宋_GB2312"/>
          <w:sz w:val="32"/>
          <w:szCs w:val="32"/>
          <w:lang w:val="zh-CN"/>
        </w:rPr>
      </w:pPr>
      <w:r>
        <w:rPr>
          <w:rFonts w:hint="eastAsia" w:eastAsia="仿宋_GB2312"/>
          <w:sz w:val="32"/>
          <w:szCs w:val="32"/>
        </w:rPr>
        <w:t>1.卫生健康支出（类）行政事业单位医疗（款）事业单位医疗（项）:支出决算数为43.67万元，比上年决算增加3.48万元，增长8.66%，主要原因是：</w:t>
      </w:r>
      <w:r>
        <w:rPr>
          <w:rFonts w:hint="eastAsia" w:eastAsia="仿宋_GB2312"/>
          <w:sz w:val="32"/>
          <w:szCs w:val="32"/>
          <w:lang w:val="zh-CN"/>
        </w:rPr>
        <w:t>在职人员工资、津贴补贴调增，因此医疗保险缴纳基数相应增加。</w:t>
      </w:r>
    </w:p>
    <w:p w14:paraId="5639232C">
      <w:pPr>
        <w:ind w:firstLine="640" w:firstLineChars="200"/>
        <w:jc w:val="both"/>
        <w:rPr>
          <w:rFonts w:eastAsia="仿宋_GB2312"/>
          <w:sz w:val="32"/>
          <w:szCs w:val="32"/>
          <w:lang w:val="zh-CN"/>
        </w:rPr>
      </w:pPr>
      <w:r>
        <w:rPr>
          <w:rFonts w:hint="eastAsia" w:eastAsia="仿宋_GB2312"/>
          <w:sz w:val="32"/>
          <w:szCs w:val="32"/>
        </w:rPr>
        <w:t>2.卫生健康支出（类）行政事业单位医疗（款）公务员医疗补助（项）:支出决算数为36.83万元，比上年决算增加5.57万元，增长17.82%，主要原因是：</w:t>
      </w:r>
      <w:r>
        <w:rPr>
          <w:rFonts w:hint="eastAsia" w:eastAsia="仿宋_GB2312"/>
          <w:sz w:val="32"/>
          <w:szCs w:val="32"/>
          <w:lang w:val="zh-CN"/>
        </w:rPr>
        <w:t>在职人员工资、津贴补贴调增，因此医疗保险缴纳基数相应增加。</w:t>
      </w:r>
    </w:p>
    <w:p w14:paraId="541E7756">
      <w:pPr>
        <w:ind w:firstLine="640" w:firstLineChars="200"/>
        <w:jc w:val="both"/>
        <w:rPr>
          <w:rFonts w:eastAsia="仿宋_GB2312"/>
          <w:sz w:val="32"/>
          <w:szCs w:val="32"/>
        </w:rPr>
      </w:pPr>
      <w:r>
        <w:rPr>
          <w:rFonts w:hint="eastAsia" w:eastAsia="仿宋_GB2312"/>
          <w:sz w:val="32"/>
          <w:szCs w:val="32"/>
        </w:rPr>
        <w:t>3.自然资源海洋气象等支出（类）自然资源事务（款）事业运行（项）:支出决算数为720.83万元，比上年决算减少11.38万元，下降1.55%，主要原因是：下达中央2023年自然灾害防治体系建设补助资金较上年有所减少。</w:t>
      </w:r>
    </w:p>
    <w:p w14:paraId="3365E17A">
      <w:pPr>
        <w:ind w:firstLine="640" w:firstLineChars="200"/>
        <w:jc w:val="both"/>
        <w:rPr>
          <w:rFonts w:ascii="仿宋_GB2312" w:hAnsi="仿宋_GB2312" w:eastAsia="仿宋_GB2312" w:cs="仿宋_GB2312"/>
          <w:sz w:val="32"/>
          <w:szCs w:val="32"/>
          <w:lang w:val="zh-CN"/>
        </w:rPr>
      </w:pPr>
      <w:r>
        <w:rPr>
          <w:rFonts w:hint="eastAsia" w:eastAsia="仿宋_GB2312"/>
          <w:sz w:val="32"/>
          <w:szCs w:val="32"/>
        </w:rPr>
        <w:t>4.社会保障和就业支出（类）行政事业单位养老支出（款）事业单位离退休（项）:支出决算数为56.01万元，比上年决算减少18.80万元，下降25.13%，</w:t>
      </w:r>
      <w:r>
        <w:rPr>
          <w:rFonts w:hint="eastAsia" w:ascii="仿宋_GB2312" w:hAnsi="仿宋_GB2312" w:eastAsia="仿宋_GB2312" w:cs="仿宋_GB2312"/>
          <w:sz w:val="32"/>
          <w:szCs w:val="32"/>
        </w:rPr>
        <w:t>主要原因是：根据自治区医保局、财政厅、新疆税务局《关于进一步规范自治区职工基本医疗保险缴费基数等有关问题的通知》（新医保发〔2023〕58号），从2023年1月起，全区机关事业单位不再为退休、退职人员缴纳职工基本医疗保险费，使得2023年事业单位离退（休）费较上年减少</w:t>
      </w:r>
      <w:r>
        <w:rPr>
          <w:rFonts w:hint="eastAsia" w:ascii="仿宋_GB2312" w:hAnsi="仿宋_GB2312" w:eastAsia="仿宋_GB2312" w:cs="仿宋_GB2312"/>
          <w:sz w:val="32"/>
          <w:szCs w:val="32"/>
          <w:lang w:val="zh-CN"/>
        </w:rPr>
        <w:t>。</w:t>
      </w:r>
    </w:p>
    <w:p w14:paraId="5B53B9CF">
      <w:pPr>
        <w:ind w:firstLine="640" w:firstLineChars="200"/>
        <w:jc w:val="both"/>
        <w:rPr>
          <w:rFonts w:eastAsia="仿宋_GB2312"/>
          <w:sz w:val="32"/>
          <w:szCs w:val="32"/>
        </w:rPr>
      </w:pPr>
      <w:r>
        <w:rPr>
          <w:rFonts w:hint="eastAsia" w:eastAsia="仿宋_GB2312"/>
          <w:sz w:val="32"/>
          <w:szCs w:val="32"/>
        </w:rPr>
        <w:t>5.社会保障和就业支出（类）行政事业单位养老支出（款）机关事业单位职业年金缴费支出（项）:支出决算数为26.59万元，比上年决算增加26.59万元，增长100</w:t>
      </w:r>
      <w:r>
        <w:rPr>
          <w:rFonts w:hint="eastAsia" w:eastAsia="仿宋_GB2312"/>
          <w:sz w:val="32"/>
          <w:szCs w:val="32"/>
          <w:lang w:val="en-US" w:eastAsia="zh-CN"/>
        </w:rPr>
        <w:t>.00</w:t>
      </w:r>
      <w:r>
        <w:rPr>
          <w:rFonts w:hint="eastAsia" w:eastAsia="仿宋_GB2312"/>
          <w:sz w:val="32"/>
          <w:szCs w:val="32"/>
        </w:rPr>
        <w:t>%，主要原因是：2022年度财政未拨付机关事业单位职业年金经费，经费均在2023年拨付，使得2023年机关事业单位职业年金经费较2022年增加。</w:t>
      </w:r>
    </w:p>
    <w:p w14:paraId="626208E6">
      <w:pPr>
        <w:ind w:firstLine="640" w:firstLineChars="200"/>
        <w:jc w:val="both"/>
        <w:rPr>
          <w:rFonts w:eastAsia="仿宋_GB2312"/>
          <w:sz w:val="32"/>
          <w:szCs w:val="32"/>
          <w:lang w:val="zh-CN"/>
        </w:rPr>
      </w:pPr>
      <w:r>
        <w:rPr>
          <w:rFonts w:hint="eastAsia" w:eastAsia="仿宋_GB2312"/>
          <w:sz w:val="32"/>
          <w:szCs w:val="32"/>
        </w:rPr>
        <w:t>6.灾害防治及应急管理支出（类）应急管理事务（款）灾害风险防治（项）:支出决算数为20.00万元，比上年决算减少70.27万元，下降77.84%，主要原因是：2023年财政拨付“自治区第一次全国自然灾害综合风险普查”项目资金较2022年减少35.27万元；2023年财政未拨付“全国自然灾害综合风险普查”项目资金35万元</w:t>
      </w:r>
      <w:r>
        <w:rPr>
          <w:rFonts w:hint="eastAsia" w:eastAsia="仿宋_GB2312"/>
          <w:sz w:val="32"/>
          <w:szCs w:val="32"/>
          <w:lang w:val="zh-CN"/>
        </w:rPr>
        <w:t>。</w:t>
      </w:r>
    </w:p>
    <w:p w14:paraId="356CC290">
      <w:pPr>
        <w:ind w:firstLine="640" w:firstLineChars="200"/>
        <w:jc w:val="both"/>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7.社会保障和就业支出（类）行政事业单位养老支出（款）机关事业单位基本养老保险缴费支出（项）:支出决算数为84.18万元，比上年决算增加9.77万元，增长13.13%，主要原因是：</w:t>
      </w:r>
      <w:r>
        <w:rPr>
          <w:rFonts w:hint="eastAsia" w:ascii="仿宋_GB2312" w:eastAsia="仿宋_GB2312"/>
          <w:sz w:val="32"/>
          <w:szCs w:val="32"/>
        </w:rPr>
        <w:t>在职人员工资、津贴补贴调增，因此社保缴纳基数相应增加</w:t>
      </w:r>
      <w:r>
        <w:rPr>
          <w:rFonts w:hint="eastAsia" w:eastAsia="仿宋_GB2312"/>
          <w:sz w:val="32"/>
          <w:szCs w:val="32"/>
          <w:lang w:val="zh-CN"/>
        </w:rPr>
        <w:t>。</w:t>
      </w:r>
    </w:p>
    <w:p w14:paraId="5A7F3010">
      <w:pPr>
        <w:ind w:firstLine="640" w:firstLineChars="200"/>
        <w:jc w:val="both"/>
        <w:rPr>
          <w:rFonts w:eastAsia="仿宋_GB2312"/>
          <w:sz w:val="32"/>
          <w:szCs w:val="32"/>
        </w:rPr>
      </w:pPr>
      <w:r>
        <w:rPr>
          <w:rFonts w:hint="eastAsia" w:eastAsia="仿宋_GB2312"/>
          <w:sz w:val="32"/>
          <w:szCs w:val="32"/>
        </w:rPr>
        <w:t>8.灾害防治及应急管理支出（类）自然灾害防治（款）地质灾害防治（项）:支出决算数为1,040.00万元，比上年决算减少220.00万元，下降17.46%，主要原因是：下达中央2023年自然灾害防治体系建设补助资金较上年有所减少。</w:t>
      </w:r>
    </w:p>
    <w:p w14:paraId="73C773B5">
      <w:pPr>
        <w:ind w:firstLine="640" w:firstLineChars="200"/>
        <w:jc w:val="both"/>
        <w:rPr>
          <w:rFonts w:eastAsia="仿宋_GB2312"/>
          <w:sz w:val="32"/>
          <w:szCs w:val="32"/>
          <w:lang w:val="zh-CN"/>
        </w:rPr>
      </w:pPr>
      <w:r>
        <w:rPr>
          <w:rFonts w:hint="eastAsia" w:eastAsia="仿宋_GB2312"/>
          <w:sz w:val="32"/>
          <w:szCs w:val="32"/>
        </w:rPr>
        <w:t>9.住房保障支出（类）住房改革支出（款）住房公积金（项）:支出决算数为63.13万元，比上年决算增加7.32万元，增长13.12%，主要原因是：</w:t>
      </w:r>
      <w:r>
        <w:rPr>
          <w:rFonts w:hint="eastAsia" w:ascii="仿宋_GB2312" w:eastAsia="仿宋_GB2312"/>
          <w:sz w:val="32"/>
          <w:szCs w:val="32"/>
        </w:rPr>
        <w:t>在职人员工资、津贴补贴调增，因此住房公积金缴纳基数相应增加</w:t>
      </w:r>
      <w:r>
        <w:rPr>
          <w:rFonts w:hint="eastAsia" w:eastAsia="仿宋_GB2312"/>
          <w:sz w:val="32"/>
          <w:szCs w:val="32"/>
          <w:lang w:val="zh-CN"/>
        </w:rPr>
        <w:t>。</w:t>
      </w:r>
    </w:p>
    <w:p w14:paraId="60E2F61E">
      <w:pPr>
        <w:ind w:firstLine="640" w:firstLineChars="200"/>
        <w:jc w:val="both"/>
        <w:rPr>
          <w:rFonts w:eastAsia="仿宋_GB2312"/>
          <w:sz w:val="32"/>
          <w:szCs w:val="32"/>
        </w:rPr>
      </w:pPr>
      <w:r>
        <w:rPr>
          <w:rFonts w:hint="eastAsia" w:eastAsia="仿宋_GB2312"/>
          <w:sz w:val="32"/>
          <w:szCs w:val="32"/>
        </w:rPr>
        <w:t>10.自然资源海洋气象等支出（类）自然资源事务（款）地质勘查与矿产资源管理（项）:支出决算数为0.00万元，比上年决算减少1.50万元，下降100</w:t>
      </w:r>
      <w:r>
        <w:rPr>
          <w:rFonts w:hint="eastAsia" w:eastAsia="仿宋_GB2312"/>
          <w:sz w:val="32"/>
          <w:szCs w:val="32"/>
          <w:lang w:val="en-US" w:eastAsia="zh-CN"/>
        </w:rPr>
        <w:t>.00</w:t>
      </w:r>
      <w:r>
        <w:rPr>
          <w:rFonts w:hint="eastAsia" w:eastAsia="仿宋_GB2312"/>
          <w:sz w:val="32"/>
          <w:szCs w:val="32"/>
        </w:rPr>
        <w:t>%，主要原因是：2023年度财政未拨付地质勘查与矿产资源管理（项）项目。</w:t>
      </w:r>
    </w:p>
    <w:p w14:paraId="46C1F0C1">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12E47B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1,031.23万元，其中：人员经费970.91万元，包括：基本工资、津贴补贴、绩效工资、机关事业单位基本养老保险缴费、职业年金缴费、职工基本医疗保险缴费、公务员医疗补助缴费、其他社会保障缴费、住房公积金、其他工资福利支出、退休费、其他对个人和家庭的补助。</w:t>
      </w:r>
    </w:p>
    <w:p w14:paraId="71468B97">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公用经费60.32万元，包括：办公费、水费、电费、邮电费、取暖费、物业管理费、差旅费、工会经费、福利费、公务用车运行维护费、其他交通费用、其他商品和服务支出。</w:t>
      </w:r>
    </w:p>
    <w:p w14:paraId="0C35D906">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CCB8D90">
      <w:pPr>
        <w:ind w:firstLine="640" w:firstLineChars="200"/>
        <w:jc w:val="both"/>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“三公”经费支出3.50万元，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严格遵守执行中央八项规定，控制“三公经费”支出。其中：因公出国（境）费支出0.00万元，占0.00%，比上年增加0.00万元，增长0.00%，主要原因是：我单位无因公出国（境）费；公务用车购置及运行维护费支出3.50万元，占100.00%，比上年增加0.00万元，增长0.00%，主要原因是：严格遵守执行中央八项规定，控制“三公经费”支出；公务接待费支出0.00万元，占0.00%，比上年增加0.00万元，增长0.00%，主要原因是：我单位无公务接待费。</w:t>
      </w:r>
    </w:p>
    <w:p w14:paraId="3E8D21D2">
      <w:pPr>
        <w:ind w:firstLine="640" w:firstLineChars="200"/>
        <w:jc w:val="both"/>
        <w:rPr>
          <w:rFonts w:ascii="仿宋_GB2312" w:eastAsia="仿宋_GB2312"/>
          <w:sz w:val="32"/>
          <w:szCs w:val="32"/>
          <w:lang w:val="zh-CN"/>
        </w:rPr>
      </w:pPr>
      <w:r>
        <w:rPr>
          <w:rFonts w:hint="eastAsia" w:ascii="仿宋_GB2312" w:eastAsia="仿宋_GB2312"/>
          <w:sz w:val="32"/>
          <w:szCs w:val="32"/>
          <w:lang w:val="zh-CN"/>
        </w:rPr>
        <w:t>具体情况如下：</w:t>
      </w:r>
    </w:p>
    <w:p w14:paraId="50E678B9">
      <w:pPr>
        <w:ind w:firstLine="640" w:firstLineChars="200"/>
        <w:jc w:val="both"/>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因公出国（境）费支出0.00万元，开支内容包括我单位无因公出国（境）费。单位全年安排的因公出国（境）团组0个，因公出国（境）0人次。</w:t>
      </w:r>
    </w:p>
    <w:p w14:paraId="22DDBA6B">
      <w:pPr>
        <w:ind w:firstLine="640" w:firstLineChars="200"/>
        <w:jc w:val="both"/>
        <w:rPr>
          <w:rFonts w:ascii="仿宋_GB2312" w:eastAsia="仿宋_GB2312"/>
          <w:sz w:val="32"/>
          <w:szCs w:val="32"/>
          <w:lang w:val="zh-CN"/>
        </w:rPr>
      </w:pPr>
      <w:r>
        <w:rPr>
          <w:rFonts w:hint="eastAsia" w:ascii="仿宋_GB2312" w:eastAsia="仿宋_GB2312"/>
          <w:sz w:val="32"/>
          <w:szCs w:val="32"/>
          <w:lang w:val="zh-CN"/>
        </w:rPr>
        <w:t>公务用车购置及运行维护费3.50万元，其中：公务用车购置费0.00万元，公务用车运行维护费3.50万元。公务用车运行维护费开支内容包括公务运行车辆燃料费、保险费、维修（护）费。公务用车购置数0辆，公务用车保有量5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国有资产占用情况中固定资产车辆数与公务用车保有量无差异</w:t>
      </w:r>
      <w:r>
        <w:rPr>
          <w:rFonts w:hint="eastAsia" w:ascii="仿宋_GB2312" w:eastAsia="仿宋_GB2312"/>
          <w:sz w:val="32"/>
          <w:szCs w:val="32"/>
          <w:lang w:val="zh-CN"/>
        </w:rPr>
        <w:t>。</w:t>
      </w:r>
    </w:p>
    <w:p w14:paraId="3A152CEF">
      <w:pPr>
        <w:ind w:firstLine="640" w:firstLineChars="200"/>
        <w:jc w:val="both"/>
        <w:rPr>
          <w:rFonts w:ascii="仿宋_GB2312" w:eastAsia="仿宋_GB2312"/>
          <w:sz w:val="32"/>
          <w:szCs w:val="32"/>
          <w:lang w:val="zh-CN"/>
        </w:rPr>
      </w:pPr>
      <w:r>
        <w:rPr>
          <w:rFonts w:hint="eastAsia" w:ascii="仿宋_GB2312" w:eastAsia="仿宋_GB2312"/>
          <w:sz w:val="32"/>
          <w:szCs w:val="32"/>
          <w:lang w:val="zh-CN"/>
        </w:rPr>
        <w:t>公务接待费0.00万元，开支内容包括我单位无公务接待费。单位全年安排的国内公务接待0批次，0人次。</w:t>
      </w:r>
    </w:p>
    <w:p w14:paraId="1F87CA2E">
      <w:pPr>
        <w:ind w:firstLine="640" w:firstLineChars="200"/>
        <w:jc w:val="both"/>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预算数3.50万元，决算数3.50万元，预决算差异率0.00%，主要原因是：</w:t>
      </w:r>
      <w:r>
        <w:rPr>
          <w:rFonts w:hint="eastAsia" w:ascii="仿宋_GB2312" w:eastAsia="仿宋_GB2312"/>
          <w:sz w:val="32"/>
          <w:szCs w:val="32"/>
        </w:rPr>
        <w:t>严格遵守执行中央八项规定，控制“三公经费”支出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预算数3.50万元，决算数3.50万元，预决算差异率0.00%，主要原因是：</w:t>
      </w:r>
      <w:r>
        <w:rPr>
          <w:rFonts w:hint="eastAsia" w:ascii="仿宋_GB2312" w:eastAsia="仿宋_GB2312"/>
          <w:sz w:val="32"/>
          <w:szCs w:val="32"/>
        </w:rPr>
        <w:t>严格遵守执行中央八项规定，控制“三公经费”支出</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sz w:val="32"/>
          <w:szCs w:val="32"/>
          <w:lang w:val="zh-CN"/>
        </w:rPr>
        <w:t>。</w:t>
      </w:r>
    </w:p>
    <w:p w14:paraId="1E14683B">
      <w:pPr>
        <w:ind w:firstLine="640" w:firstLineChars="200"/>
        <w:jc w:val="left"/>
        <w:outlineLvl w:val="1"/>
        <w:rPr>
          <w:rFonts w:ascii="仿宋_GB2312" w:eastAsia="仿宋_GB2312"/>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61E519C">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81483C7">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BAA4D51">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98FA318">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6E3D641">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C2446FE">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新疆维吾尔自治区地质环境监测院</w:t>
      </w:r>
      <w:r>
        <w:rPr>
          <w:rFonts w:hint="eastAsia" w:eastAsia="仿宋_GB2312"/>
          <w:sz w:val="32"/>
          <w:szCs w:val="32"/>
          <w:lang w:val="zh-CN"/>
        </w:rPr>
        <w:t>（事业单位）公用经费支出60.32万元，比上年减少3.21万元，下降5.05%，主要原因是：</w:t>
      </w:r>
      <w:r>
        <w:rPr>
          <w:rFonts w:hint="eastAsia" w:ascii="仿宋_GB2312" w:eastAsia="仿宋_GB2312"/>
          <w:sz w:val="32"/>
          <w:szCs w:val="32"/>
        </w:rPr>
        <w:t>严格遵守执行中央八项规定，缩减公用经费支出，使得2023年度公用经费支出较2022年有所减少</w:t>
      </w:r>
      <w:r>
        <w:rPr>
          <w:rFonts w:hint="eastAsia" w:eastAsia="仿宋_GB2312"/>
          <w:sz w:val="32"/>
          <w:szCs w:val="32"/>
          <w:lang w:val="zh-CN"/>
        </w:rPr>
        <w:t>。</w:t>
      </w:r>
    </w:p>
    <w:p w14:paraId="595804E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95C7F78">
      <w:pPr>
        <w:ind w:firstLine="640" w:firstLineChars="200"/>
        <w:jc w:val="left"/>
        <w:rPr>
          <w:rFonts w:eastAsia="仿宋_GB2312"/>
          <w:sz w:val="32"/>
          <w:szCs w:val="32"/>
          <w:lang w:val="zh-CN"/>
        </w:rPr>
      </w:pPr>
      <w:r>
        <w:rPr>
          <w:rFonts w:hint="eastAsia" w:eastAsia="仿宋_GB2312"/>
          <w:sz w:val="32"/>
          <w:szCs w:val="32"/>
          <w:lang w:val="zh-CN"/>
        </w:rPr>
        <w:t>2023年度政府采购支出总额876.14万元，其中：政府采购货物支出259.15万元、政府采购工程支出0.00万元、政府采购服务支出616.99万元。</w:t>
      </w:r>
    </w:p>
    <w:p w14:paraId="29FBACE7">
      <w:pPr>
        <w:ind w:firstLine="640" w:firstLineChars="200"/>
        <w:jc w:val="left"/>
        <w:rPr>
          <w:rFonts w:eastAsia="仿宋_GB2312"/>
          <w:sz w:val="32"/>
          <w:szCs w:val="32"/>
        </w:rPr>
      </w:pPr>
      <w:r>
        <w:rPr>
          <w:rFonts w:hint="eastAsia" w:eastAsia="仿宋_GB2312"/>
          <w:sz w:val="32"/>
          <w:szCs w:val="32"/>
          <w:lang w:val="zh-CN"/>
        </w:rPr>
        <w:t>授予中小企业合同金额876.14万元，占政府采购支出总额的100.00</w:t>
      </w:r>
      <w:r>
        <w:rPr>
          <w:rFonts w:eastAsia="仿宋_GB2312"/>
          <w:sz w:val="32"/>
          <w:szCs w:val="32"/>
          <w:lang w:val="zh-CN"/>
        </w:rPr>
        <w:t>%</w:t>
      </w:r>
      <w:r>
        <w:rPr>
          <w:rFonts w:hint="eastAsia" w:eastAsia="仿宋_GB2312"/>
          <w:sz w:val="32"/>
          <w:szCs w:val="32"/>
          <w:lang w:val="zh-CN"/>
        </w:rPr>
        <w:t>，其中：授予小微企业合同金额448.34万元，占政府采购支出总额的51.17</w:t>
      </w:r>
      <w:r>
        <w:rPr>
          <w:rFonts w:eastAsia="仿宋_GB2312"/>
          <w:sz w:val="32"/>
          <w:szCs w:val="32"/>
          <w:lang w:val="zh-CN"/>
        </w:rPr>
        <w:t>%</w:t>
      </w:r>
      <w:r>
        <w:rPr>
          <w:rFonts w:hint="eastAsia" w:eastAsia="仿宋_GB2312"/>
          <w:sz w:val="32"/>
          <w:szCs w:val="32"/>
        </w:rPr>
        <w:t>。</w:t>
      </w:r>
    </w:p>
    <w:p w14:paraId="0682C2D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1AB9D52">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3,606.58万元，房屋0.0平方米，价值0.00万元。车辆5辆，价值360.72万元，其中：副部（省）级及以上领导用车0辆、主要负责人用车0辆、机要通信用车0辆、应急保障用车0辆、执法执勤用车0辆、特种专业技术用车2辆、离退休干部服务用车0辆、其他用车3辆，其他用车主要是：为保障机构正常运转、完成日常工作任务</w:t>
      </w:r>
      <w:r>
        <w:rPr>
          <w:rFonts w:hint="eastAsia" w:ascii="仿宋_GB2312" w:eastAsia="仿宋_GB2312"/>
          <w:sz w:val="32"/>
          <w:szCs w:val="32"/>
          <w:lang w:eastAsia="zh-CN"/>
        </w:rPr>
        <w:t>用车</w:t>
      </w:r>
      <w:r>
        <w:rPr>
          <w:rFonts w:hint="eastAsia" w:ascii="仿宋_GB2312" w:eastAsia="仿宋_GB2312"/>
          <w:sz w:val="32"/>
          <w:szCs w:val="32"/>
        </w:rPr>
        <w:t>；单价100万元（含）以上设备（不含车辆）2台（套）。</w:t>
      </w:r>
    </w:p>
    <w:p w14:paraId="1581FE10">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ABB42A6">
      <w:pPr>
        <w:ind w:firstLine="640" w:firstLineChars="200"/>
        <w:rPr>
          <w:rFonts w:ascii="仿宋_GB2312" w:eastAsia="仿宋_GB2312"/>
          <w:sz w:val="32"/>
          <w:szCs w:val="32"/>
          <w:lang w:val="zh-CN"/>
        </w:rPr>
      </w:pPr>
      <w:r>
        <w:rPr>
          <w:rFonts w:hint="eastAsia" w:ascii="仿宋_GB2312" w:eastAsia="仿宋_GB2312"/>
          <w:sz w:val="32"/>
          <w:szCs w:val="32"/>
          <w:lang w:val="zh-CN"/>
        </w:rPr>
        <w:t>根据预算绩效管理要求，我单位2023年度预算绩效管理整体支出绩效自评表</w:t>
      </w:r>
      <w:r>
        <w:rPr>
          <w:rFonts w:hint="eastAsia" w:ascii="仿宋_GB2312" w:eastAsia="仿宋_GB2312"/>
          <w:sz w:val="32"/>
          <w:szCs w:val="32"/>
          <w:lang w:val="en-US" w:eastAsia="zh-CN"/>
        </w:rPr>
        <w:t>0</w:t>
      </w:r>
      <w:r>
        <w:rPr>
          <w:rFonts w:hint="eastAsia" w:ascii="仿宋_GB2312" w:eastAsia="仿宋_GB2312"/>
          <w:sz w:val="32"/>
          <w:szCs w:val="32"/>
          <w:lang w:val="zh-CN"/>
        </w:rPr>
        <w:t>个，全年预算总额</w:t>
      </w:r>
      <w:r>
        <w:rPr>
          <w:rFonts w:hint="eastAsia" w:ascii="仿宋_GB2312" w:eastAsia="仿宋_GB2312"/>
          <w:sz w:val="32"/>
          <w:szCs w:val="32"/>
          <w:lang w:val="en-US" w:eastAsia="zh-CN"/>
        </w:rPr>
        <w:t>0.00</w:t>
      </w:r>
      <w:r>
        <w:rPr>
          <w:rFonts w:hint="eastAsia" w:ascii="仿宋_GB2312" w:eastAsia="仿宋_GB2312"/>
          <w:sz w:val="32"/>
          <w:szCs w:val="32"/>
          <w:lang w:val="zh-CN"/>
        </w:rPr>
        <w:t>万元，实际执行总额</w:t>
      </w:r>
      <w:r>
        <w:rPr>
          <w:rFonts w:hint="eastAsia" w:ascii="仿宋_GB2312" w:eastAsia="仿宋_GB2312"/>
          <w:sz w:val="32"/>
          <w:szCs w:val="32"/>
          <w:lang w:val="en-US" w:eastAsia="zh-CN"/>
        </w:rPr>
        <w:t>0.00</w:t>
      </w:r>
      <w:r>
        <w:rPr>
          <w:rFonts w:hint="eastAsia" w:ascii="仿宋_GB2312" w:eastAsia="仿宋_GB2312"/>
          <w:sz w:val="32"/>
          <w:szCs w:val="32"/>
          <w:lang w:val="zh-CN"/>
        </w:rPr>
        <w:t>万元；预算绩效评价项目5个，全年预算数2736万元，全年执行数2736万元。预算绩效管理取得的成效：一是增强资金使用效益，对预算执行过程的监控和绩效评价，促使</w:t>
      </w:r>
      <w:r>
        <w:rPr>
          <w:rFonts w:hint="eastAsia" w:ascii="仿宋_GB2312" w:eastAsia="仿宋_GB2312"/>
          <w:sz w:val="32"/>
          <w:szCs w:val="32"/>
        </w:rPr>
        <w:t>各科室</w:t>
      </w:r>
      <w:r>
        <w:rPr>
          <w:rFonts w:hint="eastAsia" w:ascii="仿宋_GB2312" w:eastAsia="仿宋_GB2312"/>
          <w:sz w:val="32"/>
          <w:szCs w:val="32"/>
          <w:lang w:val="zh-CN"/>
        </w:rPr>
        <w:t>更加注重资金的使用效果，采取有效的措施提高项目的产出和成果；二是促进预算管理的科学化和精细化，明确预算目标、制定量化指标和评价标准，使预算管理更加规范、科学、精细；</w:t>
      </w:r>
      <w:r>
        <w:rPr>
          <w:rFonts w:hint="eastAsia" w:ascii="仿宋_GB2312" w:eastAsia="仿宋_GB2312"/>
          <w:sz w:val="32"/>
          <w:szCs w:val="32"/>
        </w:rPr>
        <w:t>三是强化责任意识，明确各部门和在预算绩效管理中的责任，促进其积极履行职责，提高工作效率和管理水平。</w:t>
      </w:r>
      <w:r>
        <w:rPr>
          <w:rFonts w:hint="eastAsia" w:ascii="仿宋_GB2312" w:eastAsia="仿宋_GB2312"/>
          <w:sz w:val="32"/>
          <w:szCs w:val="32"/>
          <w:lang w:val="zh-CN"/>
        </w:rPr>
        <w:t>发现的问题及原因：一是预算绩效责任主体意识不强。预算绩效管理强调“谁支出、谁负责”的责任约束，业务部门作为预算基础数据编制和使用主体，理应对各项业务的预算绩效负有直接责任，但在实际过程中，业务部门存在轻业务预算申报、重财务预算下达的惯性思维，认为“预算、绩效涉及钱和账的均属于财务部门的管理范畴，业务部门只需按照财务预算执行”，这使得预算绩效资料填报不够完全精准，执行过程中导致预算实效与目标有一定的偏差，出现调整预算绩效目标、绩效自评效果不够理想的问题；二是预算绩效人员岗位设置不合理，由于人员不足，财务人员不仅负责实施绩效监控和绩效评价，也承担执行预算绩效工作，出现的一岗多责情况，极易导致绩效工作精力不足、业务专业度不高、不相容岗位未有效分离等问题，进而影响到预算绩效管理工作的整体准确性和可靠性。三是预算绩效体系建设不完善，未充分发挥绩效目标引领作用，绩效目标设置不够合理，未能实现规范化编制预算绩效目标贯穿预算编制、执行监控、结果评价全过程，在绩效目标设置过程中，出现绩效目标细化、量化程度不高，数量、质量、效益、成本等指标填报模糊、笼统，表述不规范的情况。绩效目标编制质量不高，难以通过绩效目标实现情况判断项目建设成效，不能起到绩效目标的引领作用。下一步改进措施：一是强化预算绩效管理意识，通过培训、宣传等方式，提高政府部门和单位对预算绩效管理的认识，树立绩效观念；二是完善预算绩效管理制度，构建科学合理的预算绩效管理制度，明确绩效目标、指标体系和评价方法，为预算绩效管理提供制度保障；三是提高预算绩效管理信息化水平，加大预算绩效管理信息化建设投入，实现绩效管理业务与预算管理一体化系统的深度融合，提高工作效率；四是强化预算绩效评价结果应用，将评价结果作为预算调整和政策优化的依据，提高预算绩效管理的实效；五是培养预算绩效管理人才：加强预算绩效管理专业人才的培养，提高预算绩效管理队伍的整体素质。具体项目自评情况附绩效自评表及自评报告。</w:t>
      </w:r>
    </w:p>
    <w:p w14:paraId="5DEEB35D">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49E27E3">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82E4FB8">
      <w:pPr>
        <w:jc w:val="center"/>
        <w:outlineLvl w:val="0"/>
        <w:rPr>
          <w:rFonts w:ascii="黑体" w:hAnsi="黑体" w:eastAsia="黑体"/>
          <w:sz w:val="32"/>
          <w:szCs w:val="32"/>
        </w:rPr>
      </w:pPr>
      <w:bookmarkStart w:id="48" w:name="_GoBack"/>
      <w:bookmarkEnd w:id="48"/>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27DBF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8866FE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692107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57896C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1C6036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784639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CA83C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99D4D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F3F4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5CF54E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3A6077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156A28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F7BA44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91DC2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8266834">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405AD5C">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CC95972">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58491EC0">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454D452">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09F7172">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ED9E263">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52ED59D9">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DBB2477">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7EDC505">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FAFF27B">
      <w:pPr>
        <w:ind w:firstLine="640" w:firstLineChars="200"/>
        <w:rPr>
          <w:rFonts w:ascii="仿宋_GB2312" w:eastAsia="仿宋_GB2312"/>
          <w:sz w:val="32"/>
          <w:szCs w:val="32"/>
        </w:rPr>
      </w:pPr>
    </w:p>
    <w:p w14:paraId="7987FE36">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ngLiU">
    <w:panose1 w:val="02020509000000000000"/>
    <w:charset w:val="88"/>
    <w:family w:val="modern"/>
    <w:pitch w:val="default"/>
    <w:sig w:usb0="A00002FF" w:usb1="28CFFCFA" w:usb2="00000016"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38373">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5397248">
                          <w:pPr>
                            <w:pStyle w:val="5"/>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14:paraId="35397248">
                    <w:pPr>
                      <w:pStyle w:val="5"/>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8073DE"/>
    <w:rsid w:val="00021BF4"/>
    <w:rsid w:val="000C2B09"/>
    <w:rsid w:val="00127D53"/>
    <w:rsid w:val="00133052"/>
    <w:rsid w:val="00213C59"/>
    <w:rsid w:val="003210CE"/>
    <w:rsid w:val="003F3491"/>
    <w:rsid w:val="00406E2F"/>
    <w:rsid w:val="005A0803"/>
    <w:rsid w:val="00670F05"/>
    <w:rsid w:val="0072795F"/>
    <w:rsid w:val="007625E1"/>
    <w:rsid w:val="008073DE"/>
    <w:rsid w:val="00A717B0"/>
    <w:rsid w:val="00B70D59"/>
    <w:rsid w:val="00C339CC"/>
    <w:rsid w:val="00CF521A"/>
    <w:rsid w:val="00D86629"/>
    <w:rsid w:val="00DD5BEF"/>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B1D5F"/>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BF0CD6"/>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54B02"/>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7A0EC0"/>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9D56D1"/>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8E44E8E"/>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902DAE"/>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8F408CD"/>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794A10"/>
    <w:rsid w:val="669B4528"/>
    <w:rsid w:val="66CC12D7"/>
    <w:rsid w:val="66E0683D"/>
    <w:rsid w:val="67134CEF"/>
    <w:rsid w:val="671F1ABD"/>
    <w:rsid w:val="67521A59"/>
    <w:rsid w:val="67C304AB"/>
    <w:rsid w:val="683F0658"/>
    <w:rsid w:val="689C6793"/>
    <w:rsid w:val="68DB0208"/>
    <w:rsid w:val="68FB170C"/>
    <w:rsid w:val="691B3D98"/>
    <w:rsid w:val="693748F0"/>
    <w:rsid w:val="69846A0E"/>
    <w:rsid w:val="69AD798C"/>
    <w:rsid w:val="69D005C0"/>
    <w:rsid w:val="69D80B96"/>
    <w:rsid w:val="6B574BF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E4207F"/>
    <w:rsid w:val="7111480F"/>
    <w:rsid w:val="71261F49"/>
    <w:rsid w:val="712E6956"/>
    <w:rsid w:val="71473612"/>
    <w:rsid w:val="71504F32"/>
    <w:rsid w:val="7152309F"/>
    <w:rsid w:val="718F7F65"/>
    <w:rsid w:val="727B234E"/>
    <w:rsid w:val="72D068C7"/>
    <w:rsid w:val="72E42ED8"/>
    <w:rsid w:val="73552361"/>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41EF7"/>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DC361F"/>
    <w:rsid w:val="7BE905E8"/>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widowControl/>
      <w:spacing w:before="260" w:after="260" w:line="416" w:lineRule="auto"/>
      <w:jc w:val="left"/>
      <w:outlineLvl w:val="2"/>
    </w:pPr>
    <w:rPr>
      <w:rFonts w:ascii="MingLiU" w:hAnsi="MingLiU" w:eastAsia="楷体_GB2312" w:cs="MingLiU"/>
      <w:b/>
      <w:bCs/>
      <w:color w:val="000000"/>
      <w:kern w:val="0"/>
      <w:sz w:val="32"/>
      <w:szCs w:val="32"/>
      <w:lang w:val="zh-CN"/>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6855</Words>
  <Characters>7695</Characters>
  <Lines>61</Lines>
  <Paragraphs>17</Paragraphs>
  <TotalTime>337</TotalTime>
  <ScaleCrop>false</ScaleCrop>
  <LinksUpToDate>false</LinksUpToDate>
  <CharactersWithSpaces>7706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2024-08-24T10:06:27Z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47D7AE47BBC64A86AF52B7DBE535B3BF_13</vt:lpwstr>
  </property>
</Properties>
</file>