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新疆维吾尔自治区国土综合整治中心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r>
        <w:rPr>
          <w:rFonts w:hint="eastAsia" w:ascii="仿宋_GB2312" w:hAnsi="仿宋_GB2312" w:eastAsia="仿宋_GB2312" w:cs="仿宋_GB2312"/>
          <w:sz w:val="32"/>
          <w:szCs w:val="32"/>
          <w:highlight w:val="none"/>
        </w:rPr>
        <w:fldChar w:fldCharType="end"/>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center"/>
        <w:outlineLvl w:val="0"/>
        <w:rPr>
          <w:rFonts w:ascii="黑体" w:hAnsi="黑体" w:eastAsia="黑体"/>
          <w:sz w:val="32"/>
          <w:szCs w:val="32"/>
        </w:rPr>
      </w:pPr>
      <w:r>
        <w:rPr>
          <w:rFonts w:hint="eastAsia" w:ascii="黑体" w:hAnsi="黑体" w:eastAsia="黑体"/>
          <w:sz w:val="32"/>
          <w:szCs w:val="32"/>
        </w:rPr>
        <w:t>第一部分 单位概况</w:t>
      </w:r>
    </w:p>
    <w:p>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（1）开展自治区国土综合整治与生态修复相关政策、理论、技术标准、模式、机制等研究。</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（2）承担自治区国土空间生态修复规划及相关专项规划研究编制和实施评估，开展重点区域生态修复实施方案研究编制和实施评估工作。</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（3）承担自治区山水林田湖草沙生态修复的技术指导、监测评估等工作。</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承担永久基本农田划定与保护、农用地用途转用和土地征收的政策研究。承担耕地保护责任目标考核、耕地占补平衡监测、城乡建设用地增减挂钩、土地征收等业务支撑工作。负责自治区补充耕地储备库和指标调剂平台建设。</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（5）承担自然资源资产清查、生态产品价值核算和平衡表编制相关业务支撑工作，开展自然资源资产保护使用规划、土地储备、考核评价等技术研究。负责自治区自然资源资产管理平台建设。</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（6）承担自然资源分等定级价格评估、自然资源开发利用标准和评价考核等业务支撑工作，开展自然资源等级评价和资产评估技术标准研究。</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（7）承担国土综合整治与生态修复领域应用基础研究、关键技术研发以及科技成果转化应用等科技创新工作。组织开展自然资源科技创新平台建设。</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（8）完成自治区自然资源厅交办的其他事项。</w:t>
      </w:r>
    </w:p>
    <w:p>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新疆维吾尔自治区国土综合整治中心2023年度，实有人数52人，其中：在职人员39人，离休人员0人，退休人员13人。</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单位无下属预算单位，下设5个处室，分别是：办公室、生态修复部(工程技术创新中心)、农用地监测部、自然资源资产评价部、机关党委(人力资源部)。</w:t>
      </w: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both"/>
        <w:rPr>
          <w:rFonts w:hint="eastAsia" w:ascii="仿宋_GB2312" w:eastAsia="仿宋_GB2312"/>
          <w:sz w:val="32"/>
          <w:szCs w:val="32"/>
          <w:lang w:val="zh-CN"/>
        </w:rPr>
      </w:pPr>
    </w:p>
    <w:p>
      <w:pPr>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2023年度收入总计4,397.63万元，其中：本年收入合计4,155.80万元，使用非财政拨款结余241.82万元，年初结转和结余0.00万元。</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2023年度支出总计4,397.63万元，其中：本年支出合计4,397.63万元，结余分配0.00万元，年末结转和结余0.00万元。</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收入支出总体与上年相比，增加465.32万元，增长11.83%，主要原因是：本年度增加2023年自治区全民所有自然资源资产清查试点工作，全域土地综合整治试点项目。</w:t>
      </w:r>
    </w:p>
    <w:p>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本年收入4,155.80万元，其中：财政拨款收入4,067.59万元，占97.88%；上级补助收入0.00万元，占0.00%；事业收入0.00万元，占0.00%；经营收入78.40万元，占1.89%；附属单位上缴收入0.00万元，占0.00%；其他收入9.81万元，占0.24%。</w:t>
      </w:r>
    </w:p>
    <w:p>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本年支出4,397.63万元，其中：基本支出1,261.77万元，占28.69%；项目支出3,057.46万元，占69.53%；上缴上级支出0.00万元，占0.00%；经营支出78.40万元，占1.78%；对附属单位补助支出0.00万元，占0.00%。</w:t>
      </w:r>
    </w:p>
    <w:p>
      <w:pPr>
        <w:ind w:firstLine="640" w:firstLineChars="200"/>
        <w:jc w:val="both"/>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财政拨款收入总计4,067.59万元，其中：年初财政拨款结转和结余0.00万元，本年财政拨款收入4,067.59万元。财政拨款支出总计4,067.59万元，其中：年末财政拨款结转和结余0.00万元，本年财政拨款支出4,067.59万元。</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财政拨款收入支出总体与上年相比,增加641.57万元，增长18.73%，主要原因是：本年度增加2023年自治区全民所有自然资源资产清查试点工作，全域土地综合整治试点项目。与年初预算相比，年初预算数3,983.24万元，决算数4,067.59万元，预决算差异率2.12%，主要原因是：调增基本工资、年度考核奖、访惠聚工作经费，因此预决算产生差异。</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一般公共预算财政拨款支出4,067.59万元，占本年支出合计的92.50%。与上年相比，增加641.57万元，增长18.73%，主要原因是：本年度增加2023年自治区全民所有自然资源资产清查试点工作，全域土地综合整治试点项目。与年初预算相比，年初预算数3,983.24万元，决算数4,067.59万元，预决算差异率2.12%，主要原因是：调增基本工资、年度考核奖、访惠聚工作经费，因此预决算产生差异。</w:t>
      </w:r>
    </w:p>
    <w:p>
      <w:pPr>
        <w:numPr>
          <w:ilvl w:val="0"/>
          <w:numId w:val="1"/>
        </w:numPr>
        <w:ind w:firstLine="640" w:firstLineChars="200"/>
        <w:jc w:val="both"/>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1.社会保障和就业支出（类）143.62万元，占3.53%；</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2.卫生健康支出（类）85.07万元，占2.09%；</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3.自然资源海洋气象等支出（类）3,772.18万元，占92.74%；</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4.住房保障支出（类）66.72万元，占1.64%；</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1.卫生健康支出（类）行政事业单位医疗（款）事业单位医疗（项）:支出决算数为46.15万元，比上年决算增加6.72万元，增长17.06%，主要原因是：在职人员工资薪酬调整增加，社保基数调增。</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2.自然资源海洋气象等支出（类）自然资源事务（款）自然资源利用与保护（项）:支出决算数为2,491.16万元，比上年决算增加535.24万元，增长27.37%，主要原因是：增加全域土地综合整治试点项目。</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3.卫生健康支出（类）行政事业单位医疗（款）公务员医疗补助（项）:支出决算数为38.92万元，比上年决算增加8.26万元，增长26.93%，主要原因是：在职人员工资薪酬调整收入增加，社保基数调增。</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4.住房保障支出（类）住房改革支出（款）住房公积金（项）:支出决算数为66.72万元，比上年决算增加11.94万元，增长21.79%，主要原因是：在职人员工资薪酬调整收入增加，住房公积金基数调增。</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5.自然资源海洋气象等支出（类）自然资源事务（款）事业运行（项）:支出决算数为714.73万元，比上年决算减少92.21万元，下降11.43%，主要原因是：当年退休6人。</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6.社会保障和就业支出（类）行政事业单位养老支出（款）事业单位离退休（项）:支出决算数为15.28万元，比上年决算减少0.37万元，下降2.36%，主要原因是：退休人员医疗费补助单位不再缴纳。</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7.自然资源海洋气象等支出（类）自然资源事务（款）自然资源社会公益服务（项）:支出决算数为566.30万元，比上年决算增加116.70万元，增长25.96%，主要原因是：增加2023年自治区全民所有自然资源资产清查试点工作经费。</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8.社会保障和就业支出（类）行政事业单位养老支出（款）机关事业单位职业年金缴费支出（项）:支出决算数为39.37万元，比上年决算增加39.37万元，增长100%，主要原因是：财政下达2022年04月-2023年03月全额拨款单位退休“中人”职业年金。</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9.社会保障和就业支出（类）行政事业单位养老支出（款）机关事业单位基本养老保险缴费支出（项）:支出决算数为88.96万元，比上年决算增加15.91万元，增长21.79%，主要原因是：在职人员工资薪酬调整增加，社保基数调增。</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一般公共预算财政拨款基本支出1,010.14万元，其中：人员经费930.80万元，包括：基本工资、津贴补贴、奖金、绩效工资、机关事业单位基本养老保险缴费、职业年金缴费、职工基本医疗保险缴费、公务员医疗补助缴费、其他社会保障缴费、住房公积金、其他工资福利支出、退休费。</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公用经费79.34万元，包括：办公费、水费、电费、邮电费、取暖费、差旅费、培训费、公务接待费、工会经费、福利费、公务用车运行维护费、其他交通费用、其他商品和服务支出。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2023年度财政拨款“三公”经费支出5.65万元，比上年增加0.55万元，增长10.85%，主要原因是：一是2022年应疫情封控等原因基本上未开展业务活动</w:t>
      </w:r>
      <w:r>
        <w:rPr>
          <w:rFonts w:hint="eastAsia" w:ascii="仿宋_GB2312" w:eastAsia="仿宋_GB2312"/>
          <w:sz w:val="32"/>
          <w:szCs w:val="32"/>
          <w:lang w:val="en-US" w:eastAsia="zh-CN"/>
        </w:rPr>
        <w:t>；</w:t>
      </w:r>
      <w:r>
        <w:rPr>
          <w:rFonts w:hint="eastAsia" w:ascii="仿宋_GB2312" w:eastAsia="仿宋_GB2312"/>
          <w:sz w:val="32"/>
          <w:szCs w:val="32"/>
          <w:lang w:val="zh-CN"/>
        </w:rPr>
        <w:t>二是2023年援疆干部对接交流，自治区全民所有自然资源资产管理信息系统与监管平台专家论证，广西壮族自治区自然资源生态修复中心赴疆开展项目调研工作，并就下一步两单位业务合作开展座谈交流，以上共发生接待费用0.65万元。其中：因公出国（境）费支出0.00万元，占0.00%，比上年增加0.00万元，增长0.00%，主要原因是：我单位因公出国（境）费；公务用车购置及运行维护费支出5.00万元，占88.53%，比上年增加0.00万元，增长0.00%，主要原因是：严格遵守执行中央八项规定，控制“三公经费”支出，公务用车购置及运行维护费支出与上年一致；公务接待费支出0.65万元，占11.47%，比上年增加0.55万元，增长582.11%，主要原因是：一是2022年应疫情封控等原因基本上未开展业务活动；二是2023年援疆干部对接交流，自治区全民所有自然资源资产管理信息系统与监管平台专家论证，广西壮族自治区自然资源生态修复中心赴疆开展项目调研工作，并就下一步两单位业务合作开展座谈交流，以上共发生接待费用0.65万元。</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因公出国（境）费支出0.00万元，开支内容包括我单位无因公出国（境）费。单位全年安排的因公出国（境）团组0个，因公出国（境）0人次。</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务用车购置及运行维护费5.00万元，其中：公务用车购置费0.00万元，公务用车运行维护费5.00万元。公务用车运行维护费开支内容包括燃料费、维修费、车辆过路费、保险费。公务用车购置数0辆，公务用车保有量6辆。国有资产占用情况中固定资产车辆6辆，与公务用车保有量差异原因是：固定资产车辆与公务用车保有辆无差异。</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公务接待费0.65万元，开支内容包括援疆干部对接交流</w:t>
      </w:r>
      <w:r>
        <w:rPr>
          <w:rFonts w:hint="eastAsia" w:ascii="仿宋_GB2312" w:eastAsia="仿宋_GB2312"/>
          <w:sz w:val="32"/>
          <w:szCs w:val="32"/>
          <w:lang w:val="zh-CN" w:eastAsia="zh-CN"/>
        </w:rPr>
        <w:t>、</w:t>
      </w:r>
      <w:r>
        <w:rPr>
          <w:rFonts w:hint="eastAsia" w:ascii="仿宋_GB2312" w:eastAsia="仿宋_GB2312"/>
          <w:sz w:val="32"/>
          <w:szCs w:val="32"/>
          <w:lang w:val="zh-CN"/>
        </w:rPr>
        <w:t>自治区全民所有自然资源资产管理信息系统与监管平台专家论证、广西壮族自治区自然资源生态修复中心赴疆开展项目调研工作、</w:t>
      </w:r>
      <w:bookmarkStart w:id="18" w:name="_GoBack"/>
      <w:bookmarkEnd w:id="18"/>
      <w:r>
        <w:rPr>
          <w:rFonts w:hint="eastAsia" w:ascii="仿宋_GB2312" w:eastAsia="仿宋_GB2312"/>
          <w:sz w:val="32"/>
          <w:szCs w:val="32"/>
          <w:lang w:val="zh-CN"/>
        </w:rPr>
        <w:t>并就下一步两单位业务合作开展座谈交流会议接待</w:t>
      </w:r>
      <w:r>
        <w:rPr>
          <w:rFonts w:hint="eastAsia" w:ascii="仿宋_GB2312" w:hAnsi="仿宋_GB2312" w:eastAsia="仿宋_GB2312" w:cs="仿宋_GB2312"/>
          <w:sz w:val="32"/>
          <w:szCs w:val="32"/>
          <w:lang w:val="en-US" w:eastAsia="zh-CN"/>
        </w:rPr>
        <w:t>产生的餐食费或住宿费等</w:t>
      </w:r>
      <w:r>
        <w:rPr>
          <w:rFonts w:hint="eastAsia" w:ascii="仿宋_GB2312" w:eastAsia="仿宋_GB2312"/>
          <w:sz w:val="32"/>
          <w:szCs w:val="32"/>
          <w:lang w:val="zh-CN"/>
        </w:rPr>
        <w:t>。单位全年安排的国内公务接待5批次，66人次。</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5.65万元，决算数5.65万元，预决算差异率0.00%，主要原因是：严格遵守执行中央八项规定，控制“三公经费”支出预决算一致无差异；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5.00万元，决算数5.00万元，预决算差异率0.00%，主要原因是：严格遵守执行中央八项规定，控制“三公经费”支出预决算一致无差异；公务接待费全年预算数0.65万元，决算数0.65万元，预决算差异率0.00%，主要原因是：严格遵守执行中央八项规定，控制“三公经费”支出预决算一致无差异。</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十、其他重要事项的情况说明</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eastAsia="仿宋_GB2312"/>
          <w:sz w:val="32"/>
          <w:szCs w:val="32"/>
          <w:lang w:val="zh-CN"/>
        </w:rPr>
      </w:pPr>
      <w:r>
        <w:rPr>
          <w:rFonts w:hint="eastAsia" w:eastAsia="仿宋_GB2312"/>
          <w:sz w:val="32"/>
          <w:szCs w:val="32"/>
          <w:lang w:val="zh-CN"/>
        </w:rPr>
        <w:t>2023年度</w:t>
      </w:r>
      <w:r>
        <w:rPr>
          <w:rFonts w:hint="eastAsia" w:eastAsia="仿宋_GB2312"/>
          <w:sz w:val="32"/>
          <w:szCs w:val="32"/>
        </w:rPr>
        <w:t>新疆维吾尔自治区国土综合整治中心</w:t>
      </w:r>
      <w:r>
        <w:rPr>
          <w:rFonts w:hint="eastAsia" w:eastAsia="仿宋_GB2312"/>
          <w:sz w:val="32"/>
          <w:szCs w:val="32"/>
          <w:lang w:val="zh-CN"/>
        </w:rPr>
        <w:t>（事业单位）公用经费支出79.34万元，比上年增加10.51万元，增长15.26%，主要原因是：规范使用预算将上一年度项目中列支的水、电、暖费用本年度在基本支出列支。</w:t>
      </w:r>
    </w:p>
    <w:p>
      <w:pPr>
        <w:ind w:firstLine="640" w:firstLineChars="200"/>
        <w:jc w:val="left"/>
        <w:rPr>
          <w:rFonts w:eastAsia="黑体"/>
          <w:sz w:val="32"/>
          <w:szCs w:val="30"/>
          <w:lang w:val="zh-CN"/>
        </w:rPr>
      </w:pPr>
      <w:r>
        <w:rPr>
          <w:rFonts w:hint="eastAsia" w:eastAsia="黑体"/>
          <w:sz w:val="32"/>
          <w:szCs w:val="30"/>
          <w:lang w:val="zh-CN"/>
        </w:rPr>
        <w:t>（二）政府采购情况</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2023年度政府采购支出总额2,480.93万元，其中：政府采购货物支出6.80万元、政府采购工程支出0.00万元、政府采购服务支出2,474.13万元。</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授予中小企业合同金额2,480.49万元，占政府采购支出总额的99.98%，其中：授予小微企业合同金额199.03万元，占政府采购支出总额的8.02%。</w:t>
      </w:r>
    </w:p>
    <w:p>
      <w:pPr>
        <w:ind w:firstLine="640" w:firstLineChars="200"/>
        <w:jc w:val="left"/>
        <w:rPr>
          <w:rFonts w:eastAsia="黑体"/>
          <w:sz w:val="32"/>
          <w:szCs w:val="30"/>
          <w:lang w:val="zh-CN"/>
        </w:rPr>
      </w:pPr>
      <w:r>
        <w:rPr>
          <w:rFonts w:hint="eastAsia" w:eastAsia="黑体"/>
          <w:sz w:val="32"/>
          <w:szCs w:val="30"/>
          <w:lang w:val="zh-CN"/>
        </w:rPr>
        <w:t>（三）国有资产占用情况说明</w:t>
      </w:r>
    </w:p>
    <w:p>
      <w:pPr>
        <w:ind w:firstLine="640" w:firstLineChars="200"/>
        <w:jc w:val="both"/>
        <w:rPr>
          <w:rFonts w:hint="eastAsia" w:ascii="仿宋_GB2312" w:eastAsia="仿宋_GB2312"/>
          <w:sz w:val="32"/>
          <w:szCs w:val="32"/>
          <w:lang w:val="zh-CN"/>
        </w:rPr>
      </w:pPr>
      <w:r>
        <w:rPr>
          <w:rFonts w:hint="eastAsia" w:ascii="仿宋_GB2312" w:eastAsia="仿宋_GB2312"/>
          <w:sz w:val="32"/>
          <w:szCs w:val="32"/>
          <w:lang w:val="zh-CN"/>
        </w:rPr>
        <w:t>截至2023年12月31日，固定资产原值1,496.35万元，房屋0.0平方米，价值0.00万元。车辆6辆，价值309.70万元，其中：副部（省）级及以上领导用车0辆、主要负责人用车0辆、机要通信用车0辆、应急保障用车0辆、执法执勤用车0辆、特种专业技术用车0辆、离退休干部服务用车0辆、其他用车6辆，其他用车主要是：日常办公用车；单价100万元（含）以上设备（不含车辆）0台（套）。</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十一、预算绩效的情况说明</w:t>
      </w:r>
    </w:p>
    <w:p>
      <w:pPr>
        <w:ind w:firstLine="640" w:firstLineChars="200"/>
        <w:jc w:val="both"/>
        <w:rPr>
          <w:rFonts w:ascii="仿宋_GB2312" w:eastAsia="仿宋_GB2312"/>
          <w:sz w:val="32"/>
          <w:szCs w:val="32"/>
        </w:rPr>
        <w:sectPr>
          <w:footerReference r:id="rId3" w:type="default"/>
          <w:pgSz w:w="11906" w:h="16838"/>
          <w:pgMar w:top="1440" w:right="1559" w:bottom="1440" w:left="1803" w:header="851" w:footer="992" w:gutter="0"/>
          <w:pgNumType w:fmt="numberInDash"/>
          <w:cols w:space="0" w:num="1"/>
          <w:docGrid w:type="lines" w:linePitch="316" w:charSpace="0"/>
        </w:sectPr>
      </w:pPr>
      <w:r>
        <w:rPr>
          <w:rFonts w:hint="eastAsia" w:ascii="仿宋_GB2312" w:eastAsia="仿宋_GB2312"/>
          <w:sz w:val="32"/>
          <w:szCs w:val="32"/>
          <w:lang w:val="zh-CN"/>
        </w:rPr>
        <w:t>根据预算绩效管理要求，我单位2023年度预算绩效管理整体支出绩效自评表</w:t>
      </w:r>
      <w:r>
        <w:rPr>
          <w:rFonts w:hint="eastAsia" w:ascii="仿宋_GB2312" w:eastAsia="仿宋_GB2312"/>
          <w:sz w:val="32"/>
          <w:szCs w:val="32"/>
          <w:lang w:val="en-US" w:eastAsia="zh-CN"/>
        </w:rPr>
        <w:t>0</w:t>
      </w:r>
      <w:r>
        <w:rPr>
          <w:rFonts w:hint="eastAsia" w:ascii="仿宋_GB2312" w:eastAsia="仿宋_GB2312"/>
          <w:sz w:val="32"/>
          <w:szCs w:val="32"/>
          <w:lang w:val="zh-CN"/>
        </w:rPr>
        <w:t>个，全年预算总额</w:t>
      </w:r>
      <w:r>
        <w:rPr>
          <w:rFonts w:hint="eastAsia" w:ascii="仿宋_GB2312" w:eastAsia="仿宋_GB2312"/>
          <w:sz w:val="32"/>
          <w:szCs w:val="32"/>
          <w:lang w:val="en-US" w:eastAsia="zh-CN"/>
        </w:rPr>
        <w:t>0.00</w:t>
      </w:r>
      <w:r>
        <w:rPr>
          <w:rFonts w:hint="eastAsia" w:ascii="仿宋_GB2312" w:eastAsia="仿宋_GB2312"/>
          <w:sz w:val="32"/>
          <w:szCs w:val="32"/>
          <w:lang w:val="zh-CN"/>
        </w:rPr>
        <w:t>万元，实际执行总额</w:t>
      </w:r>
      <w:r>
        <w:rPr>
          <w:rFonts w:hint="eastAsia" w:ascii="仿宋_GB2312" w:eastAsia="仿宋_GB2312"/>
          <w:sz w:val="32"/>
          <w:szCs w:val="32"/>
          <w:lang w:val="en-US" w:eastAsia="zh-CN"/>
        </w:rPr>
        <w:t>0.00</w:t>
      </w:r>
      <w:r>
        <w:rPr>
          <w:rFonts w:hint="eastAsia" w:ascii="仿宋_GB2312" w:eastAsia="仿宋_GB2312"/>
          <w:sz w:val="32"/>
          <w:szCs w:val="32"/>
          <w:lang w:val="zh-CN"/>
        </w:rPr>
        <w:t>万元；预算绩效评价项目</w:t>
      </w:r>
      <w:r>
        <w:rPr>
          <w:rFonts w:hint="eastAsia" w:ascii="仿宋_GB2312" w:eastAsia="仿宋_GB2312"/>
          <w:sz w:val="32"/>
          <w:szCs w:val="32"/>
          <w:lang w:val="en-US" w:eastAsia="zh-CN"/>
        </w:rPr>
        <w:t>4</w:t>
      </w:r>
      <w:r>
        <w:rPr>
          <w:rFonts w:hint="eastAsia" w:ascii="仿宋_GB2312" w:eastAsia="仿宋_GB2312"/>
          <w:sz w:val="32"/>
          <w:szCs w:val="32"/>
          <w:lang w:val="zh-CN"/>
        </w:rPr>
        <w:t>个，全年预算数3,370万元，全年执行数3,377.68万元。预算绩效管理取得的成效：一是完善绩效管理工作机制，健全绩效管理工作领导小组，明确职责分工，形成主管领导亲自抓，各处室各负其责的良好局面，提高了绩效管理效率;二是抓好绩效目标编制，组织相关人员对绩效目标和各项指标逐一进行讨论分析，确保绩效目标编制的真实、合理、有效;三是探索绩效跟踪管理，加强过程管理，对绩效目标管理范畴的项目支出，采取季度报方式采集和分析项目的绩效运行信息，为年底的绩效自评奠定基础;四是深入开展绩效评价，组织相关人员对各处室提供的项目绩效自评报告进行审查、复核，提出整改意见，在此基础上形成自评报告。发现的问题及原因：一是预算执行不够均衡项目预算编制方法还不够科学不够细化，各部门的沟通不够充分，对未来事业的发展需求缺少足够详实的支出规划，考虑还不够深入，导致预算支出执行进度前低后高；二是资金绩效考核指标不够完善绩效考核指标的设定还不够准确，部分指标的设定缺乏数据支持和科学的分析测评，无法全面反映项目的真实绩效。下一步改进措施：进一步加强对绩效管理工作的组织领导，提高对预算绩效管理工作重要性的认识，总结经验查找问题，加大全局对全面实施预算绩效管理和绩效管理工作的学习力度，让“花钱必问效，无效必问责”的理念深入工作每个环节。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0" w:name="_Toc3250"/>
      <w:bookmarkStart w:id="1" w:name="_Toc24143"/>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0"/>
      <w:bookmarkEnd w:id="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2" w:name="_Toc6062"/>
      <w:bookmarkStart w:id="3" w:name="_Toc2183"/>
      <w:r>
        <w:rPr>
          <w:rFonts w:hint="eastAsia" w:ascii="黑体" w:hAnsi="黑体" w:eastAsia="仿宋_GB2312" w:cs="宋体"/>
          <w:bCs/>
          <w:kern w:val="0"/>
          <w:sz w:val="32"/>
          <w:szCs w:val="32"/>
        </w:rPr>
        <w:t>一、《收入支出决算总表》</w:t>
      </w:r>
      <w:bookmarkEnd w:id="2"/>
      <w:bookmarkEnd w:id="3"/>
    </w:p>
    <w:p>
      <w:pPr>
        <w:ind w:firstLine="640" w:firstLineChars="200"/>
        <w:outlineLvl w:val="1"/>
        <w:rPr>
          <w:rFonts w:ascii="黑体" w:hAnsi="黑体" w:eastAsia="仿宋_GB2312" w:cs="宋体"/>
          <w:bCs/>
          <w:kern w:val="0"/>
          <w:sz w:val="32"/>
          <w:szCs w:val="32"/>
        </w:rPr>
      </w:pPr>
      <w:bookmarkStart w:id="4" w:name="_Toc30364"/>
      <w:bookmarkStart w:id="5" w:name="_Toc24532"/>
      <w:r>
        <w:rPr>
          <w:rFonts w:hint="eastAsia" w:ascii="黑体" w:hAnsi="黑体" w:eastAsia="仿宋_GB2312" w:cs="宋体"/>
          <w:bCs/>
          <w:kern w:val="0"/>
          <w:sz w:val="32"/>
          <w:szCs w:val="32"/>
        </w:rPr>
        <w:t>二、《收入决算表》</w:t>
      </w:r>
      <w:bookmarkEnd w:id="4"/>
      <w:bookmarkEnd w:id="5"/>
    </w:p>
    <w:p>
      <w:pPr>
        <w:ind w:firstLine="640" w:firstLineChars="200"/>
        <w:outlineLvl w:val="1"/>
        <w:rPr>
          <w:rFonts w:ascii="黑体" w:hAnsi="黑体" w:eastAsia="仿宋_GB2312" w:cs="宋体"/>
          <w:bCs/>
          <w:kern w:val="0"/>
          <w:sz w:val="32"/>
          <w:szCs w:val="32"/>
        </w:rPr>
      </w:pPr>
      <w:bookmarkStart w:id="6" w:name="_Toc32434"/>
      <w:bookmarkStart w:id="7" w:name="_Toc21304"/>
      <w:r>
        <w:rPr>
          <w:rFonts w:hint="eastAsia" w:ascii="黑体" w:hAnsi="黑体" w:eastAsia="仿宋_GB2312" w:cs="宋体"/>
          <w:bCs/>
          <w:kern w:val="0"/>
          <w:sz w:val="32"/>
          <w:szCs w:val="32"/>
        </w:rPr>
        <w:t>三、《支出决算表》</w:t>
      </w:r>
      <w:bookmarkEnd w:id="6"/>
      <w:bookmarkEnd w:id="7"/>
    </w:p>
    <w:p>
      <w:pPr>
        <w:ind w:firstLine="640" w:firstLineChars="200"/>
        <w:outlineLvl w:val="1"/>
        <w:rPr>
          <w:rFonts w:ascii="黑体" w:hAnsi="黑体" w:eastAsia="仿宋_GB2312" w:cs="宋体"/>
          <w:bCs/>
          <w:kern w:val="0"/>
          <w:sz w:val="32"/>
          <w:szCs w:val="32"/>
        </w:rPr>
      </w:pPr>
      <w:bookmarkStart w:id="8" w:name="_Toc28786"/>
      <w:bookmarkStart w:id="9" w:name="_Toc14238"/>
      <w:r>
        <w:rPr>
          <w:rFonts w:hint="eastAsia" w:ascii="黑体" w:hAnsi="黑体" w:eastAsia="仿宋_GB2312" w:cs="宋体"/>
          <w:bCs/>
          <w:kern w:val="0"/>
          <w:sz w:val="32"/>
          <w:szCs w:val="32"/>
        </w:rPr>
        <w:t>四、《财政拨款收入支出决算总表》</w:t>
      </w:r>
      <w:bookmarkEnd w:id="8"/>
      <w:bookmarkEnd w:id="9"/>
    </w:p>
    <w:p>
      <w:pPr>
        <w:ind w:firstLine="640" w:firstLineChars="200"/>
        <w:outlineLvl w:val="1"/>
        <w:rPr>
          <w:rFonts w:ascii="黑体" w:hAnsi="黑体" w:eastAsia="仿宋_GB2312" w:cs="宋体"/>
          <w:bCs/>
          <w:kern w:val="0"/>
          <w:sz w:val="32"/>
          <w:szCs w:val="32"/>
        </w:rPr>
      </w:pPr>
      <w:bookmarkStart w:id="10" w:name="_Toc10347"/>
      <w:bookmarkStart w:id="11" w:name="_Toc14869"/>
      <w:r>
        <w:rPr>
          <w:rFonts w:hint="eastAsia" w:ascii="黑体" w:hAnsi="黑体" w:eastAsia="仿宋_GB2312" w:cs="宋体"/>
          <w:bCs/>
          <w:kern w:val="0"/>
          <w:sz w:val="32"/>
          <w:szCs w:val="32"/>
        </w:rPr>
        <w:t>五、《一般公共预算财政拨款支出决算表》</w:t>
      </w:r>
      <w:bookmarkEnd w:id="10"/>
      <w:bookmarkEnd w:id="11"/>
    </w:p>
    <w:p>
      <w:pPr>
        <w:ind w:firstLine="640" w:firstLineChars="200"/>
        <w:outlineLvl w:val="1"/>
        <w:rPr>
          <w:rFonts w:ascii="黑体" w:hAnsi="黑体" w:eastAsia="仿宋_GB2312" w:cs="宋体"/>
          <w:bCs/>
          <w:kern w:val="0"/>
          <w:sz w:val="32"/>
          <w:szCs w:val="32"/>
        </w:rPr>
      </w:pPr>
      <w:bookmarkStart w:id="12" w:name="_Toc8884"/>
      <w:bookmarkStart w:id="13" w:name="_Toc5626"/>
      <w:r>
        <w:rPr>
          <w:rFonts w:hint="eastAsia" w:ascii="黑体" w:hAnsi="黑体" w:eastAsia="仿宋_GB2312" w:cs="宋体"/>
          <w:bCs/>
          <w:kern w:val="0"/>
          <w:sz w:val="32"/>
          <w:szCs w:val="32"/>
        </w:rPr>
        <w:t>六、《一般公共预算财政拨款基本支出决算表》</w:t>
      </w:r>
      <w:bookmarkEnd w:id="12"/>
      <w:bookmarkEnd w:id="1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14" w:name="_Toc29106"/>
      <w:bookmarkStart w:id="15" w:name="_Toc32663"/>
      <w:r>
        <w:rPr>
          <w:rFonts w:hint="eastAsia" w:ascii="黑体" w:hAnsi="黑体" w:eastAsia="仿宋_GB2312" w:cs="宋体"/>
          <w:bCs/>
          <w:kern w:val="0"/>
          <w:sz w:val="32"/>
          <w:szCs w:val="32"/>
        </w:rPr>
        <w:t>《财政拨款“三公”经费支出决算表》</w:t>
      </w:r>
      <w:bookmarkEnd w:id="14"/>
      <w:bookmarkEnd w:id="15"/>
    </w:p>
    <w:p>
      <w:pPr>
        <w:ind w:firstLine="640" w:firstLineChars="200"/>
        <w:outlineLvl w:val="1"/>
        <w:rPr>
          <w:rFonts w:ascii="黑体" w:hAnsi="黑体" w:eastAsia="仿宋_GB2312" w:cs="宋体"/>
          <w:bCs/>
          <w:kern w:val="0"/>
          <w:sz w:val="32"/>
          <w:szCs w:val="32"/>
        </w:rPr>
      </w:pPr>
      <w:bookmarkStart w:id="16" w:name="_Toc7643"/>
      <w:bookmarkStart w:id="17" w:name="_Toc5453"/>
      <w:r>
        <w:rPr>
          <w:rFonts w:hint="eastAsia" w:ascii="黑体" w:hAnsi="黑体" w:eastAsia="仿宋_GB2312" w:cs="宋体"/>
          <w:bCs/>
          <w:kern w:val="0"/>
          <w:sz w:val="32"/>
          <w:szCs w:val="32"/>
        </w:rPr>
        <w:t>八、《政府性基金预算财政拨款收入支出决算表》</w:t>
      </w:r>
      <w:bookmarkEnd w:id="16"/>
      <w:bookmarkEnd w:id="1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4" w:type="default"/>
      <w:pgSz w:w="11906" w:h="16838"/>
      <w:pgMar w:top="1440" w:right="1559" w:bottom="1440" w:left="1803" w:header="851" w:footer="992" w:gutter="0"/>
      <w:pgNumType w:fmt="numberInDash"/>
      <w:cols w:space="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pPr>
                      <w:pStyle w:val="6"/>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txbxContent>
          </v:textbox>
        </v:shape>
      </w:pic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80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8"/>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6B6C27"/>
    <w:rsid w:val="00003D7E"/>
    <w:rsid w:val="00005124"/>
    <w:rsid w:val="000444CD"/>
    <w:rsid w:val="001138DD"/>
    <w:rsid w:val="00164D44"/>
    <w:rsid w:val="00177810"/>
    <w:rsid w:val="00213C59"/>
    <w:rsid w:val="0023561E"/>
    <w:rsid w:val="002A6301"/>
    <w:rsid w:val="002B25CE"/>
    <w:rsid w:val="002F0FD3"/>
    <w:rsid w:val="003210CE"/>
    <w:rsid w:val="00353709"/>
    <w:rsid w:val="00397EAF"/>
    <w:rsid w:val="00453BCE"/>
    <w:rsid w:val="00493729"/>
    <w:rsid w:val="004B7178"/>
    <w:rsid w:val="0054349C"/>
    <w:rsid w:val="00596159"/>
    <w:rsid w:val="00596EF6"/>
    <w:rsid w:val="005B0303"/>
    <w:rsid w:val="005F431A"/>
    <w:rsid w:val="00655C2A"/>
    <w:rsid w:val="006B6C27"/>
    <w:rsid w:val="006E10DB"/>
    <w:rsid w:val="0078557B"/>
    <w:rsid w:val="007D1626"/>
    <w:rsid w:val="008318D7"/>
    <w:rsid w:val="00846BDD"/>
    <w:rsid w:val="00856130"/>
    <w:rsid w:val="0089369B"/>
    <w:rsid w:val="008A7E6B"/>
    <w:rsid w:val="009A2628"/>
    <w:rsid w:val="009B3307"/>
    <w:rsid w:val="00A70552"/>
    <w:rsid w:val="00AA558C"/>
    <w:rsid w:val="00AB55AC"/>
    <w:rsid w:val="00AE44BC"/>
    <w:rsid w:val="00B258E6"/>
    <w:rsid w:val="00B70D59"/>
    <w:rsid w:val="00B90E93"/>
    <w:rsid w:val="00C611AE"/>
    <w:rsid w:val="00CA36A2"/>
    <w:rsid w:val="00CA3A17"/>
    <w:rsid w:val="00DC63B4"/>
    <w:rsid w:val="00DF78EC"/>
    <w:rsid w:val="00E50294"/>
    <w:rsid w:val="00E51A1B"/>
    <w:rsid w:val="00E755FB"/>
    <w:rsid w:val="00E860A3"/>
    <w:rsid w:val="00E916CB"/>
    <w:rsid w:val="00F03501"/>
    <w:rsid w:val="00F03EF4"/>
    <w:rsid w:val="00F21290"/>
    <w:rsid w:val="00F52A8D"/>
    <w:rsid w:val="00F64F57"/>
    <w:rsid w:val="00FB3130"/>
    <w:rsid w:val="00FD0A17"/>
    <w:rsid w:val="019404F8"/>
    <w:rsid w:val="02BD3108"/>
    <w:rsid w:val="02F73D26"/>
    <w:rsid w:val="034D4FEF"/>
    <w:rsid w:val="035D1785"/>
    <w:rsid w:val="039F47CE"/>
    <w:rsid w:val="03E05CE8"/>
    <w:rsid w:val="03F973EE"/>
    <w:rsid w:val="043E5B56"/>
    <w:rsid w:val="04B4503D"/>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FD64F4"/>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42129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EF75B"/>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5A5128"/>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6107DC"/>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F768BA"/>
    <w:rsid w:val="7111480F"/>
    <w:rsid w:val="71261F49"/>
    <w:rsid w:val="712E6956"/>
    <w:rsid w:val="71473612"/>
    <w:rsid w:val="71504F32"/>
    <w:rsid w:val="7152309F"/>
    <w:rsid w:val="718F7F65"/>
    <w:rsid w:val="727B234E"/>
    <w:rsid w:val="72CE70A8"/>
    <w:rsid w:val="72D068C7"/>
    <w:rsid w:val="72E42ED8"/>
    <w:rsid w:val="735F4CB9"/>
    <w:rsid w:val="73674C62"/>
    <w:rsid w:val="737DCA0E"/>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EE6FE"/>
    <w:rsid w:val="7C976D69"/>
    <w:rsid w:val="7CD752DA"/>
    <w:rsid w:val="7CDE40AB"/>
    <w:rsid w:val="7CF057E2"/>
    <w:rsid w:val="7D1548B5"/>
    <w:rsid w:val="7DF84014"/>
    <w:rsid w:val="7E207949"/>
    <w:rsid w:val="7E5C0A47"/>
    <w:rsid w:val="7E670C75"/>
    <w:rsid w:val="7EE24272"/>
    <w:rsid w:val="7EEA6053"/>
    <w:rsid w:val="7EFBA054"/>
    <w:rsid w:val="7F487C04"/>
    <w:rsid w:val="7F9FD00D"/>
    <w:rsid w:val="7FB45F21"/>
    <w:rsid w:val="7FE57088"/>
    <w:rsid w:val="7FF37FA3"/>
    <w:rsid w:val="DEF37FE5"/>
    <w:rsid w:val="F89F4ECA"/>
    <w:rsid w:val="FEDEC210"/>
    <w:rsid w:val="FEFF8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2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闻政-正文二级标题"/>
    <w:basedOn w:val="2"/>
    <w:next w:val="19"/>
    <w:qFormat/>
    <w:uiPriority w:val="3"/>
    <w:pPr>
      <w:spacing w:before="120" w:line="500" w:lineRule="exact"/>
      <w:ind w:left="200" w:leftChars="200"/>
    </w:pPr>
    <w:rPr>
      <w:rFonts w:ascii="Times New Roman" w:hAnsi="Times New Roman"/>
    </w:rPr>
  </w:style>
  <w:style w:type="paragraph" w:customStyle="1" w:styleId="19">
    <w:name w:val="闻政-正文段落文字"/>
    <w:basedOn w:val="1"/>
    <w:qFormat/>
    <w:uiPriority w:val="3"/>
    <w:pPr>
      <w:spacing w:line="500" w:lineRule="exact"/>
      <w:ind w:firstLine="200"/>
    </w:pPr>
    <w:rPr>
      <w:kern w:val="0"/>
      <w:szCs w:val="28"/>
    </w:rPr>
  </w:style>
  <w:style w:type="paragraph" w:customStyle="1" w:styleId="20">
    <w:name w:val="闻政-正文三级标题"/>
    <w:basedOn w:val="1"/>
    <w:next w:val="19"/>
    <w:qFormat/>
    <w:uiPriority w:val="3"/>
    <w:pPr>
      <w:widowControl/>
      <w:spacing w:before="120" w:after="60" w:line="500" w:lineRule="exact"/>
      <w:ind w:left="200" w:leftChars="200"/>
    </w:pPr>
    <w:rPr>
      <w:b/>
      <w:snapToGrid w:val="0"/>
      <w:kern w:val="0"/>
      <w:szCs w:val="28"/>
    </w:rPr>
  </w:style>
  <w:style w:type="character" w:customStyle="1" w:styleId="21">
    <w:name w:val="font41"/>
    <w:basedOn w:val="13"/>
    <w:qFormat/>
    <w:uiPriority w:val="0"/>
    <w:rPr>
      <w:rFonts w:hint="eastAsia" w:ascii="方正仿宋_GBK" w:hAnsi="方正仿宋_GBK" w:eastAsia="方正仿宋_GBK" w:cs="方正仿宋_GBK"/>
      <w:color w:val="000000"/>
      <w:sz w:val="24"/>
      <w:szCs w:val="24"/>
      <w:u w:val="none"/>
    </w:rPr>
  </w:style>
  <w:style w:type="character" w:customStyle="1" w:styleId="22">
    <w:name w:val="font51"/>
    <w:basedOn w:val="13"/>
    <w:qFormat/>
    <w:uiPriority w:val="0"/>
    <w:rPr>
      <w:rFonts w:hint="default" w:ascii="Times New Roman" w:hAnsi="Times New Roman" w:cs="Times New Roman"/>
      <w:color w:val="000000"/>
      <w:sz w:val="24"/>
      <w:szCs w:val="24"/>
      <w:u w:val="none"/>
    </w:rPr>
  </w:style>
  <w:style w:type="character" w:customStyle="1" w:styleId="23">
    <w:name w:val="批注框文本 Char"/>
    <w:basedOn w:val="13"/>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textRotate="1"/>
    <customShpInfo spid="_x0000_s1026"/>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BF169-75D6-4325-93AF-7B93E2A148CD}">
  <ds:schemaRefs/>
</ds:datastoreItem>
</file>

<file path=docProps/app.xml><?xml version="1.0" encoding="utf-8"?>
<Properties xmlns="http://schemas.openxmlformats.org/officeDocument/2006/extended-properties" xmlns:vt="http://schemas.openxmlformats.org/officeDocument/2006/docPropsVTypes">
  <Template>Normal</Template>
  <Pages>18</Pages>
  <Words>39044</Words>
  <Characters>41716</Characters>
  <Lines>312</Lines>
  <Paragraphs>87</Paragraphs>
  <TotalTime>0</TotalTime>
  <ScaleCrop>false</ScaleCrop>
  <LinksUpToDate>false</LinksUpToDate>
  <CharactersWithSpaces>42048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Administrator</cp:lastModifiedBy>
  <cp:lastPrinted>2024-08-14T18:27:00Z</cp:lastPrinted>
  <dcterms:modified xsi:type="dcterms:W3CDTF">2024-09-07T13:05:27Z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