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9A8B9">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14:paraId="182450B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14:paraId="47D65F7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新疆警</w:t>
      </w:r>
      <w:bookmarkStart w:id="48" w:name="_GoBack"/>
      <w:bookmarkEnd w:id="48"/>
      <w:r>
        <w:rPr>
          <w:rFonts w:hint="eastAsia" w:ascii="Times New Roman" w:hAnsi="Times New Roman" w:eastAsia="方正小标宋_GBK"/>
          <w:color w:val="auto"/>
          <w:sz w:val="44"/>
          <w:szCs w:val="44"/>
          <w:highlight w:val="none"/>
          <w:lang w:val="en-US" w:eastAsia="zh-CN"/>
        </w:rPr>
        <w:t>察学院司法鉴定中心</w:t>
      </w:r>
    </w:p>
    <w:p w14:paraId="09C985F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 xml:space="preserve"> 2023年度</w:t>
      </w:r>
      <w:r>
        <w:rPr>
          <w:rFonts w:hint="eastAsia" w:ascii="Times New Roman" w:hAnsi="Times New Roman" w:eastAsia="方正小标宋_GBK"/>
          <w:color w:val="auto"/>
          <w:sz w:val="44"/>
          <w:szCs w:val="44"/>
          <w:highlight w:val="none"/>
        </w:rPr>
        <w:t>部门决算公开说明</w:t>
      </w:r>
    </w:p>
    <w:p w14:paraId="34C9C8E3">
      <w:pP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br w:type="page"/>
      </w:r>
    </w:p>
    <w:p w14:paraId="2D7AC39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14:paraId="4AC8D01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单位</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14:paraId="47FCCA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14:paraId="781B52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14:paraId="3BE6E55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14:paraId="188F0B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14:paraId="0530CC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14:paraId="62374C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14:paraId="4CEAE0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14:paraId="568D6D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14:paraId="0FAB8E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14:paraId="25C08C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1D624C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14:paraId="4B100D2D">
      <w:pPr>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14:paraId="277B4D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4787B46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14:paraId="088DFB8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14:paraId="0C7164F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14:paraId="4C0BC3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14:paraId="410CD2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14:paraId="3AB7626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14:paraId="76B1FB9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14:paraId="06778A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14:paraId="3878AC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14:paraId="7667AE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14:paraId="48A080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14:paraId="63FAFE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14:paraId="41C34A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14:paraId="5B8408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14:paraId="1EDE3B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14:paraId="7D6053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14:paraId="7706D1FF">
      <w:pPr>
        <w:keepNext w:val="0"/>
        <w:keepLines w:val="0"/>
        <w:pageBreakBefore w:val="0"/>
        <w:widowControl w:val="0"/>
        <w:kinsoku/>
        <w:wordWrap/>
        <w:overflowPunct/>
        <w:topLinePunct w:val="0"/>
        <w:autoSpaceDE/>
        <w:autoSpaceDN/>
        <w:bidi w:val="0"/>
        <w:adjustRightInd/>
        <w:snapToGrid/>
        <w:ind w:left="0" w:leftChars="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14:paraId="1B33BDDA">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14:paraId="3E8B81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0" w:name="_Toc32314"/>
      <w:bookmarkStart w:id="1" w:name="_Toc24028"/>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单位</w:t>
      </w:r>
      <w:r>
        <w:rPr>
          <w:rFonts w:hint="eastAsia" w:ascii="Times New Roman" w:hAnsi="Times New Roman" w:eastAsia="黑体"/>
          <w:color w:val="auto"/>
          <w:sz w:val="32"/>
          <w:szCs w:val="32"/>
          <w:highlight w:val="none"/>
        </w:rPr>
        <w:t>概况</w:t>
      </w:r>
      <w:bookmarkEnd w:id="0"/>
      <w:bookmarkEnd w:id="1"/>
    </w:p>
    <w:p w14:paraId="3CC05D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567"/>
      <w:bookmarkStart w:id="3" w:name="_Toc30738"/>
      <w:r>
        <w:rPr>
          <w:rFonts w:hint="eastAsia" w:ascii="Times New Roman" w:hAnsi="Times New Roman" w:eastAsia="黑体" w:cs="宋体"/>
          <w:bCs/>
          <w:color w:val="auto"/>
          <w:kern w:val="0"/>
          <w:sz w:val="32"/>
          <w:szCs w:val="32"/>
          <w:highlight w:val="none"/>
        </w:rPr>
        <w:t>一、主要职能</w:t>
      </w:r>
      <w:bookmarkEnd w:id="2"/>
      <w:bookmarkEnd w:id="3"/>
    </w:p>
    <w:p w14:paraId="4D38F0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为学院教学、科研和新疆司法鉴定提供保障和服务。负责授权内司法鉴定工作，组织开展学院学生实习、实训工作。</w:t>
      </w:r>
    </w:p>
    <w:p w14:paraId="4427DB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4" w:name="_Toc31238"/>
      <w:bookmarkStart w:id="5" w:name="_Toc2151"/>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14:paraId="26F717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b/>
          <w:color w:val="auto"/>
          <w:sz w:val="32"/>
          <w:szCs w:val="32"/>
          <w:highlight w:val="none"/>
        </w:rPr>
      </w:pPr>
      <w:r>
        <w:rPr>
          <w:rFonts w:hint="eastAsia" w:ascii="Times New Roman" w:hAnsi="Times New Roman" w:eastAsia="仿宋_GB2312"/>
          <w:color w:val="auto"/>
          <w:sz w:val="32"/>
          <w:szCs w:val="32"/>
          <w:highlight w:val="none"/>
          <w:lang w:val="en-US" w:eastAsia="zh-CN"/>
        </w:rPr>
        <w:t>新疆警察学院司法鉴定中心</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olor w:val="auto"/>
          <w:sz w:val="32"/>
          <w:szCs w:val="32"/>
          <w:highlight w:val="none"/>
        </w:rPr>
        <w:t>实有人数</w:t>
      </w:r>
      <w:r>
        <w:rPr>
          <w:rFonts w:hint="eastAsia" w:ascii="Times New Roman" w:hAnsi="Times New Roman" w:eastAsia="仿宋_GB2312"/>
          <w:color w:val="auto"/>
          <w:sz w:val="32"/>
          <w:szCs w:val="32"/>
          <w:highlight w:val="none"/>
          <w:lang w:val="zh-CN" w:eastAsia="zh-CN"/>
        </w:rPr>
        <w:t>4</w:t>
      </w:r>
      <w:r>
        <w:rPr>
          <w:rFonts w:hint="eastAsia" w:ascii="Times New Roman" w:hAnsi="Times New Roman" w:eastAsia="仿宋_GB2312"/>
          <w:color w:val="auto"/>
          <w:sz w:val="32"/>
          <w:szCs w:val="32"/>
          <w:highlight w:val="none"/>
        </w:rPr>
        <w:t>人，其中：在职人员</w:t>
      </w:r>
      <w:r>
        <w:rPr>
          <w:rFonts w:hint="eastAsia" w:ascii="Times New Roman" w:hAnsi="Times New Roman" w:eastAsia="仿宋_GB2312"/>
          <w:color w:val="auto"/>
          <w:sz w:val="32"/>
          <w:szCs w:val="32"/>
          <w:highlight w:val="none"/>
          <w:lang w:val="zh-CN" w:eastAsia="zh-CN"/>
        </w:rPr>
        <w:t>4</w:t>
      </w:r>
      <w:r>
        <w:rPr>
          <w:rFonts w:hint="eastAsia" w:ascii="Times New Roman" w:hAnsi="Times New Roman" w:eastAsia="仿宋_GB2312"/>
          <w:color w:val="auto"/>
          <w:sz w:val="32"/>
          <w:szCs w:val="32"/>
          <w:highlight w:val="none"/>
        </w:rPr>
        <w:t>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离休人员</w:t>
      </w:r>
      <w:r>
        <w:rPr>
          <w:rFonts w:hint="eastAsia" w:ascii="Times New Roman" w:hAnsi="Times New Roman" w:eastAsia="仿宋_GB2312"/>
          <w:color w:val="auto"/>
          <w:sz w:val="32"/>
          <w:szCs w:val="32"/>
          <w:highlight w:val="none"/>
          <w:lang w:val="zh-CN" w:eastAsia="zh-CN"/>
        </w:rPr>
        <w:t>0</w:t>
      </w:r>
      <w:r>
        <w:rPr>
          <w:rFonts w:hint="eastAsia" w:ascii="Times New Roman" w:hAnsi="Times New Roman" w:eastAsia="仿宋_GB2312"/>
          <w:color w:val="auto"/>
          <w:sz w:val="32"/>
          <w:szCs w:val="32"/>
          <w:highlight w:val="none"/>
        </w:rPr>
        <w:t>人，退休人员</w:t>
      </w:r>
      <w:r>
        <w:rPr>
          <w:rFonts w:hint="eastAsia" w:ascii="Times New Roman" w:hAnsi="Times New Roman" w:eastAsia="仿宋_GB2312"/>
          <w:color w:val="auto"/>
          <w:sz w:val="32"/>
          <w:szCs w:val="32"/>
          <w:highlight w:val="none"/>
          <w:lang w:val="zh-CN" w:eastAsia="zh-CN"/>
        </w:rPr>
        <w:t>0</w:t>
      </w:r>
      <w:r>
        <w:rPr>
          <w:rFonts w:hint="eastAsia" w:ascii="Times New Roman" w:hAnsi="Times New Roman" w:eastAsia="仿宋_GB2312"/>
          <w:color w:val="auto"/>
          <w:sz w:val="32"/>
          <w:szCs w:val="32"/>
          <w:highlight w:val="none"/>
        </w:rPr>
        <w:t>人。</w:t>
      </w:r>
    </w:p>
    <w:p w14:paraId="1102CA9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Times New Roman" w:hAnsi="Times New Roman" w:eastAsia="仿宋_GB2312" w:cs="宋体"/>
          <w:bCs/>
          <w:color w:val="auto"/>
          <w:kern w:val="0"/>
          <w:sz w:val="32"/>
          <w:szCs w:val="32"/>
          <w:highlight w:val="none"/>
        </w:rPr>
        <w:t>单位无下属预算单位，下设</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s="宋体"/>
          <w:bCs/>
          <w:color w:val="auto"/>
          <w:kern w:val="0"/>
          <w:sz w:val="32"/>
          <w:szCs w:val="32"/>
          <w:highlight w:val="none"/>
        </w:rPr>
        <w:t>个处室，分别是：</w:t>
      </w:r>
      <w:r>
        <w:rPr>
          <w:rFonts w:hint="eastAsia" w:ascii="Times New Roman" w:hAnsi="Times New Roman" w:eastAsia="仿宋_GB2312" w:cs="宋体"/>
          <w:color w:val="auto"/>
          <w:kern w:val="0"/>
          <w:sz w:val="32"/>
          <w:szCs w:val="32"/>
          <w:highlight w:val="none"/>
        </w:rPr>
        <w:t>无下设处室。</w:t>
      </w:r>
    </w:p>
    <w:p w14:paraId="596DF9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6" w:name="_Toc3092"/>
      <w:bookmarkStart w:id="7" w:name="_Toc29374"/>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14:paraId="322430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12566"/>
      <w:bookmarkStart w:id="9" w:name="_Toc25314"/>
      <w:r>
        <w:rPr>
          <w:rFonts w:hint="eastAsia" w:ascii="Times New Roman" w:hAnsi="Times New Roman" w:eastAsia="黑体" w:cs="宋体"/>
          <w:bCs/>
          <w:color w:val="auto"/>
          <w:kern w:val="0"/>
          <w:sz w:val="32"/>
          <w:szCs w:val="32"/>
          <w:highlight w:val="none"/>
        </w:rPr>
        <w:t>一、收入支出决算总体情况说明</w:t>
      </w:r>
      <w:bookmarkEnd w:id="8"/>
      <w:bookmarkEnd w:id="9"/>
    </w:p>
    <w:p w14:paraId="293C68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169.98万元，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169.98万元，使用非财政拨款结余0.00万元，年初结转和结余0.00万元。</w:t>
      </w:r>
    </w:p>
    <w:p w14:paraId="41695F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169.98万元，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163.30万元，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6.68万元，年末结转和结余0.00万元。</w:t>
      </w:r>
    </w:p>
    <w:p w14:paraId="5A9D01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增加113.99万元</w:t>
      </w:r>
      <w:r>
        <w:rPr>
          <w:rFonts w:hint="eastAsia" w:ascii="Times New Roman" w:hAnsi="Times New Roman" w:eastAsia="仿宋_GB2312"/>
          <w:color w:val="auto"/>
          <w:spacing w:val="0"/>
          <w:sz w:val="32"/>
          <w:szCs w:val="32"/>
          <w:highlight w:val="none"/>
          <w:lang w:eastAsia="zh-CN"/>
        </w:rPr>
        <w:t>，增长203.59%，主要原因是：</w:t>
      </w:r>
      <w:r>
        <w:rPr>
          <w:rFonts w:hint="eastAsia" w:ascii="Times New Roman" w:hAnsi="Times New Roman" w:eastAsia="仿宋_GB2312"/>
          <w:color w:val="auto"/>
          <w:spacing w:val="0"/>
          <w:sz w:val="32"/>
          <w:szCs w:val="32"/>
          <w:highlight w:val="none"/>
          <w:lang w:val="en-US" w:eastAsia="zh-CN"/>
        </w:rPr>
        <w:t>司法</w:t>
      </w:r>
      <w:r>
        <w:rPr>
          <w:rFonts w:hint="eastAsia" w:ascii="Times New Roman" w:hAnsi="Times New Roman" w:eastAsia="仿宋_GB2312"/>
          <w:color w:val="auto"/>
          <w:spacing w:val="0"/>
          <w:sz w:val="32"/>
          <w:szCs w:val="32"/>
          <w:highlight w:val="none"/>
          <w:lang w:eastAsia="zh-CN"/>
        </w:rPr>
        <w:t>鉴定服务费增加。</w:t>
      </w:r>
    </w:p>
    <w:p w14:paraId="56F682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2142"/>
      <w:bookmarkStart w:id="11" w:name="_Toc1979"/>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14:paraId="00717B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169.98</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60.99</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35.88%</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108.98</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64.11%</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w:t>
      </w:r>
    </w:p>
    <w:p w14:paraId="15521B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27961"/>
      <w:bookmarkStart w:id="13" w:name="_Toc1320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14:paraId="001263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本年支出163.30万元，其中：基本支出60.99万元，占37.35%；项目支出0.00万元，占0.00%；上缴上级支出0.00万元，占0.00%；经营支出102.30万元，占62.65%；对附属单位补助支出0.00万元，占0.00%。</w:t>
      </w:r>
    </w:p>
    <w:p w14:paraId="57E262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26564"/>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14:paraId="7B26FC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w:t>
      </w:r>
    </w:p>
    <w:p w14:paraId="0BA663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增加5.00万元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增长8.93%,</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在职人员工资调增，社保及公积金缴费基数调增</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53.53</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万元，预决算差异率13.94%，主要原因是：</w:t>
      </w:r>
      <w:r>
        <w:rPr>
          <w:rFonts w:hint="eastAsia" w:ascii="Times New Roman" w:hAnsi="Times New Roman" w:eastAsia="仿宋_GB2312"/>
          <w:color w:val="auto"/>
          <w:spacing w:val="0"/>
          <w:sz w:val="32"/>
          <w:szCs w:val="32"/>
          <w:highlight w:val="none"/>
          <w:lang w:val="en-US" w:eastAsia="zh-CN"/>
        </w:rPr>
        <w:t>在职人员工资调增，社保及公积金缴费基数调增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0B7460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13833"/>
      <w:bookmarkStart w:id="17" w:name="_Toc20360"/>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14:paraId="6F9454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14:paraId="1C6F833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2023年度一般公共预算财政拨款支出60.99万元，占本年支出合计的</w:t>
      </w:r>
      <w:r>
        <w:rPr>
          <w:rFonts w:hint="eastAsia" w:ascii="Times New Roman" w:hAnsi="Times New Roman" w:eastAsia="仿宋_GB2312"/>
          <w:color w:val="auto"/>
          <w:spacing w:val="0"/>
          <w:sz w:val="32"/>
          <w:szCs w:val="32"/>
          <w:highlight w:val="none"/>
          <w:lang w:val="zh-CN" w:eastAsia="zh-CN"/>
        </w:rPr>
        <w:t>37.35%</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增加5.00万元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增长8.93%,</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在职人员工资调增，社保及公积金缴费基数调增</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53.53</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60.99</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13.94%</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1503C7C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14:paraId="4BE260D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zh-CN" w:eastAsia="zh-CN" w:bidi="ar-SA"/>
        </w:rPr>
        <w:t>1.教育支出（类）</w:t>
      </w:r>
      <w:r>
        <w:rPr>
          <w:rFonts w:hint="eastAsia" w:ascii="Times New Roman" w:hAnsi="Times New Roman" w:eastAsia="仿宋_GB2312" w:cs="Times New Roman"/>
          <w:color w:val="auto"/>
          <w:spacing w:val="0"/>
          <w:kern w:val="2"/>
          <w:sz w:val="32"/>
          <w:szCs w:val="32"/>
          <w:highlight w:val="none"/>
          <w:lang w:val="zh-CN" w:eastAsia="zh-CN" w:bidi="ar-SA"/>
        </w:rPr>
        <w:t>60.99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100.00%</w:t>
      </w:r>
      <w:r>
        <w:rPr>
          <w:rFonts w:hint="default" w:ascii="Times New Roman" w:hAnsi="Times New Roman" w:eastAsia="仿宋_GB2312" w:cs="Times New Roman"/>
          <w:color w:val="auto"/>
          <w:spacing w:val="0"/>
          <w:kern w:val="2"/>
          <w:sz w:val="32"/>
          <w:szCs w:val="32"/>
          <w:highlight w:val="none"/>
          <w:lang w:val="zh-CN" w:eastAsia="zh-CN" w:bidi="ar-SA"/>
        </w:rPr>
        <w:t>；</w:t>
      </w:r>
    </w:p>
    <w:p w14:paraId="54329C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14:paraId="155312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1.教育支出（类）普通教育（款）高等教育（项）:支出决算数为60.99万元，比上年决算增加5.00万元，增长8.93%，主要原因是：</w:t>
      </w:r>
      <w:r>
        <w:rPr>
          <w:rFonts w:hint="eastAsia" w:ascii="Times New Roman" w:hAnsi="Times New Roman" w:eastAsia="仿宋_GB2312"/>
          <w:color w:val="auto"/>
          <w:spacing w:val="0"/>
          <w:sz w:val="32"/>
          <w:szCs w:val="32"/>
          <w:highlight w:val="none"/>
          <w:lang w:val="en-US" w:eastAsia="zh-CN"/>
        </w:rPr>
        <w:t>在职人员工资调增，社保及公积金缴费基数调增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6184F4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14:paraId="544809E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60.99</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58.63</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14:paraId="248406C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2.37</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办公费、水费、邮电费、差旅费、工会经费、福利费。</w:t>
      </w:r>
    </w:p>
    <w:p w14:paraId="7FC849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14:paraId="255989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“三公”经费支出0.00万元，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我单位无财政拨款</w:t>
      </w:r>
      <w:r>
        <w:rPr>
          <w:rFonts w:hint="eastAsia" w:ascii="Times New Roman" w:hAnsi="Times New Roman" w:eastAsia="仿宋_GB2312"/>
          <w:color w:val="auto"/>
          <w:sz w:val="32"/>
          <w:szCs w:val="32"/>
          <w:highlight w:val="none"/>
          <w:lang w:val="zh-CN" w:eastAsia="zh-CN"/>
        </w:rPr>
        <w:t>“三公”经费。其中：因公出国（境）费支出0.00万元，占0.00%，比上年增加0.00万元，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我单位无因公出国（境）费</w:t>
      </w:r>
      <w:r>
        <w:rPr>
          <w:rFonts w:hint="eastAsia" w:ascii="Times New Roman" w:hAnsi="Times New Roman" w:eastAsia="仿宋_GB2312"/>
          <w:color w:val="auto"/>
          <w:sz w:val="32"/>
          <w:szCs w:val="32"/>
          <w:highlight w:val="none"/>
          <w:lang w:val="zh-CN" w:eastAsia="zh-CN"/>
        </w:rPr>
        <w:t>；公务用车购置及运行维护费支出0.00万元，占0.00%，比上年增加0.00万元，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我单位无公务用车购置及运行维护费</w:t>
      </w:r>
      <w:r>
        <w:rPr>
          <w:rFonts w:hint="eastAsia" w:ascii="Times New Roman" w:hAnsi="Times New Roman" w:eastAsia="仿宋_GB2312"/>
          <w:color w:val="auto"/>
          <w:sz w:val="32"/>
          <w:szCs w:val="32"/>
          <w:highlight w:val="none"/>
          <w:lang w:val="zh-CN" w:eastAsia="zh-CN"/>
        </w:rPr>
        <w:t>；公务接待费支出0.00万元，占0.00%，比上年增加0.00万元，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我单位无公务接待费</w:t>
      </w:r>
      <w:r>
        <w:rPr>
          <w:rFonts w:hint="eastAsia" w:ascii="Times New Roman" w:hAnsi="Times New Roman" w:eastAsia="仿宋_GB2312"/>
          <w:color w:val="auto"/>
          <w:sz w:val="32"/>
          <w:szCs w:val="32"/>
          <w:highlight w:val="none"/>
          <w:lang w:val="zh-CN" w:eastAsia="zh-CN"/>
        </w:rPr>
        <w:t>。</w:t>
      </w:r>
    </w:p>
    <w:p w14:paraId="07378B76">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Times New Roman" w:hAnsi="Times New Roman" w:eastAsia="仿宋_GB2312"/>
          <w:b/>
          <w:bCs/>
          <w:color w:val="auto"/>
          <w:sz w:val="32"/>
          <w:szCs w:val="32"/>
          <w:highlight w:val="none"/>
          <w:lang w:val="zh-CN" w:eastAsia="zh-CN"/>
        </w:rPr>
      </w:pPr>
      <w:r>
        <w:rPr>
          <w:rFonts w:hint="eastAsia" w:ascii="Times New Roman" w:hAnsi="Times New Roman" w:eastAsia="仿宋_GB2312"/>
          <w:b/>
          <w:bCs/>
          <w:color w:val="auto"/>
          <w:sz w:val="32"/>
          <w:szCs w:val="32"/>
          <w:highlight w:val="none"/>
          <w:lang w:val="zh-CN" w:eastAsia="zh-CN"/>
        </w:rPr>
        <w:t>具体情况如下：</w:t>
      </w:r>
    </w:p>
    <w:p w14:paraId="438CBB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2"/>
          <w:szCs w:val="32"/>
          <w:highlight w:val="none"/>
          <w:lang w:val="en-US" w:eastAsia="zh-CN"/>
        </w:rPr>
        <w:t>我单位无因公出国（境）费</w:t>
      </w:r>
      <w:r>
        <w:rPr>
          <w:rFonts w:hint="eastAsia" w:ascii="Times New Roman" w:hAnsi="Times New Roman" w:eastAsia="仿宋_GB2312"/>
          <w:color w:val="auto"/>
          <w:sz w:val="32"/>
          <w:szCs w:val="32"/>
          <w:highlight w:val="none"/>
          <w:lang w:val="zh-CN" w:eastAsia="zh-CN"/>
        </w:rPr>
        <w:t>。单位全年安排的因公出国（境）团组0个，因公出国（境）0人次。</w:t>
      </w:r>
    </w:p>
    <w:p w14:paraId="6E9F068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olor w:val="auto"/>
          <w:sz w:val="32"/>
          <w:szCs w:val="32"/>
          <w:highlight w:val="none"/>
          <w:lang w:val="en-US" w:eastAsia="zh-CN"/>
        </w:rPr>
        <w:t>我单位无公务用车运行维护费</w:t>
      </w:r>
      <w:r>
        <w:rPr>
          <w:rFonts w:hint="eastAsia" w:ascii="Times New Roman" w:hAnsi="Times New Roman" w:eastAsia="仿宋_GB2312"/>
          <w:color w:val="auto"/>
          <w:sz w:val="32"/>
          <w:szCs w:val="32"/>
          <w:highlight w:val="none"/>
          <w:lang w:val="zh-CN" w:eastAsia="zh-CN"/>
        </w:rPr>
        <w:t>。公务用车购置数0辆，公务用车保有量0辆。国有资产占用情况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0辆，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2"/>
          <w:szCs w:val="32"/>
          <w:highlight w:val="none"/>
          <w:lang w:val="en-US" w:eastAsia="zh-CN"/>
        </w:rPr>
        <w:t>无差异</w:t>
      </w:r>
      <w:r>
        <w:rPr>
          <w:rFonts w:hint="eastAsia" w:ascii="Times New Roman" w:hAnsi="Times New Roman" w:eastAsia="仿宋_GB2312"/>
          <w:color w:val="auto"/>
          <w:sz w:val="32"/>
          <w:szCs w:val="32"/>
          <w:highlight w:val="none"/>
          <w:lang w:val="zh-CN" w:eastAsia="zh-CN"/>
        </w:rPr>
        <w:t>。</w:t>
      </w:r>
    </w:p>
    <w:p w14:paraId="12B8B4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公务接待费0.00万元，开支内容包括</w:t>
      </w:r>
      <w:r>
        <w:rPr>
          <w:rFonts w:hint="eastAsia" w:ascii="Times New Roman" w:hAnsi="Times New Roman" w:eastAsia="仿宋_GB2312"/>
          <w:color w:val="auto"/>
          <w:sz w:val="32"/>
          <w:szCs w:val="32"/>
          <w:highlight w:val="none"/>
          <w:lang w:val="en-US" w:eastAsia="zh-CN"/>
        </w:rPr>
        <w:t>我单位无公务接待费</w:t>
      </w:r>
      <w:r>
        <w:rPr>
          <w:rFonts w:hint="eastAsia" w:ascii="Times New Roman" w:hAnsi="Times New Roman" w:eastAsia="仿宋_GB2312"/>
          <w:color w:val="auto"/>
          <w:sz w:val="32"/>
          <w:szCs w:val="32"/>
          <w:highlight w:val="none"/>
          <w:lang w:val="zh-CN" w:eastAsia="zh-CN"/>
        </w:rPr>
        <w:t>。单位全年安排的国内公务接待0批次，0人次。</w:t>
      </w:r>
    </w:p>
    <w:p w14:paraId="3CE818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我单位无财政拨款“三公”经费</w:t>
      </w:r>
      <w:r>
        <w:rPr>
          <w:rFonts w:hint="eastAsia" w:ascii="Times New Roman" w:hAnsi="Times New Roman" w:eastAsia="仿宋_GB2312"/>
          <w:color w:val="auto"/>
          <w:sz w:val="32"/>
          <w:szCs w:val="32"/>
          <w:highlight w:val="none"/>
          <w:lang w:val="zh-CN" w:eastAsia="zh-CN"/>
        </w:rPr>
        <w:t>。其中：因公出国（境）费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ascii="Times New Roman" w:hAnsi="Times New Roman" w:eastAsia="仿宋_GB2312"/>
          <w:color w:val="auto"/>
          <w:sz w:val="32"/>
          <w:szCs w:val="32"/>
          <w:highlight w:val="none"/>
          <w:lang w:val="en-US" w:eastAsia="zh-CN"/>
        </w:rPr>
        <w:t>我单位无因公出国（境）费</w:t>
      </w:r>
      <w:r>
        <w:rPr>
          <w:rFonts w:hint="eastAsia" w:ascii="Times New Roman" w:hAnsi="Times New Roman" w:eastAsia="仿宋_GB2312"/>
          <w:color w:val="auto"/>
          <w:sz w:val="32"/>
          <w:szCs w:val="32"/>
          <w:highlight w:val="none"/>
          <w:lang w:val="zh-CN" w:eastAsia="zh-CN"/>
        </w:rPr>
        <w:t>；公务用车购置费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我单位无公务用车购置费</w:t>
      </w:r>
      <w:r>
        <w:rPr>
          <w:rFonts w:hint="eastAsia" w:ascii="Times New Roman" w:hAnsi="Times New Roman" w:eastAsia="仿宋_GB2312"/>
          <w:color w:val="auto"/>
          <w:sz w:val="32"/>
          <w:szCs w:val="32"/>
          <w:highlight w:val="none"/>
          <w:lang w:val="zh-CN" w:eastAsia="zh-CN"/>
        </w:rPr>
        <w:t>；公务用车运行费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我单位无公务用车运行费</w:t>
      </w:r>
      <w:r>
        <w:rPr>
          <w:rFonts w:hint="eastAsia" w:ascii="Times New Roman" w:hAnsi="Times New Roman" w:eastAsia="仿宋_GB2312"/>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我单位无公务接待费</w:t>
      </w:r>
      <w:r>
        <w:rPr>
          <w:rFonts w:hint="eastAsia" w:ascii="Times New Roman" w:hAnsi="Times New Roman" w:eastAsia="仿宋_GB2312"/>
          <w:color w:val="auto"/>
          <w:sz w:val="32"/>
          <w:szCs w:val="32"/>
          <w:highlight w:val="none"/>
          <w:lang w:val="zh-CN" w:eastAsia="zh-CN"/>
        </w:rPr>
        <w:t>。</w:t>
      </w:r>
    </w:p>
    <w:p w14:paraId="0D2D6C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8" w:name="_Toc7927"/>
      <w:bookmarkStart w:id="19" w:name="_Toc5810"/>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14:paraId="49F2BA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本年度无政府性基金预算财政拨款收入、支出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政府性基金预算财政拨款收入支出决算表为空表。</w:t>
      </w:r>
    </w:p>
    <w:p w14:paraId="611D94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14:paraId="1770379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14:paraId="34A9AB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1235"/>
      <w:bookmarkStart w:id="21" w:name="_Toc7314"/>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14:paraId="4BCCAC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4519"/>
      <w:bookmarkStart w:id="23" w:name="_Toc131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14:paraId="76ACA2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val="zh-CN" w:eastAsia="zh-CN"/>
        </w:rPr>
      </w:pPr>
      <w:bookmarkStart w:id="24" w:name="_Toc26704"/>
      <w:bookmarkStart w:id="25" w:name="_Toc227"/>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en-US" w:eastAsia="zh-CN"/>
        </w:rPr>
        <w:t>新疆警察学院司法鉴定中心（事业单位）公用经费支出2.37万元，</w:t>
      </w:r>
      <w:r>
        <w:rPr>
          <w:rFonts w:hint="eastAsia" w:ascii="Times New Roman" w:hAnsi="Times New Roman" w:eastAsia="仿宋_GB2312" w:cs="仿宋_GB2312"/>
          <w:color w:val="auto"/>
          <w:sz w:val="32"/>
          <w:szCs w:val="32"/>
          <w:highlight w:val="none"/>
          <w:lang w:val="zh-CN" w:eastAsia="zh-CN"/>
        </w:rPr>
        <w:t>比上年减少0.01万元，下降0.42%，主要原因是：</w:t>
      </w:r>
      <w:r>
        <w:rPr>
          <w:rFonts w:hint="eastAsia" w:ascii="Times New Roman" w:hAnsi="Times New Roman" w:eastAsia="仿宋_GB2312" w:cs="仿宋_GB2312"/>
          <w:color w:val="auto"/>
          <w:sz w:val="32"/>
          <w:szCs w:val="32"/>
          <w:highlight w:val="none"/>
          <w:lang w:val="en-US" w:eastAsia="zh-CN"/>
        </w:rPr>
        <w:t>压缩经费，节约资金</w:t>
      </w:r>
      <w:r>
        <w:rPr>
          <w:rFonts w:hint="eastAsia" w:ascii="Times New Roman" w:hAnsi="Times New Roman" w:eastAsia="仿宋_GB2312" w:cs="仿宋_GB2312"/>
          <w:color w:val="auto"/>
          <w:sz w:val="32"/>
          <w:szCs w:val="32"/>
          <w:highlight w:val="none"/>
          <w:lang w:val="zh-CN" w:eastAsia="zh-CN"/>
        </w:rPr>
        <w:t>。</w:t>
      </w:r>
    </w:p>
    <w:p w14:paraId="2AB1E7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ADDCA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rPr>
      </w:pPr>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zh-CN"/>
        </w:rPr>
        <w:t>政府采购支出总额</w:t>
      </w:r>
      <w:r>
        <w:rPr>
          <w:rFonts w:hint="eastAsia" w:ascii="Times New Roman" w:hAnsi="Times New Roman" w:eastAsia="仿宋_GB2312" w:cs="仿宋_GB2312"/>
          <w:color w:val="auto"/>
          <w:sz w:val="32"/>
          <w:szCs w:val="32"/>
          <w:highlight w:val="none"/>
          <w:lang w:val="zh-CN" w:eastAsia="zh-CN"/>
        </w:rPr>
        <w:t>7.54万元</w:t>
      </w:r>
      <w:r>
        <w:rPr>
          <w:rFonts w:hint="eastAsia" w:ascii="Times New Roman" w:hAnsi="Times New Roman" w:eastAsia="仿宋_GB2312" w:cs="仿宋_GB2312"/>
          <w:color w:val="auto"/>
          <w:sz w:val="32"/>
          <w:szCs w:val="32"/>
          <w:highlight w:val="none"/>
          <w:lang w:val="zh-CN"/>
        </w:rPr>
        <w:t>，</w:t>
      </w:r>
      <w:r>
        <w:rPr>
          <w:rFonts w:hint="eastAsia" w:ascii="Times New Roman" w:hAnsi="Times New Roman" w:eastAsia="仿宋_GB2312" w:cs="仿宋_GB2312"/>
          <w:color w:val="auto"/>
          <w:sz w:val="32"/>
          <w:szCs w:val="32"/>
          <w:highlight w:val="none"/>
          <w:lang w:val="zh-CN" w:eastAsia="zh-CN"/>
        </w:rPr>
        <w:t>其中：政府采购货物支出7.54万元、政府采购工程支出0.00万元、政府采购服务支出0.00万元。</w:t>
      </w:r>
    </w:p>
    <w:p w14:paraId="24969B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授予中小企业合同金额6.43万元，占政府采购支出总额的85.28%，其中：授予小微企业合同金额6.43万元，占政府采购支出总额的85.28%</w:t>
      </w:r>
      <w:r>
        <w:rPr>
          <w:rFonts w:hint="eastAsia" w:ascii="Times New Roman" w:hAnsi="Times New Roman" w:eastAsia="仿宋_GB2312" w:cs="仿宋_GB2312"/>
          <w:color w:val="auto"/>
          <w:sz w:val="32"/>
          <w:szCs w:val="32"/>
          <w:highlight w:val="none"/>
          <w:lang w:val="en-US" w:eastAsia="zh-CN"/>
        </w:rPr>
        <w:t>。</w:t>
      </w:r>
    </w:p>
    <w:p w14:paraId="3629A8F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2"/>
        <w:rPr>
          <w:rFonts w:hint="eastAsia" w:ascii="Times New Roman" w:hAnsi="Times New Roman" w:eastAsia="仿宋_GB2312" w:cs="仿宋_GB2312"/>
          <w:b/>
          <w:bCs/>
          <w:color w:val="auto"/>
          <w:sz w:val="32"/>
          <w:szCs w:val="30"/>
          <w:highlight w:val="none"/>
          <w:lang w:val="zh-CN" w:eastAsia="zh-CN"/>
        </w:rPr>
      </w:pPr>
      <w:bookmarkStart w:id="26" w:name="_Toc8391"/>
      <w:bookmarkStart w:id="27" w:name="_Toc4591"/>
      <w:r>
        <w:rPr>
          <w:rFonts w:hint="eastAsia" w:ascii="Times New Roman" w:hAnsi="Times New Roman" w:eastAsia="仿宋_GB2312" w:cs="仿宋_GB2312"/>
          <w:b/>
          <w:bCs/>
          <w:color w:val="auto"/>
          <w:sz w:val="32"/>
          <w:szCs w:val="30"/>
          <w:highlight w:val="none"/>
          <w:lang w:val="zh-CN" w:eastAsia="zh-CN"/>
        </w:rPr>
        <w:t>（三）国有资产占用情况说明</w:t>
      </w:r>
      <w:bookmarkEnd w:id="26"/>
      <w:bookmarkEnd w:id="27"/>
    </w:p>
    <w:p w14:paraId="4CB28C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截至2023</w:t>
      </w:r>
      <w:r>
        <w:rPr>
          <w:rFonts w:hint="eastAsia" w:ascii="Times New Roman" w:hAnsi="Times New Roman" w:eastAsia="仿宋_GB2312" w:cs="仿宋_GB2312"/>
          <w:color w:val="auto"/>
          <w:sz w:val="32"/>
          <w:szCs w:val="32"/>
          <w:highlight w:val="none"/>
          <w:lang w:val="zh-CN" w:eastAsia="zh-CN"/>
        </w:rPr>
        <w:t>年</w:t>
      </w:r>
      <w:r>
        <w:rPr>
          <w:rFonts w:hint="eastAsia" w:ascii="Times New Roman" w:hAnsi="Times New Roman" w:eastAsia="仿宋_GB2312" w:cs="仿宋_GB2312"/>
          <w:color w:val="auto"/>
          <w:sz w:val="32"/>
          <w:szCs w:val="32"/>
          <w:highlight w:val="none"/>
          <w:lang w:val="en-US" w:eastAsia="zh-CN"/>
        </w:rPr>
        <w:t>12月31日</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固定资产原值</w:t>
      </w:r>
      <w:r>
        <w:rPr>
          <w:rFonts w:hint="eastAsia" w:ascii="Times New Roman" w:hAnsi="Times New Roman" w:eastAsia="仿宋_GB2312" w:cs="仿宋_GB2312"/>
          <w:color w:val="auto"/>
          <w:sz w:val="32"/>
          <w:szCs w:val="32"/>
          <w:highlight w:val="none"/>
          <w:lang w:val="zh-CN" w:eastAsia="zh-CN"/>
        </w:rPr>
        <w:t>19.27</w:t>
      </w:r>
      <w:r>
        <w:rPr>
          <w:rFonts w:hint="eastAsia" w:ascii="Times New Roman" w:hAnsi="Times New Roman" w:eastAsia="仿宋_GB2312" w:cs="仿宋_GB2312"/>
          <w:color w:val="auto"/>
          <w:sz w:val="32"/>
          <w:szCs w:val="32"/>
          <w:highlight w:val="none"/>
          <w:lang w:val="en-US" w:eastAsia="zh-CN"/>
        </w:rPr>
        <w:t>万元，房</w:t>
      </w:r>
      <w:r>
        <w:rPr>
          <w:rFonts w:hint="eastAsia" w:ascii="Times New Roman" w:hAnsi="Times New Roman"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Times New Roman" w:hAnsi="Times New Roman" w:eastAsia="仿宋_GB2312" w:cs="仿宋_GB2312"/>
          <w:color w:val="auto"/>
          <w:sz w:val="32"/>
          <w:szCs w:val="32"/>
          <w:highlight w:val="none"/>
          <w:lang w:val="en-US" w:eastAsia="zh-CN"/>
        </w:rPr>
        <w:t>负责人</w:t>
      </w:r>
      <w:r>
        <w:rPr>
          <w:rFonts w:hint="eastAsia" w:ascii="Times New Roman" w:hAnsi="Times New Roman"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仿宋_GB2312"/>
          <w:color w:val="auto"/>
          <w:sz w:val="32"/>
          <w:szCs w:val="32"/>
          <w:highlight w:val="none"/>
          <w:lang w:val="en-US" w:eastAsia="zh-CN"/>
        </w:rPr>
        <w:t>服务</w:t>
      </w:r>
      <w:r>
        <w:rPr>
          <w:rFonts w:hint="eastAsia" w:ascii="Times New Roman" w:hAnsi="Times New Roman" w:eastAsia="仿宋_GB2312" w:cs="仿宋_GB2312"/>
          <w:color w:val="auto"/>
          <w:sz w:val="32"/>
          <w:szCs w:val="32"/>
          <w:highlight w:val="none"/>
          <w:lang w:val="zh-CN" w:eastAsia="zh-CN"/>
        </w:rPr>
        <w:t>用车0辆、其他用车0辆，其他用车主要是：</w:t>
      </w:r>
      <w:r>
        <w:rPr>
          <w:rFonts w:hint="eastAsia" w:ascii="Times New Roman" w:hAnsi="Times New Roman" w:eastAsia="仿宋_GB2312" w:cs="仿宋_GB2312"/>
          <w:color w:val="auto"/>
          <w:sz w:val="32"/>
          <w:szCs w:val="32"/>
          <w:highlight w:val="none"/>
          <w:lang w:val="en-US" w:eastAsia="zh-CN"/>
        </w:rPr>
        <w:t>我单位无其他用车</w:t>
      </w:r>
      <w:r>
        <w:rPr>
          <w:rFonts w:hint="eastAsia" w:ascii="Times New Roman" w:hAnsi="Times New Roman" w:eastAsia="仿宋_GB2312" w:cs="仿宋_GB2312"/>
          <w:color w:val="auto"/>
          <w:sz w:val="32"/>
          <w:szCs w:val="32"/>
          <w:highlight w:val="none"/>
          <w:lang w:val="zh-CN" w:eastAsia="zh-CN"/>
        </w:rPr>
        <w:t>；单价100万元（含）以上设备（不含车辆）0</w:t>
      </w:r>
      <w:r>
        <w:rPr>
          <w:rFonts w:hint="eastAsia" w:ascii="Times New Roman" w:hAnsi="Times New Roman" w:eastAsia="仿宋_GB2312" w:cs="仿宋_GB2312"/>
          <w:color w:val="auto"/>
          <w:sz w:val="32"/>
          <w:szCs w:val="32"/>
          <w:highlight w:val="none"/>
          <w:lang w:val="en-US" w:eastAsia="zh-CN"/>
        </w:rPr>
        <w:t>台（</w:t>
      </w:r>
      <w:r>
        <w:rPr>
          <w:rFonts w:hint="eastAsia" w:ascii="Times New Roman" w:hAnsi="Times New Roman" w:eastAsia="仿宋_GB2312" w:cs="仿宋_GB2312"/>
          <w:color w:val="auto"/>
          <w:sz w:val="32"/>
          <w:szCs w:val="32"/>
          <w:highlight w:val="none"/>
          <w:lang w:val="zh-CN" w:eastAsia="zh-CN"/>
        </w:rPr>
        <w:t>套）。</w:t>
      </w:r>
    </w:p>
    <w:p w14:paraId="10EBED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435"/>
      <w:bookmarkStart w:id="29" w:name="_Toc11283"/>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14:paraId="1FCC6C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Hans"/>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w:t>
      </w:r>
      <w:r>
        <w:rPr>
          <w:rFonts w:hint="eastAsia" w:ascii="Times New Roman" w:hAnsi="Times New Roman" w:eastAsia="仿宋_GB2312"/>
          <w:color w:val="auto"/>
          <w:sz w:val="32"/>
          <w:szCs w:val="32"/>
          <w:highlight w:val="none"/>
          <w:lang w:val="en-US" w:eastAsia="zh-CN"/>
        </w:rPr>
        <w:t>我单位无预算绩效</w:t>
      </w:r>
      <w:r>
        <w:rPr>
          <w:rFonts w:hint="eastAsia" w:ascii="Times New Roman" w:hAnsi="Times New Roman" w:eastAsia="仿宋_GB2312"/>
          <w:color w:val="auto"/>
          <w:sz w:val="32"/>
          <w:szCs w:val="32"/>
          <w:highlight w:val="none"/>
          <w:lang w:eastAsia="zh-CN"/>
        </w:rPr>
        <w:t>。发现的问题及原因：</w:t>
      </w:r>
      <w:r>
        <w:rPr>
          <w:rFonts w:hint="eastAsia" w:ascii="Times New Roman" w:hAnsi="Times New Roman" w:eastAsia="仿宋_GB2312"/>
          <w:color w:val="auto"/>
          <w:sz w:val="32"/>
          <w:szCs w:val="32"/>
          <w:highlight w:val="none"/>
          <w:lang w:val="en-US" w:eastAsia="zh-CN"/>
        </w:rPr>
        <w:t>我单位无预算绩效</w:t>
      </w:r>
      <w:r>
        <w:rPr>
          <w:rFonts w:hint="eastAsia" w:ascii="Times New Roman" w:hAnsi="Times New Roman" w:eastAsia="仿宋_GB2312"/>
          <w:color w:val="auto"/>
          <w:sz w:val="32"/>
          <w:szCs w:val="32"/>
          <w:highlight w:val="none"/>
          <w:lang w:eastAsia="zh-CN"/>
        </w:rPr>
        <w:t>。下一步改进措施：</w:t>
      </w:r>
      <w:r>
        <w:rPr>
          <w:rFonts w:hint="eastAsia" w:ascii="Times New Roman" w:hAnsi="Times New Roman" w:eastAsia="仿宋_GB2312"/>
          <w:color w:val="auto"/>
          <w:sz w:val="32"/>
          <w:szCs w:val="32"/>
          <w:highlight w:val="none"/>
          <w:lang w:val="en-US" w:eastAsia="zh-CN"/>
        </w:rPr>
        <w:t>我单位无预算绩效</w:t>
      </w:r>
      <w:r>
        <w:rPr>
          <w:rFonts w:hint="eastAsia" w:ascii="Times New Roman" w:hAnsi="Times New Roman" w:eastAsia="仿宋_GB2312"/>
          <w:color w:val="auto"/>
          <w:sz w:val="32"/>
          <w:szCs w:val="32"/>
          <w:highlight w:val="none"/>
          <w:lang w:eastAsia="zh-CN"/>
        </w:rPr>
        <w:t>。</w:t>
      </w:r>
    </w:p>
    <w:p w14:paraId="7F081E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14:paraId="1F27854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本单位无其他需说明事项。</w:t>
      </w:r>
    </w:p>
    <w:p w14:paraId="327B9F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30" w:name="_Toc3250"/>
      <w:bookmarkStart w:id="31" w:name="_Toc24143"/>
      <w:r>
        <w:rPr>
          <w:rFonts w:hint="eastAsia" w:ascii="Times New Roman" w:hAnsi="Times New Roman" w:eastAsia="黑体"/>
          <w:color w:val="auto"/>
          <w:sz w:val="32"/>
          <w:szCs w:val="32"/>
          <w:highlight w:val="none"/>
        </w:rPr>
        <w:br w:type="page"/>
      </w: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14:paraId="4C5834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14:paraId="1BB25B1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14:paraId="78EA11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14:paraId="0CAE1B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14:paraId="0D68266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14:paraId="3D3BA7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14:paraId="6AE897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FB521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731A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14:paraId="5EA96D0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14:paraId="0E11B0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14:paraId="7C1277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14:paraId="724D1BE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14:paraId="34B2D0F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14:paraId="721134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14:paraId="5B7A98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6062"/>
      <w:bookmarkStart w:id="33" w:name="_Toc2183"/>
      <w:r>
        <w:rPr>
          <w:rFonts w:hint="eastAsia" w:ascii="Times New Roman" w:hAnsi="Times New Roman" w:eastAsia="仿宋_GB2312" w:cs="宋体"/>
          <w:bCs/>
          <w:color w:val="auto"/>
          <w:kern w:val="0"/>
          <w:sz w:val="32"/>
          <w:szCs w:val="32"/>
          <w:highlight w:val="none"/>
        </w:rPr>
        <w:t>一、《收入支出决算总表》</w:t>
      </w:r>
      <w:bookmarkEnd w:id="32"/>
      <w:bookmarkEnd w:id="33"/>
    </w:p>
    <w:p w14:paraId="1806D8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24532"/>
      <w:bookmarkStart w:id="35" w:name="_Toc30364"/>
      <w:r>
        <w:rPr>
          <w:rFonts w:hint="eastAsia" w:ascii="Times New Roman" w:hAnsi="Times New Roman" w:eastAsia="仿宋_GB2312" w:cs="宋体"/>
          <w:bCs/>
          <w:color w:val="auto"/>
          <w:kern w:val="0"/>
          <w:sz w:val="32"/>
          <w:szCs w:val="32"/>
          <w:highlight w:val="none"/>
        </w:rPr>
        <w:t>二、《收入决算表》</w:t>
      </w:r>
      <w:bookmarkEnd w:id="34"/>
      <w:bookmarkEnd w:id="35"/>
    </w:p>
    <w:p w14:paraId="010195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21304"/>
      <w:bookmarkStart w:id="37" w:name="_Toc32434"/>
      <w:r>
        <w:rPr>
          <w:rFonts w:hint="eastAsia" w:ascii="Times New Roman" w:hAnsi="Times New Roman" w:eastAsia="仿宋_GB2312" w:cs="宋体"/>
          <w:bCs/>
          <w:color w:val="auto"/>
          <w:kern w:val="0"/>
          <w:sz w:val="32"/>
          <w:szCs w:val="32"/>
          <w:highlight w:val="none"/>
        </w:rPr>
        <w:t>三、《支出决算表》</w:t>
      </w:r>
      <w:bookmarkEnd w:id="36"/>
      <w:bookmarkEnd w:id="37"/>
    </w:p>
    <w:p w14:paraId="112E87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14238"/>
      <w:bookmarkStart w:id="39" w:name="_Toc28786"/>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14:paraId="26C809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4869"/>
      <w:bookmarkStart w:id="41" w:name="_Toc10347"/>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14:paraId="72A533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5626"/>
      <w:bookmarkStart w:id="43" w:name="_Toc8884"/>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14:paraId="52348E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32663"/>
      <w:bookmarkStart w:id="45" w:name="_Toc29106"/>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14:paraId="4DCAB6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7643"/>
      <w:bookmarkStart w:id="47" w:name="_Toc545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14:paraId="70AF39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14:paraId="050431C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none"/>
        </w:rPr>
      </w:pPr>
    </w:p>
    <w:p w14:paraId="73A493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65A2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0B4A1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C0B4A1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616ABA"/>
    <w:rsid w:val="19D26CD4"/>
    <w:rsid w:val="19E60D19"/>
    <w:rsid w:val="1A3E3450"/>
    <w:rsid w:val="1AD807E5"/>
    <w:rsid w:val="1B39345B"/>
    <w:rsid w:val="1B5C40BD"/>
    <w:rsid w:val="1B6A6D48"/>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1A470E"/>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00605E"/>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201E10"/>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4084</Words>
  <Characters>4555</Characters>
  <Lines>0</Lines>
  <Paragraphs>0</Paragraphs>
  <TotalTime>0</TotalTime>
  <ScaleCrop>false</ScaleCrop>
  <LinksUpToDate>false</LinksUpToDate>
  <CharactersWithSpaces>4566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礼</cp:lastModifiedBy>
  <dcterms:modified xsi:type="dcterms:W3CDTF">2024-08-28T09:49:27Z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