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乌鲁木齐市国际道路运输管理局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ascii="仿宋_GB2312" w:eastAsia="仿宋_GB2312"/>
          <w:sz w:val="32"/>
          <w:szCs w:val="32"/>
        </w:rPr>
        <w:t>承担乌鲁木齐市国际道路运输市场、国际道路客货运输、国际道路运输站场等国际运输相关业务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乌鲁木齐市国际道路运输管理局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18</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8</w:t>
      </w:r>
      <w:r>
        <w:rPr>
          <w:rFonts w:hint="eastAsia" w:ascii="仿宋_GB2312" w:eastAsia="仿宋_GB2312"/>
          <w:color w:val="auto"/>
          <w:sz w:val="32"/>
          <w:szCs w:val="32"/>
          <w:highlight w:val="none"/>
        </w:rPr>
        <w:t>人。</w:t>
      </w:r>
    </w:p>
    <w:p>
      <w:pPr>
        <w:ind w:firstLine="640" w:firstLineChars="200"/>
        <w:rPr>
          <w:rFonts w:ascii="仿宋_GB2312" w:eastAsia="仿宋_GB2312"/>
          <w:sz w:val="32"/>
          <w:szCs w:val="32"/>
        </w:rPr>
      </w:pPr>
      <w:r>
        <w:rPr>
          <w:rFonts w:hint="eastAsia" w:ascii="仿宋_GB2312" w:eastAsia="仿宋_GB2312"/>
          <w:sz w:val="32"/>
          <w:szCs w:val="32"/>
          <w:lang w:eastAsia="zh-CN"/>
        </w:rPr>
        <w:t>新</w:t>
      </w:r>
      <w:r>
        <w:rPr>
          <w:rFonts w:hint="eastAsia" w:ascii="仿宋_GB2312" w:eastAsia="仿宋_GB2312"/>
          <w:sz w:val="32"/>
          <w:szCs w:val="32"/>
        </w:rPr>
        <w:t>疆乌鲁木齐市国际道路运输管理局</w:t>
      </w:r>
      <w:r>
        <w:rPr>
          <w:rFonts w:hint="eastAsia" w:ascii="仿宋_GB2312" w:eastAsia="仿宋_GB2312"/>
          <w:sz w:val="32"/>
          <w:szCs w:val="32"/>
          <w:lang w:eastAsia="zh-CN"/>
        </w:rPr>
        <w:t>无</w:t>
      </w:r>
      <w:r>
        <w:rPr>
          <w:rFonts w:hint="eastAsia" w:ascii="仿宋_GB2312" w:hAnsi="黑体" w:eastAsia="仿宋_GB2312" w:cs="宋体"/>
          <w:bCs/>
          <w:kern w:val="0"/>
          <w:sz w:val="32"/>
          <w:szCs w:val="32"/>
        </w:rPr>
        <w:t>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eastAsia="zh-CN"/>
        </w:rPr>
        <w:t>科</w:t>
      </w:r>
      <w:r>
        <w:rPr>
          <w:rFonts w:hint="eastAsia" w:ascii="仿宋_GB2312" w:hAnsi="黑体" w:eastAsia="仿宋_GB2312" w:cs="宋体"/>
          <w:bCs/>
          <w:kern w:val="0"/>
          <w:sz w:val="32"/>
          <w:szCs w:val="32"/>
        </w:rPr>
        <w:t>室，分别是：综合科、执法科、法治科</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299.48万元，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276.67万元，使用非财政拨款结余0.00万元，年初结转和结余22.81万元。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299.48万元，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284.30万元，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0.10万元，年末结转和结余15.07万元。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减少21.83万元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下降6.79%</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2023年专项资金减少</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276.67</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261.76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94.61</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14.91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5.39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本年支出284.30万元，其中：基本支出239.37万元，占84.20%；项目支出44.93万元，占15.80%；上缴上级支出0.00万元，占0.00%；经营支出0.00万元，占0.00%；对附属单位补助支出0.00万元，占0.00%。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262.95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1.19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261.76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262.95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262.95</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减少16.90万元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下降6.04%，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2023年与2022年减少财政项目预算资金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250.53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262.95</w:t>
      </w:r>
      <w:r>
        <w:rPr>
          <w:rFonts w:hint="eastAsia" w:ascii="仿宋_GB2312" w:eastAsia="仿宋_GB2312"/>
          <w:color w:val="auto"/>
          <w:spacing w:val="0"/>
          <w:sz w:val="32"/>
          <w:szCs w:val="32"/>
          <w:highlight w:val="none"/>
          <w:lang w:eastAsia="zh-CN"/>
        </w:rPr>
        <w:t>万元，预决算差异率4.96%，主要原因是：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年人员经费、公用经费调整增加，预算支出增加</w:t>
      </w:r>
      <w:r>
        <w:rPr>
          <w:rFonts w:hint="eastAsia" w:ascii="仿宋_GB2312" w:eastAsia="仿宋_GB2312"/>
          <w:color w:val="auto"/>
          <w:spacing w:val="0"/>
          <w:sz w:val="32"/>
          <w:szCs w:val="32"/>
          <w:highlight w:val="none"/>
          <w:lang w:eastAsia="zh-CN"/>
        </w:rPr>
        <w:t>人员增资。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2023年度一般公共预算财政拨款支出262.95万元，占本年支出合计的</w:t>
      </w:r>
      <w:r>
        <w:rPr>
          <w:rFonts w:hint="eastAsia" w:ascii="仿宋_GB2312" w:eastAsia="仿宋_GB2312"/>
          <w:color w:val="auto"/>
          <w:spacing w:val="0"/>
          <w:sz w:val="32"/>
          <w:szCs w:val="32"/>
          <w:highlight w:val="none"/>
          <w:lang w:val="zh-CN" w:eastAsia="zh-CN"/>
        </w:rPr>
        <w:t>92.49%</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减少15.7</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下降5.64%，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2023年与2022年减少财政项目预算资金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250.53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262.95</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4.96%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年人员经费、公用经费调整增加，预算支出增加</w:t>
      </w:r>
      <w:r>
        <w:rPr>
          <w:rFonts w:hint="eastAsia" w:ascii="仿宋_GB2312" w:eastAsia="仿宋_GB2312"/>
          <w:color w:val="auto"/>
          <w:spacing w:val="0"/>
          <w:sz w:val="32"/>
          <w:szCs w:val="32"/>
          <w:highlight w:val="none"/>
          <w:lang w:eastAsia="zh-CN"/>
        </w:rPr>
        <w:t>人员增资。</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34.61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13.16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17.13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6.51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197.05</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74.94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14.17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5.39</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1.卫生健康支出（类）行政事业单位医疗（款）行政单位医疗（项）:支出决算数为8.86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w:t>
      </w:r>
      <w:r>
        <w:rPr>
          <w:rFonts w:hint="eastAsia" w:eastAsia="仿宋_GB2312" w:cs="Times New Roman"/>
          <w:color w:val="auto"/>
          <w:kern w:val="2"/>
          <w:sz w:val="32"/>
          <w:szCs w:val="32"/>
          <w:highlight w:val="none"/>
          <w:lang w:val="en-US" w:eastAsia="zh-CN" w:bidi="ar-SA"/>
        </w:rPr>
        <w:t>62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2023年人员经费调整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2.卫生健康支出（类）行政事业单位医疗（款）公务员医疗补助（项）:支出决算数为8.27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1.8</w:t>
      </w:r>
      <w:r>
        <w:rPr>
          <w:rFonts w:hint="eastAsia" w:eastAsia="仿宋_GB2312" w:cs="Times New Roman"/>
          <w:color w:val="auto"/>
          <w:kern w:val="2"/>
          <w:sz w:val="32"/>
          <w:szCs w:val="32"/>
          <w:highlight w:val="none"/>
          <w:lang w:val="en-US" w:eastAsia="zh-CN" w:bidi="ar-SA"/>
        </w:rPr>
        <w:t>1万元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w:t>
      </w:r>
      <w:r>
        <w:rPr>
          <w:rFonts w:hint="eastAsia" w:eastAsia="仿宋_GB2312" w:cs="Times New Roman"/>
          <w:color w:val="auto"/>
          <w:kern w:val="2"/>
          <w:sz w:val="32"/>
          <w:szCs w:val="32"/>
          <w:highlight w:val="none"/>
          <w:lang w:val="en-US" w:eastAsia="zh-CN" w:bidi="ar-SA"/>
        </w:rPr>
        <w:t>8.02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2023年人员经费调整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3.住房保障支出（类）住房改革支出（款）住房公积金（项）:支出决算数为14.17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22.</w:t>
      </w:r>
      <w:r>
        <w:rPr>
          <w:rFonts w:hint="eastAsia" w:eastAsia="仿宋_GB2312" w:cs="Times New Roman"/>
          <w:color w:val="auto"/>
          <w:kern w:val="2"/>
          <w:sz w:val="32"/>
          <w:szCs w:val="32"/>
          <w:highlight w:val="none"/>
          <w:lang w:val="en-US" w:eastAsia="zh-CN" w:bidi="ar-SA"/>
        </w:rPr>
        <w:t>58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2023年人员经费调整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4.社会保障和就业支出（类）行政事业单位养老支出（款）行政单位离退休（项）:支出决算数为15.71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7.0</w:t>
      </w:r>
      <w:r>
        <w:rPr>
          <w:rFonts w:hint="eastAsia" w:eastAsia="仿宋_GB2312" w:cs="Times New Roman"/>
          <w:color w:val="auto"/>
          <w:kern w:val="2"/>
          <w:sz w:val="32"/>
          <w:szCs w:val="32"/>
          <w:highlight w:val="none"/>
          <w:lang w:val="en-US" w:eastAsia="zh-CN" w:bidi="ar-SA"/>
        </w:rPr>
        <w:t>8万元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31.0</w:t>
      </w:r>
      <w:r>
        <w:rPr>
          <w:rFonts w:hint="eastAsia"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离退休人员不再缴纳医疗保险，此项费用退回财政</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5.社会保障和就业支出（类）行政事业单位养老支出（款）机关事业单位基本养老保险缴费支出（项）:支出决算数为18.90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22.6</w:t>
      </w: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2023年人员经费调整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6.交通运输支出（类）公路水路运输（款）行政运行（项）:支出决算数为159.41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3.8</w:t>
      </w:r>
      <w:r>
        <w:rPr>
          <w:rFonts w:hint="eastAsia" w:eastAsia="仿宋_GB2312" w:cs="Times New Roman"/>
          <w:color w:val="auto"/>
          <w:kern w:val="2"/>
          <w:sz w:val="32"/>
          <w:szCs w:val="32"/>
          <w:highlight w:val="none"/>
          <w:lang w:val="en-US" w:eastAsia="zh-CN" w:bidi="ar-SA"/>
        </w:rPr>
        <w:t>7万元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2.4</w:t>
      </w:r>
      <w:r>
        <w:rPr>
          <w:rFonts w:hint="eastAsia" w:eastAsia="仿宋_GB2312" w:cs="Times New Roman"/>
          <w:color w:val="auto"/>
          <w:kern w:val="2"/>
          <w:sz w:val="32"/>
          <w:szCs w:val="32"/>
          <w:highlight w:val="none"/>
          <w:lang w:val="en-US" w:eastAsia="zh-CN" w:bidi="ar-SA"/>
        </w:rPr>
        <w:t>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2023年人员经费调整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7.交通运输支出（类）公路水路运输（款）公路运输管理（项）:支出决算数为37.64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14.22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27.42%，主要原因是：</w:t>
      </w:r>
      <w:r>
        <w:rPr>
          <w:rFonts w:hint="eastAsia" w:eastAsia="仿宋_GB2312" w:cs="Times New Roman"/>
          <w:color w:val="auto"/>
          <w:kern w:val="2"/>
          <w:sz w:val="32"/>
          <w:szCs w:val="32"/>
          <w:highlight w:val="none"/>
          <w:lang w:val="en-US" w:eastAsia="zh-CN" w:bidi="ar-SA"/>
        </w:rPr>
        <w:t>2023年工作队专项经费调整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8.社会保障和就业支出（类）行政事业单位养老支出（款）机关事业单位职业年金缴费支出（项）:支出决算数为0.00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6.73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2023年无追加职业年金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239.35</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224.96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基本工资、津贴补贴、奖金、机关事业单位基本养老保险缴费、职工基本医疗保险缴费、公务员医疗补助缴费、其他社会保障缴费、住房公积金、其他工资福利支出、退休费、其他对个人和家庭的补助。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14.40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办公费、印刷费、邮电费、差旅费、工会经费、福利费、公务用车运行维护费、其他交通费用、其他商品和服务支出。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“三公”经费支出0.80万元，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减少0.05万元，下降5.88%，主要原因是：</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w:t>
      </w:r>
      <w:r>
        <w:rPr>
          <w:rFonts w:hint="eastAsia" w:ascii="仿宋_GB2312" w:eastAsia="仿宋_GB2312"/>
          <w:sz w:val="32"/>
          <w:szCs w:val="32"/>
          <w:lang w:eastAsia="zh-CN"/>
        </w:rPr>
        <w:t>财政拨款</w:t>
      </w:r>
      <w:r>
        <w:rPr>
          <w:rFonts w:ascii="仿宋_GB2312" w:eastAsia="仿宋_GB2312"/>
          <w:sz w:val="32"/>
          <w:szCs w:val="32"/>
        </w:rPr>
        <w:t>“三公”经费支出预算厉行节约，减少公务用车量</w:t>
      </w:r>
      <w:r>
        <w:rPr>
          <w:rFonts w:hint="eastAsia" w:ascii="仿宋_GB2312" w:eastAsia="仿宋_GB2312"/>
          <w:color w:val="auto"/>
          <w:sz w:val="32"/>
          <w:szCs w:val="32"/>
          <w:highlight w:val="none"/>
          <w:lang w:val="zh-CN" w:eastAsia="zh-CN"/>
        </w:rPr>
        <w:t>。其中：因公出国（境）费支出0.00万元，占0.00%，比上年增加0.00万元，增长0.00%，主要原因是：我单位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因公出国（境）费；公务用车购置及运行维护费支出0.80万元，占100.00%，比上年减少0.05万元，下降5.88%，主要原因是：</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w:t>
      </w:r>
      <w:r>
        <w:rPr>
          <w:rFonts w:hint="eastAsia" w:ascii="仿宋_GB2312" w:eastAsia="仿宋_GB2312"/>
          <w:sz w:val="32"/>
          <w:szCs w:val="32"/>
          <w:lang w:eastAsia="zh-CN"/>
        </w:rPr>
        <w:t>财政拨款</w:t>
      </w:r>
      <w:r>
        <w:rPr>
          <w:rFonts w:ascii="仿宋_GB2312" w:eastAsia="仿宋_GB2312"/>
          <w:sz w:val="32"/>
          <w:szCs w:val="32"/>
        </w:rPr>
        <w:t>“三公”经费支出预算厉行节约，减少公务用车量</w:t>
      </w:r>
      <w:r>
        <w:rPr>
          <w:rFonts w:hint="eastAsia" w:ascii="仿宋_GB2312" w:eastAsia="仿宋_GB2312"/>
          <w:color w:val="auto"/>
          <w:sz w:val="32"/>
          <w:szCs w:val="32"/>
          <w:highlight w:val="none"/>
          <w:lang w:val="zh-CN" w:eastAsia="zh-CN"/>
        </w:rPr>
        <w:t>；公务接待费支出0.00万元，占0.00%，比上年增加0.00万元，增长0.00%，主要原因是：我单位</w:t>
      </w:r>
      <w:r>
        <w:rPr>
          <w:rFonts w:hint="eastAsia" w:ascii="仿宋_GB2312" w:eastAsia="仿宋_GB2312"/>
          <w:color w:val="auto"/>
          <w:sz w:val="32"/>
          <w:szCs w:val="32"/>
          <w:highlight w:val="none"/>
          <w:lang w:val="en-US" w:eastAsia="zh-CN"/>
        </w:rPr>
        <w:t>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sz w:val="32"/>
          <w:szCs w:val="32"/>
        </w:rPr>
        <w:t>开支内容包括我单位无因公出国（境）费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公务用车购置及运行维护费0.80万元，其中：公务用车购置费0.00万元，公务用车运行维护费0.80万元。公务用车运行维护费开支内容包括</w:t>
      </w:r>
      <w:r>
        <w:rPr>
          <w:rFonts w:hint="eastAsia" w:ascii="仿宋_GB2312" w:eastAsia="仿宋_GB2312"/>
          <w:sz w:val="32"/>
          <w:szCs w:val="32"/>
        </w:rPr>
        <w:t>车辆保险费、燃料费、过桥过路费</w:t>
      </w:r>
      <w:r>
        <w:rPr>
          <w:rFonts w:hint="eastAsia" w:ascii="仿宋_GB2312" w:eastAsia="仿宋_GB2312"/>
          <w:sz w:val="32"/>
          <w:szCs w:val="32"/>
          <w:lang w:eastAsia="zh-CN"/>
        </w:rPr>
        <w:t>、车辆维修费</w:t>
      </w:r>
      <w:r>
        <w:rPr>
          <w:rFonts w:hint="eastAsia" w:ascii="仿宋_GB2312" w:eastAsia="仿宋_GB2312"/>
          <w:sz w:val="32"/>
          <w:szCs w:val="32"/>
        </w:rPr>
        <w:t>等</w:t>
      </w:r>
      <w:r>
        <w:rPr>
          <w:rFonts w:hint="eastAsia" w:ascii="仿宋_GB2312" w:eastAsia="仿宋_GB2312"/>
          <w:color w:val="auto"/>
          <w:sz w:val="32"/>
          <w:szCs w:val="32"/>
          <w:highlight w:val="none"/>
          <w:lang w:val="zh-CN" w:eastAsia="zh-CN"/>
        </w:rPr>
        <w:t>。公务用车购置数0辆，公务用车保有量2辆。国有资产占用情况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2辆，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原因是：我单位公务用车保有量</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预算数0.80万元，决算数0.80万元，预决算差异率0.00%，主要原因是：</w:t>
      </w:r>
      <w:r>
        <w:rPr>
          <w:rFonts w:hint="eastAsia" w:ascii="仿宋_GB2312" w:eastAsia="仿宋_GB2312"/>
          <w:color w:val="auto"/>
          <w:sz w:val="32"/>
          <w:szCs w:val="32"/>
          <w:highlight w:val="none"/>
          <w:lang w:val="en-US" w:eastAsia="zh-CN"/>
        </w:rPr>
        <w:t>2023年我单位“三公”经费支出严格按照预算执行</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预算数0.80万元，决算数0.80万元，预决算差异率0.00%，主要原因是：我单位严格按照预算执行</w:t>
      </w:r>
      <w:bookmarkStart w:id="48" w:name="_GoBack"/>
      <w:bookmarkEnd w:id="48"/>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乌鲁木齐市国际道路运输管理局（行政单位和参照公务员法管理事业单位）机关运行经费支出14.40万元，比上年增加0.71万元，增长5.19%,主要原因是：</w:t>
      </w:r>
      <w:r>
        <w:rPr>
          <w:rFonts w:hint="eastAsia" w:eastAsia="仿宋_GB2312" w:cs="Times New Roman"/>
          <w:color w:val="auto"/>
          <w:sz w:val="32"/>
          <w:szCs w:val="32"/>
          <w:highlight w:val="none"/>
          <w:lang w:val="en-US" w:eastAsia="zh-CN"/>
        </w:rPr>
        <w:t>2023年</w:t>
      </w:r>
      <w:r>
        <w:rPr>
          <w:rFonts w:hint="eastAsia" w:ascii="仿宋_GB2312" w:eastAsia="仿宋_GB2312"/>
          <w:sz w:val="32"/>
          <w:szCs w:val="32"/>
        </w:rPr>
        <w:t>人员晋升，因此机关运行经费增长</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1.01万元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其中：政府采购货物支出0.30万元、政府采购工程支出0.00万元、政府采购服务支出0.71万元。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授予中小企业合同金额1.01万元，占政府采购支出总额的100.00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，其中：授予小微企业合同金额1.01万元，占政府采购支出总额的100.00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121.80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屋0.0平方米，价值0.00万元。车辆2辆，价值45.53万元，其中：副部（省）级及以上领导用车0辆、主要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用车0辆、机要通信用车0辆、应急保障用车0辆、执法执勤用车2辆、特种专业技术用车0辆、离退休干部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lang w:eastAsia="zh-CN"/>
        </w:rPr>
        <w:t>开展</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全年预算数42.12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全年执行数42.12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highlight w:val="none"/>
        </w:rPr>
        <w:t>一是加大了项目执行过程中全过程监控，按要求的时间节点开展绩效自评，加强预算执行进度，确保预算执行率。二是加强管理制度建设。三是完善项目绩效管理责任</w:t>
      </w:r>
      <w:r>
        <w:rPr>
          <w:rFonts w:hint="eastAsia" w:ascii="仿宋_GB2312" w:eastAsia="仿宋_GB2312"/>
          <w:sz w:val="32"/>
          <w:szCs w:val="32"/>
          <w:highlight w:val="none"/>
        </w:rPr>
        <w:t>。发现的问题及原因：</w:t>
      </w:r>
      <w:r>
        <w:rPr>
          <w:rFonts w:ascii="仿宋_GB2312" w:eastAsia="仿宋_GB2312"/>
          <w:sz w:val="32"/>
          <w:szCs w:val="32"/>
          <w:highlight w:val="none"/>
        </w:rPr>
        <w:t>一是绩效管理经验不足；二是预算绩效考评指标有待完善</w:t>
      </w:r>
      <w:r>
        <w:rPr>
          <w:rFonts w:hint="eastAsia" w:ascii="仿宋_GB2312" w:eastAsia="仿宋_GB2312"/>
          <w:sz w:val="32"/>
          <w:szCs w:val="32"/>
          <w:highlight w:val="none"/>
        </w:rPr>
        <w:t>。下一步改进措施：</w:t>
      </w:r>
      <w:r>
        <w:rPr>
          <w:rFonts w:ascii="仿宋_GB2312" w:eastAsia="仿宋_GB2312"/>
          <w:sz w:val="32"/>
          <w:szCs w:val="32"/>
          <w:highlight w:val="none"/>
        </w:rPr>
        <w:t>一是加强绩效管理；二是加强对项目资金执行的跟踪管理，加强评价指标体系建设，保障项目实施效果</w:t>
      </w:r>
      <w:r>
        <w:rPr>
          <w:rFonts w:hint="eastAsia" w:ascii="仿宋_GB2312" w:eastAsia="仿宋_GB2312"/>
          <w:sz w:val="32"/>
          <w:szCs w:val="32"/>
          <w:highlight w:val="none"/>
          <w:lang w:eastAsia="zh-CN"/>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MmRhZjIyNDc2Mzc0ZTM5YTNkNjAzOWY5OWVhMzc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175511"/>
    <w:rsid w:val="07804730"/>
    <w:rsid w:val="079052BE"/>
    <w:rsid w:val="08145C21"/>
    <w:rsid w:val="08422688"/>
    <w:rsid w:val="085854ED"/>
    <w:rsid w:val="0879188F"/>
    <w:rsid w:val="08A0354D"/>
    <w:rsid w:val="08CD4C49"/>
    <w:rsid w:val="09114954"/>
    <w:rsid w:val="09585CD2"/>
    <w:rsid w:val="095A5B83"/>
    <w:rsid w:val="096466E3"/>
    <w:rsid w:val="0968304D"/>
    <w:rsid w:val="09AF3D17"/>
    <w:rsid w:val="0A7809B7"/>
    <w:rsid w:val="0A7B4867"/>
    <w:rsid w:val="0A840954"/>
    <w:rsid w:val="0A9928ED"/>
    <w:rsid w:val="0B61769D"/>
    <w:rsid w:val="0B662C32"/>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0F985657"/>
    <w:rsid w:val="0FBF2C37"/>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512B25"/>
    <w:rsid w:val="1AD624F0"/>
    <w:rsid w:val="1AD807E5"/>
    <w:rsid w:val="1B39345B"/>
    <w:rsid w:val="1B7D4F00"/>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B4E25"/>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22032B"/>
    <w:rsid w:val="2C6F314E"/>
    <w:rsid w:val="2CC206BE"/>
    <w:rsid w:val="2D1136DF"/>
    <w:rsid w:val="2D20606D"/>
    <w:rsid w:val="2D482642"/>
    <w:rsid w:val="2DB87198"/>
    <w:rsid w:val="2DB93C54"/>
    <w:rsid w:val="2E3D144C"/>
    <w:rsid w:val="2E891204"/>
    <w:rsid w:val="2F3F0A28"/>
    <w:rsid w:val="2F6B383B"/>
    <w:rsid w:val="2FBF7029"/>
    <w:rsid w:val="2FD0187F"/>
    <w:rsid w:val="2FD27414"/>
    <w:rsid w:val="2FFE4BB0"/>
    <w:rsid w:val="300E7B60"/>
    <w:rsid w:val="300F6E18"/>
    <w:rsid w:val="30862F5F"/>
    <w:rsid w:val="311E0BF4"/>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ADA4390"/>
    <w:rsid w:val="3B6716E3"/>
    <w:rsid w:val="3B6C6B2D"/>
    <w:rsid w:val="3BEC3710"/>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0FF1BB1"/>
    <w:rsid w:val="41431AD5"/>
    <w:rsid w:val="414B3C0F"/>
    <w:rsid w:val="417C1CE7"/>
    <w:rsid w:val="41900018"/>
    <w:rsid w:val="41944406"/>
    <w:rsid w:val="41CE128F"/>
    <w:rsid w:val="41DA6F12"/>
    <w:rsid w:val="42171FB1"/>
    <w:rsid w:val="434E6957"/>
    <w:rsid w:val="43BA0E31"/>
    <w:rsid w:val="43C15147"/>
    <w:rsid w:val="43E14DD2"/>
    <w:rsid w:val="43F800E9"/>
    <w:rsid w:val="443A7E4B"/>
    <w:rsid w:val="44FDFA06"/>
    <w:rsid w:val="452F5B3A"/>
    <w:rsid w:val="454E7FD2"/>
    <w:rsid w:val="45D45685"/>
    <w:rsid w:val="46061BDC"/>
    <w:rsid w:val="461404F8"/>
    <w:rsid w:val="46413018"/>
    <w:rsid w:val="464B7E04"/>
    <w:rsid w:val="468041AA"/>
    <w:rsid w:val="468123C6"/>
    <w:rsid w:val="46901EEE"/>
    <w:rsid w:val="469C74D2"/>
    <w:rsid w:val="47445515"/>
    <w:rsid w:val="474B4782"/>
    <w:rsid w:val="47D90D14"/>
    <w:rsid w:val="47F739BB"/>
    <w:rsid w:val="48387FB0"/>
    <w:rsid w:val="483A6114"/>
    <w:rsid w:val="488727DB"/>
    <w:rsid w:val="48B82268"/>
    <w:rsid w:val="48C354B3"/>
    <w:rsid w:val="493D58B5"/>
    <w:rsid w:val="494A7A04"/>
    <w:rsid w:val="4A0A26D2"/>
    <w:rsid w:val="4A2019A5"/>
    <w:rsid w:val="4A241A0B"/>
    <w:rsid w:val="4A7B2875"/>
    <w:rsid w:val="4A934476"/>
    <w:rsid w:val="4AAA220A"/>
    <w:rsid w:val="4AE12E67"/>
    <w:rsid w:val="4B2E65B1"/>
    <w:rsid w:val="4B4C0111"/>
    <w:rsid w:val="4B8553A9"/>
    <w:rsid w:val="4BDB3730"/>
    <w:rsid w:val="4C200F7A"/>
    <w:rsid w:val="4CEE3180"/>
    <w:rsid w:val="4D0F4AF6"/>
    <w:rsid w:val="4DF94F37"/>
    <w:rsid w:val="4E0A1DD5"/>
    <w:rsid w:val="4E3160E5"/>
    <w:rsid w:val="4E4D37AF"/>
    <w:rsid w:val="4E8C6496"/>
    <w:rsid w:val="4ECC6563"/>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471B54"/>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AB377C"/>
    <w:rsid w:val="5CBB0CE2"/>
    <w:rsid w:val="5CC17177"/>
    <w:rsid w:val="5CF306BC"/>
    <w:rsid w:val="5D3F3D64"/>
    <w:rsid w:val="5D833043"/>
    <w:rsid w:val="5DD9194E"/>
    <w:rsid w:val="5DD92690"/>
    <w:rsid w:val="5DDB1CFD"/>
    <w:rsid w:val="5E396802"/>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A560CF"/>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614A2"/>
    <w:rsid w:val="691B3D98"/>
    <w:rsid w:val="693748F0"/>
    <w:rsid w:val="69846A0E"/>
    <w:rsid w:val="69AD798C"/>
    <w:rsid w:val="69D005C0"/>
    <w:rsid w:val="69D80B96"/>
    <w:rsid w:val="6B68175F"/>
    <w:rsid w:val="6B6FD167"/>
    <w:rsid w:val="6BFD799F"/>
    <w:rsid w:val="6C4A2E5A"/>
    <w:rsid w:val="6C8138D0"/>
    <w:rsid w:val="6CBA3B8F"/>
    <w:rsid w:val="6CE575F5"/>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9D0E9D"/>
    <w:rsid w:val="74CE04EC"/>
    <w:rsid w:val="74E76DCD"/>
    <w:rsid w:val="751D7C0A"/>
    <w:rsid w:val="75722D56"/>
    <w:rsid w:val="75A46521"/>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 w:val="AD7268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4845</Words>
  <Characters>5491</Characters>
  <Lines>0</Lines>
  <Paragraphs>0</Paragraphs>
  <TotalTime>16</TotalTime>
  <ScaleCrop>false</ScaleCrop>
  <LinksUpToDate>false</LinksUpToDate>
  <CharactersWithSpaces>5503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jtt</cp:lastModifiedBy>
  <dcterms:modified xsi:type="dcterms:W3CDTF">2024-11-05T13:43:36Z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347A870DB5C14A7F82279EAB49BA5051_13</vt:lpwstr>
  </property>
</Properties>
</file>