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napToGrid/>
        <w:spacing w:line="560" w:lineRule="exact"/>
        <w:textAlignment w:val="auto"/>
        <w:rPr>
          <w:rFonts w:ascii="黑体" w:hAnsi="黑体" w:eastAsia="黑体"/>
          <w:sz w:val="32"/>
          <w:szCs w:val="32"/>
          <w:highlight w:val="none"/>
        </w:rPr>
      </w:pPr>
    </w:p>
    <w:p>
      <w:pPr>
        <w:keepNext w:val="0"/>
        <w:keepLines w:val="0"/>
        <w:pageBreakBefore w:val="0"/>
        <w:kinsoku/>
        <w:wordWrap/>
        <w:overflowPunct/>
        <w:topLinePunct w:val="0"/>
        <w:bidi w:val="0"/>
        <w:adjustRightInd/>
        <w:snapToGrid/>
        <w:spacing w:line="560" w:lineRule="exact"/>
        <w:jc w:val="center"/>
        <w:textAlignment w:val="auto"/>
        <w:rPr>
          <w:rFonts w:ascii="方正小标宋_GBK" w:hAnsi="宋体" w:eastAsia="方正小标宋_GBK"/>
          <w:sz w:val="44"/>
          <w:szCs w:val="44"/>
          <w:highlight w:val="none"/>
        </w:rPr>
      </w:pPr>
    </w:p>
    <w:p>
      <w:pPr>
        <w:keepNext w:val="0"/>
        <w:keepLines w:val="0"/>
        <w:pageBreakBefore w:val="0"/>
        <w:kinsoku/>
        <w:wordWrap/>
        <w:overflowPunct/>
        <w:topLinePunct w:val="0"/>
        <w:bidi w:val="0"/>
        <w:adjustRightInd/>
        <w:snapToGrid/>
        <w:spacing w:line="56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新疆维吾尔自治区交通运输综合行政执法局</w:t>
      </w:r>
    </w:p>
    <w:p>
      <w:pPr>
        <w:keepNext w:val="0"/>
        <w:keepLines w:val="0"/>
        <w:pageBreakBefore w:val="0"/>
        <w:kinsoku/>
        <w:wordWrap/>
        <w:overflowPunct/>
        <w:topLinePunct w:val="0"/>
        <w:bidi w:val="0"/>
        <w:adjustRightInd/>
        <w:snapToGrid/>
        <w:spacing w:line="560" w:lineRule="exact"/>
        <w:jc w:val="center"/>
        <w:textAlignment w:val="auto"/>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t>新藏公路新疆段执法支队2023年度部门决算</w:t>
      </w:r>
    </w:p>
    <w:p>
      <w:pPr>
        <w:keepNext w:val="0"/>
        <w:keepLines w:val="0"/>
        <w:pageBreakBefore w:val="0"/>
        <w:kinsoku/>
        <w:wordWrap/>
        <w:overflowPunct/>
        <w:topLinePunct w:val="0"/>
        <w:bidi w:val="0"/>
        <w:adjustRightInd/>
        <w:snapToGrid/>
        <w:spacing w:line="560" w:lineRule="exact"/>
        <w:jc w:val="center"/>
        <w:textAlignment w:val="auto"/>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kinsoku/>
        <w:wordWrap/>
        <w:overflowPunct/>
        <w:topLinePunct w:val="0"/>
        <w:bidi w:val="0"/>
        <w:adjustRightInd/>
        <w:snapToGrid/>
        <w:spacing w:line="560" w:lineRule="exact"/>
        <w:textAlignment w:val="auto"/>
        <w:rPr>
          <w:rFonts w:ascii="方正小标宋_GBK" w:hAnsi="宋体" w:eastAsia="方正小标宋_GBK"/>
          <w:sz w:val="44"/>
          <w:szCs w:val="44"/>
          <w:highlight w:val="none"/>
        </w:rPr>
      </w:pPr>
      <w:r>
        <w:rPr>
          <w:rFonts w:hint="eastAsia" w:ascii="方正小标宋_GBK" w:hAnsi="宋体" w:eastAsia="方正小标宋_GBK"/>
          <w:sz w:val="44"/>
          <w:szCs w:val="44"/>
          <w:highlight w:val="none"/>
        </w:rPr>
        <w:br w:type="page"/>
      </w:r>
    </w:p>
    <w:p>
      <w:pPr>
        <w:keepNext w:val="0"/>
        <w:keepLines w:val="0"/>
        <w:pageBreakBefore w:val="0"/>
        <w:kinsoku/>
        <w:wordWrap/>
        <w:overflowPunct/>
        <w:topLinePunct w:val="0"/>
        <w:bidi w:val="0"/>
        <w:adjustRightInd/>
        <w:snapToGrid/>
        <w:spacing w:line="560" w:lineRule="exact"/>
        <w:jc w:val="center"/>
        <w:textAlignment w:val="auto"/>
        <w:rPr>
          <w:rFonts w:hint="eastAsia" w:ascii="方正黑体_GBK" w:hAnsi="方正黑体_GBK" w:eastAsia="方正黑体_GBK" w:cs="方正黑体_GBK"/>
          <w:bCs/>
          <w:kern w:val="0"/>
          <w:sz w:val="32"/>
          <w:szCs w:val="32"/>
          <w:highlight w:val="none"/>
        </w:rPr>
      </w:pPr>
      <w:r>
        <w:rPr>
          <w:rFonts w:hint="eastAsia" w:ascii="方正黑体_GBK" w:hAnsi="方正黑体_GBK" w:eastAsia="方正黑体_GBK" w:cs="方正黑体_GBK"/>
          <w:b/>
          <w:kern w:val="0"/>
          <w:sz w:val="32"/>
          <w:szCs w:val="32"/>
          <w:highlight w:val="none"/>
        </w:rPr>
        <w:t>目  录</w:t>
      </w:r>
    </w:p>
    <w:p>
      <w:pPr>
        <w:pStyle w:val="6"/>
        <w:keepNext w:val="0"/>
        <w:keepLines w:val="0"/>
        <w:pageBreakBefore w:val="0"/>
        <w:tabs>
          <w:tab w:val="right" w:pos="8306"/>
        </w:tabs>
        <w:kinsoku/>
        <w:wordWrap/>
        <w:overflowPunct/>
        <w:topLinePunct w:val="0"/>
        <w:bidi w:val="0"/>
        <w:adjustRightInd/>
        <w:snapToGrid/>
        <w:spacing w:line="560" w:lineRule="exact"/>
        <w:textAlignment w:val="auto"/>
        <w:rPr>
          <w:rFonts w:hint="eastAsia" w:ascii="方正黑体_GBK" w:hAnsi="方正黑体_GBK" w:eastAsia="方正黑体_GBK" w:cs="方正黑体_GBK"/>
          <w:b w:val="0"/>
          <w:bCs w:val="0"/>
          <w:sz w:val="32"/>
          <w:szCs w:val="32"/>
          <w:highlight w:val="none"/>
        </w:rPr>
      </w:pPr>
      <w:r>
        <w:rPr>
          <w:rFonts w:hint="default" w:ascii="Times New Roman" w:hAnsi="Times New Roman" w:eastAsia="方正仿宋_GBK" w:cs="Times New Roman"/>
          <w:sz w:val="32"/>
          <w:szCs w:val="32"/>
          <w:highlight w:val="none"/>
        </w:rPr>
        <w:fldChar w:fldCharType="begin"/>
      </w:r>
      <w:r>
        <w:rPr>
          <w:rFonts w:hint="default" w:ascii="Times New Roman" w:hAnsi="Times New Roman" w:eastAsia="方正仿宋_GBK" w:cs="Times New Roman"/>
          <w:sz w:val="32"/>
          <w:szCs w:val="32"/>
          <w:highlight w:val="none"/>
        </w:rPr>
        <w:instrText xml:space="preserve">TOC \o "1-3" \n  \h \u </w:instrText>
      </w:r>
      <w:r>
        <w:rPr>
          <w:rFonts w:hint="default" w:ascii="Times New Roman" w:hAnsi="Times New Roman" w:eastAsia="方正仿宋_GBK" w:cs="Times New Roman"/>
          <w:sz w:val="32"/>
          <w:szCs w:val="32"/>
          <w:highlight w:val="none"/>
        </w:rPr>
        <w:fldChar w:fldCharType="separate"/>
      </w:r>
      <w:r>
        <w:rPr>
          <w:rFonts w:hint="eastAsia" w:ascii="方正黑体_GBK" w:hAnsi="方正黑体_GBK" w:eastAsia="方正黑体_GBK" w:cs="方正黑体_GBK"/>
          <w:b w:val="0"/>
          <w:bCs w:val="0"/>
          <w:sz w:val="32"/>
          <w:szCs w:val="32"/>
          <w:highlight w:val="none"/>
        </w:rPr>
        <w:fldChar w:fldCharType="begin"/>
      </w:r>
      <w:r>
        <w:rPr>
          <w:rFonts w:hint="eastAsia" w:ascii="方正黑体_GBK" w:hAnsi="方正黑体_GBK" w:eastAsia="方正黑体_GBK" w:cs="方正黑体_GBK"/>
          <w:b w:val="0"/>
          <w:bCs w:val="0"/>
          <w:sz w:val="32"/>
          <w:szCs w:val="32"/>
          <w:highlight w:val="none"/>
        </w:rPr>
        <w:instrText xml:space="preserve"> HYPERLINK \l "_Toc32314" </w:instrText>
      </w:r>
      <w:r>
        <w:rPr>
          <w:rFonts w:hint="eastAsia" w:ascii="方正黑体_GBK" w:hAnsi="方正黑体_GBK" w:eastAsia="方正黑体_GBK" w:cs="方正黑体_GBK"/>
          <w:b w:val="0"/>
          <w:bCs w:val="0"/>
          <w:sz w:val="32"/>
          <w:szCs w:val="32"/>
          <w:highlight w:val="none"/>
        </w:rPr>
        <w:fldChar w:fldCharType="separate"/>
      </w:r>
      <w:r>
        <w:rPr>
          <w:rFonts w:hint="eastAsia" w:ascii="方正黑体_GBK" w:hAnsi="方正黑体_GBK" w:eastAsia="方正黑体_GBK" w:cs="方正黑体_GBK"/>
          <w:b w:val="0"/>
          <w:bCs w:val="0"/>
          <w:sz w:val="32"/>
          <w:szCs w:val="32"/>
          <w:highlight w:val="none"/>
        </w:rPr>
        <w:t>第一部分 单位概况</w:t>
      </w:r>
      <w:r>
        <w:rPr>
          <w:rFonts w:hint="eastAsia" w:ascii="方正黑体_GBK" w:hAnsi="方正黑体_GBK" w:eastAsia="方正黑体_GBK" w:cs="方正黑体_GBK"/>
          <w:b w:val="0"/>
          <w:bCs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"_Toc30567"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一、主要职能</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"_Toc2151"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二、机构设置及人员情况</w:t>
      </w:r>
      <w:r>
        <w:rPr>
          <w:rFonts w:hint="eastAsia" w:ascii="方正楷体_GBK" w:hAnsi="方正楷体_GBK" w:eastAsia="方正楷体_GBK" w:cs="方正楷体_GBK"/>
          <w:bCs/>
          <w:kern w:val="0"/>
          <w:sz w:val="32"/>
          <w:szCs w:val="32"/>
          <w:highlight w:val="none"/>
        </w:rPr>
        <w:fldChar w:fldCharType="end"/>
      </w:r>
    </w:p>
    <w:p>
      <w:pPr>
        <w:pStyle w:val="6"/>
        <w:keepNext w:val="0"/>
        <w:keepLines w:val="0"/>
        <w:pageBreakBefore w:val="0"/>
        <w:tabs>
          <w:tab w:val="right" w:pos="8306"/>
        </w:tabs>
        <w:kinsoku/>
        <w:wordWrap/>
        <w:overflowPunct/>
        <w:topLinePunct w:val="0"/>
        <w:bidi w:val="0"/>
        <w:adjustRightInd/>
        <w:snapToGrid/>
        <w:spacing w:line="560" w:lineRule="exact"/>
        <w:textAlignment w:val="auto"/>
        <w:rPr>
          <w:rFonts w:hint="eastAsia" w:ascii="方正黑体_GBK" w:hAnsi="方正黑体_GBK" w:eastAsia="方正黑体_GBK" w:cs="方正黑体_GBK"/>
          <w:b w:val="0"/>
          <w:bCs w:val="0"/>
          <w:sz w:val="32"/>
          <w:szCs w:val="32"/>
          <w:highlight w:val="none"/>
        </w:rPr>
      </w:pPr>
      <w:r>
        <w:rPr>
          <w:rFonts w:hint="eastAsia" w:ascii="方正黑体_GBK" w:hAnsi="方正黑体_GBK" w:eastAsia="方正黑体_GBK" w:cs="方正黑体_GBK"/>
          <w:b w:val="0"/>
          <w:bCs w:val="0"/>
          <w:sz w:val="32"/>
          <w:szCs w:val="32"/>
          <w:highlight w:val="none"/>
        </w:rPr>
        <w:fldChar w:fldCharType="begin"/>
      </w:r>
      <w:r>
        <w:rPr>
          <w:rFonts w:hint="eastAsia" w:ascii="方正黑体_GBK" w:hAnsi="方正黑体_GBK" w:eastAsia="方正黑体_GBK" w:cs="方正黑体_GBK"/>
          <w:b w:val="0"/>
          <w:bCs w:val="0"/>
          <w:sz w:val="32"/>
          <w:szCs w:val="32"/>
          <w:highlight w:val="none"/>
        </w:rPr>
        <w:instrText xml:space="preserve"> HYPERLINK \l "_Toc29374" </w:instrText>
      </w:r>
      <w:r>
        <w:rPr>
          <w:rFonts w:hint="eastAsia" w:ascii="方正黑体_GBK" w:hAnsi="方正黑体_GBK" w:eastAsia="方正黑体_GBK" w:cs="方正黑体_GBK"/>
          <w:b w:val="0"/>
          <w:bCs w:val="0"/>
          <w:sz w:val="32"/>
          <w:szCs w:val="32"/>
          <w:highlight w:val="none"/>
        </w:rPr>
        <w:fldChar w:fldCharType="separate"/>
      </w:r>
      <w:r>
        <w:rPr>
          <w:rFonts w:hint="eastAsia" w:ascii="方正黑体_GBK" w:hAnsi="方正黑体_GBK" w:eastAsia="方正黑体_GBK" w:cs="方正黑体_GBK"/>
          <w:b w:val="0"/>
          <w:bCs w:val="0"/>
          <w:sz w:val="32"/>
          <w:szCs w:val="32"/>
          <w:highlight w:val="none"/>
        </w:rPr>
        <w:t>第二部分 部门决算情况说明</w:t>
      </w:r>
      <w:r>
        <w:rPr>
          <w:rFonts w:hint="eastAsia" w:ascii="方正黑体_GBK" w:hAnsi="方正黑体_GBK" w:eastAsia="方正黑体_GBK" w:cs="方正黑体_GBK"/>
          <w:b w:val="0"/>
          <w:bCs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"_Toc25314"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一、收入支出决算总体情况说明</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"_Toc12142"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二、收入决算情况说明</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"_Toc13201"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三、支出决算情况说明</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"_Toc26564"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四、财政拨款收入支出决算总体情况说明</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"_Toc20360"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五、一般公共预算财政拨款支出决算情况说明</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"_Toc30870"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六、一般公共预算财政拨款基本支出决算情况说明</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"_Toc21518"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七、财政拨款“三公”经费支出决算情况说明</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"_Toc5810"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八、政府性基金预算财政拨款收入支出决算情况说明</w:t>
      </w:r>
      <w:r>
        <w:rPr>
          <w:rFonts w:hint="eastAsia" w:ascii="方正楷体_GBK" w:hAnsi="方正楷体_GBK" w:eastAsia="方正楷体_GBK" w:cs="方正楷体_GBK"/>
          <w:bCs/>
          <w:kern w:val="0"/>
          <w:sz w:val="32"/>
          <w:szCs w:val="32"/>
          <w:highlight w:val="none"/>
        </w:rPr>
        <w:fldChar w:fldCharType="end"/>
      </w:r>
    </w:p>
    <w:p>
      <w:pPr>
        <w:keepNext w:val="0"/>
        <w:keepLines w:val="0"/>
        <w:pageBreakBefore w:val="0"/>
        <w:kinsoku/>
        <w:wordWrap/>
        <w:overflowPunct/>
        <w:topLinePunct w:val="0"/>
        <w:bidi w:val="0"/>
        <w:adjustRightInd/>
        <w:snapToGrid/>
        <w:spacing w:line="560" w:lineRule="exact"/>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"_Toc5810"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九、国有资本经营预算财政拨款收入支出决算情况说明</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"_Toc1235"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sz w:val="32"/>
          <w:szCs w:val="32"/>
          <w:highlight w:val="none"/>
        </w:rPr>
        <w:t>十</w:t>
      </w:r>
      <w:r>
        <w:rPr>
          <w:rFonts w:hint="eastAsia" w:ascii="方正楷体_GBK" w:hAnsi="方正楷体_GBK" w:eastAsia="方正楷体_GBK" w:cs="方正楷体_GBK"/>
          <w:bCs/>
          <w:kern w:val="0"/>
          <w:sz w:val="32"/>
          <w:szCs w:val="32"/>
          <w:highlight w:val="none"/>
        </w:rPr>
        <w:t>、其他重要事项的情况说明</w:t>
      </w:r>
      <w:r>
        <w:rPr>
          <w:rFonts w:hint="eastAsia" w:ascii="方正楷体_GBK" w:hAnsi="方正楷体_GBK" w:eastAsia="方正楷体_GBK" w:cs="方正楷体_GBK"/>
          <w:bCs/>
          <w:kern w:val="0"/>
          <w:sz w:val="32"/>
          <w:szCs w:val="32"/>
          <w:highlight w:val="none"/>
        </w:rPr>
        <w:fldChar w:fldCharType="end"/>
      </w:r>
    </w:p>
    <w:p>
      <w:pPr>
        <w:pStyle w:val="3"/>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"_Toc14519"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sz w:val="32"/>
          <w:szCs w:val="32"/>
          <w:highlight w:val="none"/>
        </w:rPr>
        <w:t>（一）机关运行经费支出情况</w:t>
      </w:r>
      <w:r>
        <w:rPr>
          <w:rFonts w:hint="eastAsia" w:ascii="方正楷体_GBK" w:hAnsi="方正楷体_GBK" w:eastAsia="方正楷体_GBK" w:cs="方正楷体_GBK"/>
          <w:sz w:val="32"/>
          <w:szCs w:val="32"/>
          <w:highlight w:val="none"/>
        </w:rPr>
        <w:fldChar w:fldCharType="end"/>
      </w:r>
    </w:p>
    <w:p>
      <w:pPr>
        <w:pStyle w:val="3"/>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"_Toc227"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sz w:val="32"/>
          <w:szCs w:val="32"/>
          <w:highlight w:val="none"/>
        </w:rPr>
        <w:t>（二）政府采购情况</w:t>
      </w:r>
      <w:r>
        <w:rPr>
          <w:rFonts w:hint="eastAsia" w:ascii="方正楷体_GBK" w:hAnsi="方正楷体_GBK" w:eastAsia="方正楷体_GBK" w:cs="方正楷体_GBK"/>
          <w:sz w:val="32"/>
          <w:szCs w:val="32"/>
          <w:highlight w:val="none"/>
        </w:rPr>
        <w:fldChar w:fldCharType="end"/>
      </w:r>
    </w:p>
    <w:p>
      <w:pPr>
        <w:pStyle w:val="3"/>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"_Toc8391"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sz w:val="32"/>
          <w:szCs w:val="32"/>
          <w:highlight w:val="none"/>
        </w:rPr>
        <w:t>（三）国有资产占用情况说明</w:t>
      </w:r>
      <w:r>
        <w:rPr>
          <w:rFonts w:hint="eastAsia" w:ascii="方正楷体_GBK" w:hAnsi="方正楷体_GBK" w:eastAsia="方正楷体_GBK" w:cs="方正楷体_GBK"/>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"_Toc11283"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十一、预算绩效的情况说明</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t>十二、其他需说明的事项</w:t>
      </w:r>
    </w:p>
    <w:p>
      <w:pPr>
        <w:pStyle w:val="6"/>
        <w:keepNext w:val="0"/>
        <w:keepLines w:val="0"/>
        <w:pageBreakBefore w:val="0"/>
        <w:tabs>
          <w:tab w:val="right" w:pos="8306"/>
        </w:tabs>
        <w:kinsoku/>
        <w:wordWrap/>
        <w:overflowPunct/>
        <w:topLinePunct w:val="0"/>
        <w:bidi w:val="0"/>
        <w:adjustRightInd/>
        <w:snapToGrid/>
        <w:spacing w:line="560" w:lineRule="exact"/>
        <w:textAlignment w:val="auto"/>
        <w:rPr>
          <w:rFonts w:hint="eastAsia" w:ascii="方正黑体_GBK" w:hAnsi="方正黑体_GBK" w:eastAsia="方正黑体_GBK" w:cs="方正黑体_GBK"/>
          <w:b w:val="0"/>
          <w:bCs w:val="0"/>
          <w:sz w:val="32"/>
          <w:szCs w:val="32"/>
          <w:highlight w:val="none"/>
        </w:rPr>
      </w:pPr>
      <w:r>
        <w:rPr>
          <w:rFonts w:hint="eastAsia" w:ascii="方正黑体_GBK" w:hAnsi="方正黑体_GBK" w:eastAsia="方正黑体_GBK" w:cs="方正黑体_GBK"/>
          <w:b w:val="0"/>
          <w:bCs w:val="0"/>
          <w:sz w:val="32"/>
          <w:szCs w:val="32"/>
          <w:highlight w:val="none"/>
        </w:rPr>
        <w:fldChar w:fldCharType="begin"/>
      </w:r>
      <w:r>
        <w:rPr>
          <w:rFonts w:hint="eastAsia" w:ascii="方正黑体_GBK" w:hAnsi="方正黑体_GBK" w:eastAsia="方正黑体_GBK" w:cs="方正黑体_GBK"/>
          <w:b w:val="0"/>
          <w:bCs w:val="0"/>
          <w:sz w:val="32"/>
          <w:szCs w:val="32"/>
          <w:highlight w:val="none"/>
        </w:rPr>
        <w:instrText xml:space="preserve"> HYPERLINK \l "_Toc3250" </w:instrText>
      </w:r>
      <w:r>
        <w:rPr>
          <w:rFonts w:hint="eastAsia" w:ascii="方正黑体_GBK" w:hAnsi="方正黑体_GBK" w:eastAsia="方正黑体_GBK" w:cs="方正黑体_GBK"/>
          <w:b w:val="0"/>
          <w:bCs w:val="0"/>
          <w:sz w:val="32"/>
          <w:szCs w:val="32"/>
          <w:highlight w:val="none"/>
        </w:rPr>
        <w:fldChar w:fldCharType="separate"/>
      </w:r>
      <w:r>
        <w:rPr>
          <w:rFonts w:hint="eastAsia" w:ascii="方正黑体_GBK" w:hAnsi="方正黑体_GBK" w:eastAsia="方正黑体_GBK" w:cs="方正黑体_GBK"/>
          <w:b w:val="0"/>
          <w:bCs w:val="0"/>
          <w:sz w:val="32"/>
          <w:szCs w:val="32"/>
          <w:highlight w:val="none"/>
        </w:rPr>
        <w:t>第三部分 专业名词解释</w:t>
      </w:r>
      <w:r>
        <w:rPr>
          <w:rFonts w:hint="eastAsia" w:ascii="方正黑体_GBK" w:hAnsi="方正黑体_GBK" w:eastAsia="方正黑体_GBK" w:cs="方正黑体_GBK"/>
          <w:b w:val="0"/>
          <w:bCs w:val="0"/>
          <w:sz w:val="32"/>
          <w:szCs w:val="32"/>
          <w:highlight w:val="none"/>
        </w:rPr>
        <w:fldChar w:fldCharType="end"/>
      </w:r>
    </w:p>
    <w:p>
      <w:pPr>
        <w:pStyle w:val="6"/>
        <w:keepNext w:val="0"/>
        <w:keepLines w:val="0"/>
        <w:pageBreakBefore w:val="0"/>
        <w:tabs>
          <w:tab w:val="right" w:pos="8306"/>
        </w:tabs>
        <w:kinsoku/>
        <w:wordWrap/>
        <w:overflowPunct/>
        <w:topLinePunct w:val="0"/>
        <w:bidi w:val="0"/>
        <w:adjustRightInd/>
        <w:snapToGrid/>
        <w:spacing w:line="560" w:lineRule="exact"/>
        <w:textAlignment w:val="auto"/>
        <w:rPr>
          <w:rFonts w:hint="eastAsia" w:ascii="方正黑体_GBK" w:hAnsi="方正黑体_GBK" w:eastAsia="方正黑体_GBK" w:cs="方正黑体_GBK"/>
          <w:b w:val="0"/>
          <w:bCs w:val="0"/>
          <w:sz w:val="32"/>
          <w:szCs w:val="32"/>
          <w:highlight w:val="none"/>
        </w:rPr>
      </w:pPr>
      <w:r>
        <w:rPr>
          <w:rFonts w:hint="eastAsia" w:ascii="方正黑体_GBK" w:hAnsi="方正黑体_GBK" w:eastAsia="方正黑体_GBK" w:cs="方正黑体_GBK"/>
          <w:b w:val="0"/>
          <w:bCs w:val="0"/>
          <w:sz w:val="32"/>
          <w:szCs w:val="32"/>
          <w:highlight w:val="none"/>
        </w:rPr>
        <w:fldChar w:fldCharType="begin"/>
      </w:r>
      <w:r>
        <w:rPr>
          <w:rFonts w:hint="eastAsia" w:ascii="方正黑体_GBK" w:hAnsi="方正黑体_GBK" w:eastAsia="方正黑体_GBK" w:cs="方正黑体_GBK"/>
          <w:b w:val="0"/>
          <w:bCs w:val="0"/>
          <w:sz w:val="32"/>
          <w:szCs w:val="32"/>
          <w:highlight w:val="none"/>
        </w:rPr>
        <w:instrText xml:space="preserve"> HYPERLINK \l "_Toc22784" </w:instrText>
      </w:r>
      <w:r>
        <w:rPr>
          <w:rFonts w:hint="eastAsia" w:ascii="方正黑体_GBK" w:hAnsi="方正黑体_GBK" w:eastAsia="方正黑体_GBK" w:cs="方正黑体_GBK"/>
          <w:b w:val="0"/>
          <w:bCs w:val="0"/>
          <w:sz w:val="32"/>
          <w:szCs w:val="32"/>
          <w:highlight w:val="none"/>
        </w:rPr>
        <w:fldChar w:fldCharType="separate"/>
      </w:r>
      <w:r>
        <w:rPr>
          <w:rFonts w:hint="eastAsia" w:ascii="方正黑体_GBK" w:hAnsi="方正黑体_GBK" w:eastAsia="方正黑体_GBK" w:cs="方正黑体_GBK"/>
          <w:b w:val="0"/>
          <w:bCs w:val="0"/>
          <w:sz w:val="32"/>
          <w:szCs w:val="32"/>
          <w:highlight w:val="none"/>
        </w:rPr>
        <w:t>第四部分 部门决算报表（见附表）</w:t>
      </w:r>
      <w:r>
        <w:rPr>
          <w:rFonts w:hint="eastAsia" w:ascii="方正黑体_GBK" w:hAnsi="方正黑体_GBK" w:eastAsia="方正黑体_GBK" w:cs="方正黑体_GBK"/>
          <w:b w:val="0"/>
          <w:bCs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"_Toc2183"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一、《收入支出决算总表》</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"_Toc24532"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二、《收入决算表》</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"_Toc32434"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三、《支出决算表》</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"_Toc28786"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四、《财政拨款收入支出决算总表》</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"_Toc14869"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五、《一般公共预算财政拨款支出决算表》</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"_Toc8884"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六、《一般公共预算财政拨款基本支出决算表》</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"_Toc29106"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七、《财政拨款“三公”经费支出决算表》</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bCs/>
          <w:kern w:val="0"/>
          <w:sz w:val="32"/>
          <w:szCs w:val="32"/>
          <w:highlight w:val="none"/>
        </w:rPr>
      </w:pPr>
      <w:r>
        <w:rPr>
          <w:rFonts w:hint="eastAsia" w:ascii="方正楷体_GBK" w:hAnsi="方正楷体_GBK" w:eastAsia="方正楷体_GBK" w:cs="方正楷体_GBK"/>
          <w:sz w:val="32"/>
          <w:szCs w:val="32"/>
          <w:highlight w:val="none"/>
        </w:rPr>
        <w:fldChar w:fldCharType="begin"/>
      </w:r>
      <w:r>
        <w:rPr>
          <w:rFonts w:hint="eastAsia" w:ascii="方正楷体_GBK" w:hAnsi="方正楷体_GBK" w:eastAsia="方正楷体_GBK" w:cs="方正楷体_GBK"/>
          <w:sz w:val="32"/>
          <w:szCs w:val="32"/>
          <w:highlight w:val="none"/>
        </w:rPr>
        <w:instrText xml:space="preserve"> HYPERLINK \l "_Toc7643" </w:instrText>
      </w:r>
      <w:r>
        <w:rPr>
          <w:rFonts w:hint="eastAsia" w:ascii="方正楷体_GBK" w:hAnsi="方正楷体_GBK" w:eastAsia="方正楷体_GBK" w:cs="方正楷体_GBK"/>
          <w:sz w:val="32"/>
          <w:szCs w:val="32"/>
          <w:highlight w:val="none"/>
        </w:rPr>
        <w:fldChar w:fldCharType="separate"/>
      </w:r>
      <w:r>
        <w:rPr>
          <w:rFonts w:hint="eastAsia" w:ascii="方正楷体_GBK" w:hAnsi="方正楷体_GBK" w:eastAsia="方正楷体_GBK" w:cs="方正楷体_GBK"/>
          <w:bCs/>
          <w:kern w:val="0"/>
          <w:sz w:val="32"/>
          <w:szCs w:val="32"/>
          <w:highlight w:val="none"/>
        </w:rPr>
        <w:t>八、《政府性基金预算财政拨款收入支出决算表》</w:t>
      </w:r>
      <w:r>
        <w:rPr>
          <w:rFonts w:hint="eastAsia" w:ascii="方正楷体_GBK" w:hAnsi="方正楷体_GBK" w:eastAsia="方正楷体_GBK" w:cs="方正楷体_GBK"/>
          <w:bCs/>
          <w:kern w:val="0"/>
          <w:sz w:val="32"/>
          <w:szCs w:val="32"/>
          <w:highlight w:val="none"/>
        </w:rPr>
        <w:fldChar w:fldCharType="end"/>
      </w:r>
    </w:p>
    <w:p>
      <w:pPr>
        <w:pStyle w:val="7"/>
        <w:keepNext w:val="0"/>
        <w:keepLines w:val="0"/>
        <w:pageBreakBefore w:val="0"/>
        <w:tabs>
          <w:tab w:val="right" w:pos="8306"/>
        </w:tabs>
        <w:kinsoku/>
        <w:wordWrap/>
        <w:overflowPunct/>
        <w:topLinePunct w:val="0"/>
        <w:bidi w:val="0"/>
        <w:adjustRightInd/>
        <w:snapToGrid/>
        <w:spacing w:line="560" w:lineRule="exact"/>
        <w:ind w:left="0" w:leftChars="0"/>
        <w:textAlignment w:val="auto"/>
        <w:rPr>
          <w:rFonts w:hint="eastAsia" w:ascii="方正楷体_GBK" w:hAnsi="方正楷体_GBK" w:eastAsia="方正楷体_GBK" w:cs="方正楷体_GBK"/>
          <w:bCs/>
          <w:kern w:val="0"/>
          <w:sz w:val="32"/>
          <w:szCs w:val="32"/>
          <w:highlight w:val="none"/>
        </w:rPr>
      </w:pPr>
      <w:r>
        <w:rPr>
          <w:rFonts w:hint="eastAsia" w:ascii="方正楷体_GBK" w:hAnsi="方正楷体_GBK" w:eastAsia="方正楷体_GBK" w:cs="方正楷体_GBK"/>
          <w:bCs/>
          <w:kern w:val="0"/>
          <w:sz w:val="32"/>
          <w:szCs w:val="32"/>
          <w:highlight w:val="none"/>
        </w:rPr>
        <w:t>九、《国有资本经营预算财政拨款收入支出决算表》</w:t>
      </w:r>
    </w:p>
    <w:p>
      <w:pPr>
        <w:keepNext w:val="0"/>
        <w:keepLines w:val="0"/>
        <w:pageBreakBefore w:val="0"/>
        <w:kinsoku/>
        <w:wordWrap/>
        <w:overflowPunct/>
        <w:topLinePunct w:val="0"/>
        <w:bidi w:val="0"/>
        <w:adjustRightInd/>
        <w:snapToGrid/>
        <w:spacing w:line="560" w:lineRule="exac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fldChar w:fldCharType="end"/>
      </w:r>
    </w:p>
    <w:p>
      <w:pPr>
        <w:keepNext w:val="0"/>
        <w:keepLines w:val="0"/>
        <w:pageBreakBefore w:val="0"/>
        <w:kinsoku/>
        <w:wordWrap/>
        <w:overflowPunct/>
        <w:topLinePunct w:val="0"/>
        <w:bidi w:val="0"/>
        <w:adjustRightInd/>
        <w:snapToGrid/>
        <w:spacing w:line="560" w:lineRule="exac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br w:type="page"/>
      </w:r>
    </w:p>
    <w:p>
      <w:pPr>
        <w:keepNext w:val="0"/>
        <w:keepLines w:val="0"/>
        <w:pageBreakBefore w:val="0"/>
        <w:kinsoku/>
        <w:wordWrap/>
        <w:overflowPunct/>
        <w:topLinePunct w:val="0"/>
        <w:bidi w:val="0"/>
        <w:adjustRightInd/>
        <w:snapToGrid/>
        <w:spacing w:line="560" w:lineRule="exact"/>
        <w:jc w:val="center"/>
        <w:textAlignment w:val="auto"/>
        <w:outlineLvl w:val="0"/>
        <w:rPr>
          <w:rFonts w:hint="eastAsia" w:ascii="方正黑体_GBK" w:hAnsi="方正黑体_GBK" w:eastAsia="方正黑体_GBK" w:cs="方正黑体_GBK"/>
          <w:sz w:val="32"/>
          <w:szCs w:val="32"/>
          <w:highlight w:val="none"/>
        </w:rPr>
      </w:pPr>
      <w:bookmarkStart w:id="0" w:name="_Toc32314"/>
      <w:bookmarkStart w:id="1" w:name="_Toc24028"/>
      <w:r>
        <w:rPr>
          <w:rFonts w:hint="eastAsia" w:ascii="方正黑体_GBK" w:hAnsi="方正黑体_GBK" w:eastAsia="方正黑体_GBK" w:cs="方正黑体_GBK"/>
          <w:sz w:val="32"/>
          <w:szCs w:val="32"/>
          <w:highlight w:val="none"/>
        </w:rPr>
        <w:t>第一部分 单位概况</w:t>
      </w:r>
      <w:bookmarkEnd w:id="0"/>
      <w:bookmarkEnd w:id="1"/>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方正黑体_GBK" w:hAnsi="方正黑体_GBK" w:eastAsia="方正黑体_GBK" w:cs="方正黑体_GBK"/>
          <w:bCs/>
          <w:kern w:val="0"/>
          <w:sz w:val="32"/>
          <w:szCs w:val="32"/>
          <w:highlight w:val="none"/>
        </w:rPr>
      </w:pPr>
      <w:bookmarkStart w:id="2" w:name="_Toc30738"/>
      <w:bookmarkStart w:id="3" w:name="_Toc30567"/>
      <w:r>
        <w:rPr>
          <w:rFonts w:hint="eastAsia" w:ascii="方正黑体_GBK" w:hAnsi="方正黑体_GBK" w:eastAsia="方正黑体_GBK" w:cs="方正黑体_GBK"/>
          <w:bCs/>
          <w:kern w:val="0"/>
          <w:sz w:val="32"/>
          <w:szCs w:val="32"/>
          <w:highlight w:val="none"/>
        </w:rPr>
        <w:t>一、主要职能</w:t>
      </w:r>
      <w:bookmarkEnd w:id="2"/>
      <w:bookmarkEnd w:id="3"/>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负责管辖区域内国省干线公路（含高速公路）、专用公路的路政行政执法的组织协调、监督管理、指导等工作，承办新疆维吾尔自治区交通运输综合行政执法局交办的其他工作</w:t>
      </w:r>
      <w:r>
        <w:rPr>
          <w:rFonts w:hint="eastAsia" w:eastAsia="方正仿宋_GBK" w:cs="Times New Roman"/>
          <w:sz w:val="32"/>
          <w:szCs w:val="32"/>
          <w:highlight w:val="none"/>
          <w:lang w:eastAsia="zh-CN"/>
        </w:rPr>
        <w:t>。</w:t>
      </w:r>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方正黑体_GBK" w:hAnsi="方正黑体_GBK" w:eastAsia="方正黑体_GBK" w:cs="方正黑体_GBK"/>
          <w:bCs/>
          <w:kern w:val="0"/>
          <w:sz w:val="32"/>
          <w:szCs w:val="32"/>
          <w:highlight w:val="none"/>
        </w:rPr>
      </w:pPr>
      <w:bookmarkStart w:id="4" w:name="_Toc31238"/>
      <w:bookmarkStart w:id="5" w:name="_Toc2151"/>
      <w:r>
        <w:rPr>
          <w:rFonts w:hint="eastAsia" w:ascii="方正黑体_GBK" w:hAnsi="方正黑体_GBK" w:eastAsia="方正黑体_GBK" w:cs="方正黑体_GBK"/>
          <w:bCs/>
          <w:kern w:val="0"/>
          <w:sz w:val="32"/>
          <w:szCs w:val="32"/>
          <w:highlight w:val="none"/>
        </w:rPr>
        <w:t>二、机构设置及</w:t>
      </w:r>
      <w:bookmarkEnd w:id="4"/>
      <w:r>
        <w:rPr>
          <w:rFonts w:hint="eastAsia" w:ascii="方正黑体_GBK" w:hAnsi="方正黑体_GBK" w:eastAsia="方正黑体_GBK" w:cs="方正黑体_GBK"/>
          <w:bCs/>
          <w:kern w:val="0"/>
          <w:sz w:val="32"/>
          <w:szCs w:val="32"/>
          <w:highlight w:val="none"/>
        </w:rPr>
        <w:t>人员情况</w:t>
      </w:r>
      <w:bookmarkEnd w:id="5"/>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sz w:val="32"/>
          <w:szCs w:val="32"/>
          <w:highlight w:val="none"/>
        </w:rPr>
        <w:t>新疆维吾尔自治区交通运输综合行政执法局新藏公路新疆段执法支队2023年度，实有人数</w:t>
      </w:r>
      <w:r>
        <w:rPr>
          <w:rFonts w:hint="default" w:ascii="Times New Roman" w:hAnsi="Times New Roman" w:eastAsia="方正仿宋_GBK" w:cs="Times New Roman"/>
          <w:sz w:val="32"/>
          <w:szCs w:val="32"/>
          <w:highlight w:val="none"/>
          <w:lang w:val="zh-CN"/>
        </w:rPr>
        <w:t>46</w:t>
      </w:r>
      <w:r>
        <w:rPr>
          <w:rFonts w:hint="default" w:ascii="Times New Roman" w:hAnsi="Times New Roman" w:eastAsia="方正仿宋_GBK" w:cs="Times New Roman"/>
          <w:sz w:val="32"/>
          <w:szCs w:val="32"/>
          <w:highlight w:val="none"/>
        </w:rPr>
        <w:t>人，其中：在职人员</w:t>
      </w:r>
      <w:r>
        <w:rPr>
          <w:rFonts w:hint="default" w:ascii="Times New Roman" w:hAnsi="Times New Roman" w:eastAsia="方正仿宋_GBK" w:cs="Times New Roman"/>
          <w:sz w:val="32"/>
          <w:szCs w:val="32"/>
          <w:highlight w:val="none"/>
          <w:lang w:val="zh-CN"/>
        </w:rPr>
        <w:t>39</w:t>
      </w:r>
      <w:r>
        <w:rPr>
          <w:rFonts w:hint="default" w:ascii="Times New Roman" w:hAnsi="Times New Roman" w:eastAsia="方正仿宋_GBK" w:cs="Times New Roman"/>
          <w:sz w:val="32"/>
          <w:szCs w:val="32"/>
          <w:highlight w:val="none"/>
        </w:rPr>
        <w:t>人，离休人员</w:t>
      </w:r>
      <w:r>
        <w:rPr>
          <w:rFonts w:hint="default" w:ascii="Times New Roman" w:hAnsi="Times New Roman" w:eastAsia="方正仿宋_GBK" w:cs="Times New Roman"/>
          <w:sz w:val="32"/>
          <w:szCs w:val="32"/>
          <w:highlight w:val="none"/>
          <w:lang w:val="zh-CN"/>
        </w:rPr>
        <w:t>0</w:t>
      </w:r>
      <w:r>
        <w:rPr>
          <w:rFonts w:hint="default" w:ascii="Times New Roman" w:hAnsi="Times New Roman" w:eastAsia="方正仿宋_GBK" w:cs="Times New Roman"/>
          <w:sz w:val="32"/>
          <w:szCs w:val="32"/>
          <w:highlight w:val="none"/>
        </w:rPr>
        <w:t>人，退休人员</w:t>
      </w:r>
      <w:r>
        <w:rPr>
          <w:rFonts w:hint="default" w:ascii="Times New Roman" w:hAnsi="Times New Roman" w:eastAsia="方正仿宋_GBK" w:cs="Times New Roman"/>
          <w:sz w:val="32"/>
          <w:szCs w:val="32"/>
          <w:highlight w:val="none"/>
          <w:lang w:val="zh-CN"/>
        </w:rPr>
        <w:t>7</w:t>
      </w:r>
      <w:r>
        <w:rPr>
          <w:rFonts w:hint="default" w:ascii="Times New Roman" w:hAnsi="Times New Roman" w:eastAsia="方正仿宋_GBK" w:cs="Times New Roman"/>
          <w:sz w:val="32"/>
          <w:szCs w:val="32"/>
          <w:highlight w:val="none"/>
        </w:rPr>
        <w:t>人。</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kern w:val="0"/>
          <w:sz w:val="32"/>
          <w:szCs w:val="32"/>
          <w:highlight w:val="none"/>
        </w:rPr>
        <w:sectPr>
          <w:footerReference r:id="rId3" w:type="default"/>
          <w:pgSz w:w="11906" w:h="16838"/>
          <w:pgMar w:top="2098" w:right="1531" w:bottom="1984" w:left="1531" w:header="851" w:footer="992" w:gutter="0"/>
          <w:cols w:space="720" w:num="1"/>
          <w:docGrid w:type="lines" w:linePitch="312" w:charSpace="0"/>
        </w:sectPr>
      </w:pPr>
      <w:r>
        <w:rPr>
          <w:rFonts w:hint="eastAsia" w:eastAsia="方正仿宋_GBK" w:cs="Times New Roman"/>
          <w:kern w:val="0"/>
          <w:sz w:val="32"/>
          <w:szCs w:val="32"/>
          <w:highlight w:val="none"/>
          <w:lang w:eastAsia="zh-CN"/>
        </w:rPr>
        <w:t>本</w:t>
      </w:r>
      <w:r>
        <w:rPr>
          <w:rFonts w:hint="default" w:ascii="Times New Roman" w:hAnsi="Times New Roman" w:eastAsia="方正仿宋_GBK" w:cs="Times New Roman"/>
          <w:kern w:val="0"/>
          <w:sz w:val="32"/>
          <w:szCs w:val="32"/>
          <w:highlight w:val="none"/>
        </w:rPr>
        <w:t>单位无下属预算单位，下设3个处室，分别是：综合科、法制科、执法科。</w:t>
      </w:r>
    </w:p>
    <w:p>
      <w:pPr>
        <w:keepNext w:val="0"/>
        <w:keepLines w:val="0"/>
        <w:pageBreakBefore w:val="0"/>
        <w:kinsoku/>
        <w:wordWrap/>
        <w:overflowPunct/>
        <w:topLinePunct w:val="0"/>
        <w:bidi w:val="0"/>
        <w:adjustRightInd/>
        <w:snapToGrid/>
        <w:spacing w:line="560" w:lineRule="exact"/>
        <w:jc w:val="center"/>
        <w:textAlignment w:val="auto"/>
        <w:outlineLvl w:val="0"/>
        <w:rPr>
          <w:rFonts w:hint="eastAsia" w:ascii="方正黑体_GBK" w:hAnsi="方正黑体_GBK" w:eastAsia="方正黑体_GBK" w:cs="方正黑体_GBK"/>
          <w:sz w:val="32"/>
          <w:szCs w:val="32"/>
          <w:highlight w:val="none"/>
        </w:rPr>
      </w:pPr>
      <w:bookmarkStart w:id="6" w:name="_Toc29374"/>
      <w:bookmarkStart w:id="7" w:name="_Toc3092"/>
      <w:r>
        <w:rPr>
          <w:rFonts w:hint="eastAsia" w:ascii="方正黑体_GBK" w:hAnsi="方正黑体_GBK" w:eastAsia="方正黑体_GBK" w:cs="方正黑体_GBK"/>
          <w:sz w:val="32"/>
          <w:szCs w:val="32"/>
          <w:highlight w:val="none"/>
        </w:rPr>
        <w:t>第二部分 部门决算情况说明</w:t>
      </w:r>
      <w:bookmarkEnd w:id="6"/>
      <w:bookmarkEnd w:id="7"/>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方正黑体_GBK" w:hAnsi="方正黑体_GBK" w:eastAsia="方正黑体_GBK" w:cs="方正黑体_GBK"/>
          <w:bCs/>
          <w:kern w:val="0"/>
          <w:sz w:val="32"/>
          <w:szCs w:val="32"/>
          <w:highlight w:val="none"/>
        </w:rPr>
      </w:pPr>
      <w:bookmarkStart w:id="8" w:name="_Toc25314"/>
      <w:bookmarkStart w:id="9" w:name="_Toc12566"/>
      <w:r>
        <w:rPr>
          <w:rFonts w:hint="eastAsia" w:ascii="方正黑体_GBK" w:hAnsi="方正黑体_GBK" w:eastAsia="方正黑体_GBK" w:cs="方正黑体_GBK"/>
          <w:bCs/>
          <w:kern w:val="0"/>
          <w:sz w:val="32"/>
          <w:szCs w:val="32"/>
          <w:highlight w:val="none"/>
        </w:rPr>
        <w:t>一、收入支出决算总体情况说明</w:t>
      </w:r>
      <w:bookmarkEnd w:id="8"/>
      <w:bookmarkEnd w:id="9"/>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2023年度收入总计1,230.66万元，其中：本年收入合计1,142.45万元，使用非财政拨款结余0.00万元，年初结转和结余88.21万元。</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2023年度支出总计1,230.66万元，其中：本年支出合计1,207.42万元，结余分配0.10万元，年末结转和结余23.14万元。</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收入支出总体与上年相比，</w:t>
      </w:r>
      <w:r>
        <w:rPr>
          <w:rFonts w:hint="default" w:ascii="Times New Roman" w:hAnsi="Times New Roman" w:eastAsia="方正仿宋_GBK" w:cs="Times New Roman"/>
          <w:sz w:val="32"/>
          <w:szCs w:val="32"/>
          <w:highlight w:val="none"/>
          <w:lang w:val="zh-CN"/>
        </w:rPr>
        <w:t>增加158.89万元</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val="zh-CN"/>
        </w:rPr>
        <w:t>增长14.83%</w:t>
      </w:r>
      <w:r>
        <w:rPr>
          <w:rFonts w:hint="default" w:ascii="Times New Roman" w:hAnsi="Times New Roman" w:eastAsia="方正仿宋_GBK" w:cs="Times New Roman"/>
          <w:sz w:val="32"/>
          <w:szCs w:val="32"/>
          <w:highlight w:val="none"/>
        </w:rPr>
        <w:t>，主要原因是：</w:t>
      </w:r>
      <w:r>
        <w:rPr>
          <w:rFonts w:hint="eastAsia" w:eastAsia="方正仿宋_GBK" w:cs="Times New Roman"/>
          <w:sz w:val="32"/>
          <w:szCs w:val="32"/>
          <w:highlight w:val="none"/>
          <w:lang w:val="en-US" w:eastAsia="zh-CN"/>
        </w:rPr>
        <w:t>2023年工资福利支出及公路管理、对个人补助性项目资金预算安排增加</w:t>
      </w:r>
      <w:r>
        <w:rPr>
          <w:rFonts w:hint="eastAsia" w:ascii="Times New Roman" w:hAnsi="Times New Roman" w:eastAsia="方正仿宋_GBK" w:cs="Times New Roman"/>
          <w:sz w:val="32"/>
          <w:szCs w:val="32"/>
          <w:highlight w:val="none"/>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bookmarkStart w:id="10" w:name="_Toc1979"/>
      <w:bookmarkStart w:id="11" w:name="_Toc12142"/>
      <w:r>
        <w:rPr>
          <w:rFonts w:hint="eastAsia" w:ascii="方正黑体_GBK" w:hAnsi="方正黑体_GBK" w:eastAsia="方正黑体_GBK" w:cs="方正黑体_GBK"/>
          <w:bCs/>
          <w:kern w:val="0"/>
          <w:sz w:val="32"/>
          <w:szCs w:val="32"/>
          <w:highlight w:val="none"/>
        </w:rPr>
        <w:t>二、收入决算情况说明</w:t>
      </w:r>
      <w:bookmarkEnd w:id="10"/>
      <w:bookmarkEnd w:id="11"/>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本年收入1,142.45万元，其中：财政拨款收入</w:t>
      </w:r>
      <w:r>
        <w:rPr>
          <w:rFonts w:hint="default" w:ascii="Times New Roman" w:hAnsi="Times New Roman" w:eastAsia="方正仿宋_GBK" w:cs="Times New Roman"/>
          <w:sz w:val="32"/>
          <w:szCs w:val="32"/>
          <w:highlight w:val="none"/>
          <w:lang w:val="zh-CN"/>
        </w:rPr>
        <w:t>1,142.35</w:t>
      </w:r>
      <w:r>
        <w:rPr>
          <w:rFonts w:hint="default" w:ascii="Times New Roman" w:hAnsi="Times New Roman" w:eastAsia="方正仿宋_GBK" w:cs="Times New Roman"/>
          <w:sz w:val="32"/>
          <w:szCs w:val="32"/>
          <w:highlight w:val="none"/>
        </w:rPr>
        <w:t>万元，占</w:t>
      </w:r>
      <w:r>
        <w:rPr>
          <w:rFonts w:hint="default" w:ascii="Times New Roman" w:hAnsi="Times New Roman" w:eastAsia="方正仿宋_GBK" w:cs="Times New Roman"/>
          <w:sz w:val="32"/>
          <w:szCs w:val="32"/>
          <w:highlight w:val="none"/>
          <w:lang w:val="zh-CN"/>
        </w:rPr>
        <w:t>99.99</w:t>
      </w:r>
      <w:r>
        <w:rPr>
          <w:rFonts w:hint="default" w:ascii="Times New Roman" w:hAnsi="Times New Roman" w:eastAsia="方正仿宋_GBK" w:cs="Times New Roman"/>
          <w:sz w:val="32"/>
          <w:szCs w:val="32"/>
          <w:highlight w:val="none"/>
        </w:rPr>
        <w:t>%；上级补助收入</w:t>
      </w:r>
      <w:r>
        <w:rPr>
          <w:rFonts w:hint="default" w:ascii="Times New Roman" w:hAnsi="Times New Roman" w:eastAsia="方正仿宋_GBK" w:cs="Times New Roman"/>
          <w:sz w:val="32"/>
          <w:szCs w:val="32"/>
          <w:highlight w:val="none"/>
          <w:lang w:val="zh-CN"/>
        </w:rPr>
        <w:t>0.00</w:t>
      </w:r>
      <w:r>
        <w:rPr>
          <w:rFonts w:hint="default" w:ascii="Times New Roman" w:hAnsi="Times New Roman" w:eastAsia="方正仿宋_GBK" w:cs="Times New Roman"/>
          <w:sz w:val="32"/>
          <w:szCs w:val="32"/>
          <w:highlight w:val="none"/>
        </w:rPr>
        <w:t>万元，占</w:t>
      </w:r>
      <w:r>
        <w:rPr>
          <w:rFonts w:hint="default" w:ascii="Times New Roman" w:hAnsi="Times New Roman" w:eastAsia="方正仿宋_GBK" w:cs="Times New Roman"/>
          <w:sz w:val="32"/>
          <w:szCs w:val="32"/>
          <w:highlight w:val="none"/>
          <w:lang w:val="zh-CN"/>
        </w:rPr>
        <w:t>0.00</w:t>
      </w:r>
      <w:r>
        <w:rPr>
          <w:rFonts w:hint="default" w:ascii="Times New Roman" w:hAnsi="Times New Roman" w:eastAsia="方正仿宋_GBK" w:cs="Times New Roman"/>
          <w:sz w:val="32"/>
          <w:szCs w:val="32"/>
          <w:highlight w:val="none"/>
        </w:rPr>
        <w:t>%；事业收入</w:t>
      </w:r>
      <w:r>
        <w:rPr>
          <w:rFonts w:hint="default" w:ascii="Times New Roman" w:hAnsi="Times New Roman" w:eastAsia="方正仿宋_GBK" w:cs="Times New Roman"/>
          <w:sz w:val="32"/>
          <w:szCs w:val="32"/>
          <w:highlight w:val="none"/>
          <w:lang w:val="zh-CN"/>
        </w:rPr>
        <w:t>0.00</w:t>
      </w:r>
      <w:r>
        <w:rPr>
          <w:rFonts w:hint="default" w:ascii="Times New Roman" w:hAnsi="Times New Roman" w:eastAsia="方正仿宋_GBK" w:cs="Times New Roman"/>
          <w:sz w:val="32"/>
          <w:szCs w:val="32"/>
          <w:highlight w:val="none"/>
        </w:rPr>
        <w:t>万元，占</w:t>
      </w:r>
      <w:r>
        <w:rPr>
          <w:rFonts w:hint="default" w:ascii="Times New Roman" w:hAnsi="Times New Roman" w:eastAsia="方正仿宋_GBK" w:cs="Times New Roman"/>
          <w:sz w:val="32"/>
          <w:szCs w:val="32"/>
          <w:highlight w:val="none"/>
          <w:lang w:val="zh-CN"/>
        </w:rPr>
        <w:t>0.00</w:t>
      </w:r>
      <w:r>
        <w:rPr>
          <w:rFonts w:hint="default" w:ascii="Times New Roman" w:hAnsi="Times New Roman" w:eastAsia="方正仿宋_GBK" w:cs="Times New Roman"/>
          <w:sz w:val="32"/>
          <w:szCs w:val="32"/>
          <w:highlight w:val="none"/>
        </w:rPr>
        <w:t>%；经营收入</w:t>
      </w:r>
      <w:r>
        <w:rPr>
          <w:rFonts w:hint="default" w:ascii="Times New Roman" w:hAnsi="Times New Roman" w:eastAsia="方正仿宋_GBK" w:cs="Times New Roman"/>
          <w:sz w:val="32"/>
          <w:szCs w:val="32"/>
          <w:highlight w:val="none"/>
          <w:lang w:val="zh-CN"/>
        </w:rPr>
        <w:t>0.00</w:t>
      </w:r>
      <w:r>
        <w:rPr>
          <w:rFonts w:hint="default" w:ascii="Times New Roman" w:hAnsi="Times New Roman" w:eastAsia="方正仿宋_GBK" w:cs="Times New Roman"/>
          <w:sz w:val="32"/>
          <w:szCs w:val="32"/>
          <w:highlight w:val="none"/>
        </w:rPr>
        <w:t>万元，占</w:t>
      </w:r>
      <w:r>
        <w:rPr>
          <w:rFonts w:hint="default" w:ascii="Times New Roman" w:hAnsi="Times New Roman" w:eastAsia="方正仿宋_GBK" w:cs="Times New Roman"/>
          <w:sz w:val="32"/>
          <w:szCs w:val="32"/>
          <w:highlight w:val="none"/>
          <w:lang w:val="zh-CN"/>
        </w:rPr>
        <w:t>0.00</w:t>
      </w:r>
      <w:r>
        <w:rPr>
          <w:rFonts w:hint="default" w:ascii="Times New Roman" w:hAnsi="Times New Roman" w:eastAsia="方正仿宋_GBK" w:cs="Times New Roman"/>
          <w:sz w:val="32"/>
          <w:szCs w:val="32"/>
          <w:highlight w:val="none"/>
        </w:rPr>
        <w:t>%；附属单位上缴收入</w:t>
      </w:r>
      <w:r>
        <w:rPr>
          <w:rFonts w:hint="default" w:ascii="Times New Roman" w:hAnsi="Times New Roman" w:eastAsia="方正仿宋_GBK" w:cs="Times New Roman"/>
          <w:sz w:val="32"/>
          <w:szCs w:val="32"/>
          <w:highlight w:val="none"/>
          <w:lang w:val="zh-CN"/>
        </w:rPr>
        <w:t>0.00</w:t>
      </w:r>
      <w:r>
        <w:rPr>
          <w:rFonts w:hint="default" w:ascii="Times New Roman" w:hAnsi="Times New Roman" w:eastAsia="方正仿宋_GBK" w:cs="Times New Roman"/>
          <w:sz w:val="32"/>
          <w:szCs w:val="32"/>
          <w:highlight w:val="none"/>
        </w:rPr>
        <w:t>万元，占</w:t>
      </w:r>
      <w:r>
        <w:rPr>
          <w:rFonts w:hint="default" w:ascii="Times New Roman" w:hAnsi="Times New Roman" w:eastAsia="方正仿宋_GBK" w:cs="Times New Roman"/>
          <w:sz w:val="32"/>
          <w:szCs w:val="32"/>
          <w:highlight w:val="none"/>
          <w:lang w:val="zh-CN"/>
        </w:rPr>
        <w:t>0.00</w:t>
      </w:r>
      <w:r>
        <w:rPr>
          <w:rFonts w:hint="default" w:ascii="Times New Roman" w:hAnsi="Times New Roman" w:eastAsia="方正仿宋_GBK" w:cs="Times New Roman"/>
          <w:sz w:val="32"/>
          <w:szCs w:val="32"/>
          <w:highlight w:val="none"/>
        </w:rPr>
        <w:t>%；其他收入</w:t>
      </w:r>
      <w:r>
        <w:rPr>
          <w:rFonts w:hint="default" w:ascii="Times New Roman" w:hAnsi="Times New Roman" w:eastAsia="方正仿宋_GBK" w:cs="Times New Roman"/>
          <w:sz w:val="32"/>
          <w:szCs w:val="32"/>
          <w:highlight w:val="none"/>
          <w:lang w:val="zh-CN"/>
        </w:rPr>
        <w:t>0.10</w:t>
      </w:r>
      <w:r>
        <w:rPr>
          <w:rFonts w:hint="default" w:ascii="Times New Roman" w:hAnsi="Times New Roman" w:eastAsia="方正仿宋_GBK" w:cs="Times New Roman"/>
          <w:sz w:val="32"/>
          <w:szCs w:val="32"/>
          <w:highlight w:val="none"/>
        </w:rPr>
        <w:t>万元，占</w:t>
      </w:r>
      <w:r>
        <w:rPr>
          <w:rFonts w:hint="default" w:ascii="Times New Roman" w:hAnsi="Times New Roman" w:eastAsia="方正仿宋_GBK" w:cs="Times New Roman"/>
          <w:sz w:val="32"/>
          <w:szCs w:val="32"/>
          <w:highlight w:val="none"/>
          <w:lang w:val="zh-CN"/>
        </w:rPr>
        <w:t>0.01</w:t>
      </w:r>
      <w:r>
        <w:rPr>
          <w:rFonts w:hint="default" w:ascii="Times New Roman" w:hAnsi="Times New Roman" w:eastAsia="方正仿宋_GBK" w:cs="Times New Roman"/>
          <w:sz w:val="32"/>
          <w:szCs w:val="32"/>
          <w:highlight w:val="none"/>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bookmarkStart w:id="12" w:name="_Toc13201"/>
      <w:bookmarkStart w:id="13" w:name="_Toc27961"/>
      <w:r>
        <w:rPr>
          <w:rFonts w:hint="eastAsia" w:ascii="方正黑体_GBK" w:hAnsi="方正黑体_GBK" w:eastAsia="方正黑体_GBK" w:cs="方正黑体_GBK"/>
          <w:bCs/>
          <w:kern w:val="0"/>
          <w:sz w:val="32"/>
          <w:szCs w:val="32"/>
          <w:highlight w:val="none"/>
        </w:rPr>
        <w:t>三、支出决算情况说明</w:t>
      </w:r>
      <w:bookmarkEnd w:id="12"/>
      <w:bookmarkEnd w:id="13"/>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lang w:val="zh-CN"/>
        </w:rPr>
        <w:t>本年支出1,207.42万元，其中：基本支出1,075.30万元，占89.06%；项目支出132.11万元，占10.94%；上缴上级支出0.00万元，占0.00%；经营支出0.00万元，占0.00%；对附属单位补助支出0.00万元，占0.00%。</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bookmarkStart w:id="14" w:name="_Toc4393"/>
      <w:bookmarkStart w:id="15" w:name="_Toc26564"/>
      <w:r>
        <w:rPr>
          <w:rFonts w:hint="eastAsia" w:ascii="方正黑体_GBK" w:hAnsi="方正黑体_GBK" w:eastAsia="方正黑体_GBK" w:cs="方正黑体_GBK"/>
          <w:bCs/>
          <w:kern w:val="0"/>
          <w:sz w:val="32"/>
          <w:szCs w:val="32"/>
          <w:highlight w:val="none"/>
        </w:rPr>
        <w:t>四、财政拨款收入支出决算总体情况说明</w:t>
      </w:r>
      <w:bookmarkEnd w:id="14"/>
      <w:bookmarkEnd w:id="15"/>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2023年度财政拨款收入总计</w:t>
      </w:r>
      <w:r>
        <w:rPr>
          <w:rFonts w:hint="default" w:ascii="Times New Roman" w:hAnsi="Times New Roman" w:eastAsia="方正仿宋_GBK" w:cs="Times New Roman"/>
          <w:sz w:val="32"/>
          <w:szCs w:val="32"/>
          <w:highlight w:val="none"/>
          <w:lang w:val="zh-CN"/>
        </w:rPr>
        <w:t>1,230.56</w:t>
      </w:r>
      <w:r>
        <w:rPr>
          <w:rFonts w:hint="default" w:ascii="Times New Roman" w:hAnsi="Times New Roman" w:eastAsia="方正仿宋_GBK" w:cs="Times New Roman"/>
          <w:sz w:val="32"/>
          <w:szCs w:val="32"/>
          <w:highlight w:val="none"/>
        </w:rPr>
        <w:t>万元，其中：年初财政拨款结转和结余</w:t>
      </w:r>
      <w:r>
        <w:rPr>
          <w:rFonts w:hint="default" w:ascii="Times New Roman" w:hAnsi="Times New Roman" w:eastAsia="方正仿宋_GBK" w:cs="Times New Roman"/>
          <w:sz w:val="32"/>
          <w:szCs w:val="32"/>
          <w:highlight w:val="none"/>
          <w:lang w:val="zh-CN"/>
        </w:rPr>
        <w:t>88.21</w:t>
      </w:r>
      <w:r>
        <w:rPr>
          <w:rFonts w:hint="default" w:ascii="Times New Roman" w:hAnsi="Times New Roman" w:eastAsia="方正仿宋_GBK" w:cs="Times New Roman"/>
          <w:sz w:val="32"/>
          <w:szCs w:val="32"/>
          <w:highlight w:val="none"/>
        </w:rPr>
        <w:t>万元，本年财政拨款收入</w:t>
      </w:r>
      <w:r>
        <w:rPr>
          <w:rFonts w:hint="default" w:ascii="Times New Roman" w:hAnsi="Times New Roman" w:eastAsia="方正仿宋_GBK" w:cs="Times New Roman"/>
          <w:sz w:val="32"/>
          <w:szCs w:val="32"/>
          <w:highlight w:val="none"/>
          <w:lang w:val="zh-CN"/>
        </w:rPr>
        <w:t>1,142.35</w:t>
      </w:r>
      <w:r>
        <w:rPr>
          <w:rFonts w:hint="default" w:ascii="Times New Roman" w:hAnsi="Times New Roman" w:eastAsia="方正仿宋_GBK" w:cs="Times New Roman"/>
          <w:sz w:val="32"/>
          <w:szCs w:val="32"/>
          <w:highlight w:val="none"/>
        </w:rPr>
        <w:t>万元。财政拨款支出总计</w:t>
      </w:r>
      <w:r>
        <w:rPr>
          <w:rFonts w:hint="default" w:ascii="Times New Roman" w:hAnsi="Times New Roman" w:eastAsia="方正仿宋_GBK" w:cs="Times New Roman"/>
          <w:sz w:val="32"/>
          <w:szCs w:val="32"/>
          <w:highlight w:val="none"/>
          <w:lang w:val="zh-CN"/>
        </w:rPr>
        <w:t>1,230.56</w:t>
      </w:r>
      <w:r>
        <w:rPr>
          <w:rFonts w:hint="default" w:ascii="Times New Roman" w:hAnsi="Times New Roman" w:eastAsia="方正仿宋_GBK" w:cs="Times New Roman"/>
          <w:sz w:val="32"/>
          <w:szCs w:val="32"/>
          <w:highlight w:val="none"/>
        </w:rPr>
        <w:t>万元，其中：年末财政拨款结转和结余</w:t>
      </w:r>
      <w:r>
        <w:rPr>
          <w:rFonts w:hint="default" w:ascii="Times New Roman" w:hAnsi="Times New Roman" w:eastAsia="方正仿宋_GBK" w:cs="Times New Roman"/>
          <w:sz w:val="32"/>
          <w:szCs w:val="32"/>
          <w:highlight w:val="none"/>
          <w:lang w:val="zh-CN"/>
        </w:rPr>
        <w:t>23.14</w:t>
      </w:r>
      <w:r>
        <w:rPr>
          <w:rFonts w:hint="default" w:ascii="Times New Roman" w:hAnsi="Times New Roman" w:eastAsia="方正仿宋_GBK" w:cs="Times New Roman"/>
          <w:sz w:val="32"/>
          <w:szCs w:val="32"/>
          <w:highlight w:val="none"/>
        </w:rPr>
        <w:t>万元，本年财政拨款支出</w:t>
      </w:r>
      <w:r>
        <w:rPr>
          <w:rFonts w:hint="default" w:ascii="Times New Roman" w:hAnsi="Times New Roman" w:eastAsia="方正仿宋_GBK" w:cs="Times New Roman"/>
          <w:sz w:val="32"/>
          <w:szCs w:val="32"/>
          <w:highlight w:val="none"/>
          <w:lang w:val="zh-CN"/>
        </w:rPr>
        <w:t>1,207.42</w:t>
      </w:r>
      <w:r>
        <w:rPr>
          <w:rFonts w:hint="default" w:ascii="Times New Roman" w:hAnsi="Times New Roman" w:eastAsia="方正仿宋_GBK" w:cs="Times New Roman"/>
          <w:sz w:val="32"/>
          <w:szCs w:val="32"/>
          <w:highlight w:val="none"/>
        </w:rPr>
        <w:t>万元。</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财政拨款收入支出总体与上年相比</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lang w:val="zh-CN"/>
        </w:rPr>
        <w:t>增加158.85万元</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val="zh-CN"/>
        </w:rPr>
        <w:t>增长14.82%，</w:t>
      </w:r>
      <w:r>
        <w:rPr>
          <w:rFonts w:hint="default" w:ascii="Times New Roman" w:hAnsi="Times New Roman" w:eastAsia="方正仿宋_GBK" w:cs="Times New Roman"/>
          <w:sz w:val="32"/>
          <w:szCs w:val="32"/>
          <w:highlight w:val="none"/>
        </w:rPr>
        <w:t>主要原因是：</w:t>
      </w:r>
      <w:r>
        <w:rPr>
          <w:rFonts w:hint="eastAsia" w:eastAsia="方正仿宋_GBK" w:cs="Times New Roman"/>
          <w:sz w:val="32"/>
          <w:szCs w:val="32"/>
          <w:highlight w:val="none"/>
          <w:lang w:val="en-US" w:eastAsia="zh-CN"/>
        </w:rPr>
        <w:t>2023年工资福利支出及公路管理、对个人补助性项目资金预算安排增加</w:t>
      </w:r>
      <w:r>
        <w:rPr>
          <w:rFonts w:hint="default" w:ascii="Times New Roman" w:hAnsi="Times New Roman" w:eastAsia="方正仿宋_GBK" w:cs="Times New Roman"/>
          <w:sz w:val="32"/>
          <w:szCs w:val="32"/>
          <w:highlight w:val="none"/>
          <w:lang w:val="en-US" w:eastAsia="zh-CN"/>
        </w:rPr>
        <w:t>、并新招录3人</w:t>
      </w:r>
      <w:r>
        <w:rPr>
          <w:rFonts w:hint="default" w:ascii="Times New Roman" w:hAnsi="Times New Roman" w:eastAsia="方正仿宋_GBK" w:cs="Times New Roman"/>
          <w:sz w:val="32"/>
          <w:szCs w:val="32"/>
          <w:highlight w:val="none"/>
        </w:rPr>
        <w:t>。与年初预算相比，年初预算数</w:t>
      </w:r>
      <w:r>
        <w:rPr>
          <w:rFonts w:hint="default" w:ascii="Times New Roman" w:hAnsi="Times New Roman" w:eastAsia="方正仿宋_GBK" w:cs="Times New Roman"/>
          <w:sz w:val="32"/>
          <w:szCs w:val="32"/>
          <w:highlight w:val="none"/>
          <w:lang w:val="zh-CN"/>
        </w:rPr>
        <w:t>995.05</w:t>
      </w:r>
      <w:r>
        <w:rPr>
          <w:rFonts w:hint="default" w:ascii="Times New Roman" w:hAnsi="Times New Roman" w:eastAsia="方正仿宋_GBK" w:cs="Times New Roman"/>
          <w:sz w:val="32"/>
          <w:szCs w:val="32"/>
          <w:highlight w:val="none"/>
        </w:rPr>
        <w:t>万元，决算数</w:t>
      </w:r>
      <w:r>
        <w:rPr>
          <w:rFonts w:hint="default" w:ascii="Times New Roman" w:hAnsi="Times New Roman" w:eastAsia="方正仿宋_GBK" w:cs="Times New Roman"/>
          <w:sz w:val="32"/>
          <w:szCs w:val="32"/>
          <w:highlight w:val="none"/>
          <w:lang w:val="zh-CN"/>
        </w:rPr>
        <w:t>1,230.56</w:t>
      </w:r>
      <w:r>
        <w:rPr>
          <w:rFonts w:hint="default" w:ascii="Times New Roman" w:hAnsi="Times New Roman" w:eastAsia="方正仿宋_GBK" w:cs="Times New Roman"/>
          <w:sz w:val="32"/>
          <w:szCs w:val="32"/>
          <w:highlight w:val="none"/>
        </w:rPr>
        <w:t>万元，预决算差异率23.67%，主要原因是：本年度追加新招录人员工资，部分人员增资、绩效预算。</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bookmarkStart w:id="16" w:name="_Toc20360"/>
      <w:bookmarkStart w:id="17" w:name="_Toc13833"/>
      <w:r>
        <w:rPr>
          <w:rFonts w:hint="eastAsia" w:ascii="方正黑体_GBK" w:hAnsi="方正黑体_GBK" w:eastAsia="方正黑体_GBK" w:cs="方正黑体_GBK"/>
          <w:bCs/>
          <w:kern w:val="0"/>
          <w:sz w:val="32"/>
          <w:szCs w:val="32"/>
          <w:highlight w:val="none"/>
        </w:rPr>
        <w:t>五、一般公共预算财政拨款支出决算情况说明</w:t>
      </w:r>
      <w:bookmarkEnd w:id="16"/>
      <w:bookmarkEnd w:id="17"/>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2"/>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t>（一）一般公共预算财政拨款支出决算总体情况</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2023年度一般公共预算财政拨款支出1,207.42万元，占本年支出合计的</w:t>
      </w:r>
      <w:r>
        <w:rPr>
          <w:rFonts w:hint="default" w:ascii="Times New Roman" w:hAnsi="Times New Roman" w:eastAsia="方正仿宋_GBK" w:cs="Times New Roman"/>
          <w:sz w:val="32"/>
          <w:szCs w:val="32"/>
          <w:highlight w:val="none"/>
          <w:lang w:val="zh-CN"/>
        </w:rPr>
        <w:t>100.00%</w:t>
      </w:r>
      <w:r>
        <w:rPr>
          <w:rFonts w:hint="default" w:ascii="Times New Roman" w:hAnsi="Times New Roman" w:eastAsia="方正仿宋_GBK" w:cs="Times New Roman"/>
          <w:sz w:val="32"/>
          <w:szCs w:val="32"/>
          <w:highlight w:val="none"/>
        </w:rPr>
        <w:t>。与上年相比，</w:t>
      </w:r>
      <w:r>
        <w:rPr>
          <w:rFonts w:hint="default" w:ascii="Times New Roman" w:hAnsi="Times New Roman" w:eastAsia="方正仿宋_GBK" w:cs="Times New Roman"/>
          <w:sz w:val="32"/>
          <w:szCs w:val="32"/>
          <w:highlight w:val="none"/>
          <w:lang w:val="zh-CN"/>
        </w:rPr>
        <w:t>增加223.92万元</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val="zh-CN"/>
        </w:rPr>
        <w:t>增长22.77%，</w:t>
      </w:r>
      <w:r>
        <w:rPr>
          <w:rFonts w:hint="default" w:ascii="Times New Roman" w:hAnsi="Times New Roman" w:eastAsia="方正仿宋_GBK" w:cs="Times New Roman"/>
          <w:sz w:val="32"/>
          <w:szCs w:val="32"/>
          <w:highlight w:val="none"/>
        </w:rPr>
        <w:t>主要原因是：</w:t>
      </w:r>
      <w:r>
        <w:rPr>
          <w:rFonts w:hint="eastAsia" w:ascii="Times New Roman" w:hAnsi="Times New Roman" w:eastAsia="方正仿宋_GBK" w:cs="Times New Roman"/>
          <w:sz w:val="32"/>
          <w:szCs w:val="32"/>
          <w:lang w:val="en-US" w:eastAsia="zh-CN"/>
        </w:rPr>
        <w:t>2023年工资福利支出及公路管理、对个人补助性项目资金预算安排增加</w:t>
      </w:r>
      <w:r>
        <w:rPr>
          <w:rFonts w:hint="default" w:ascii="Times New Roman" w:hAnsi="Times New Roman" w:eastAsia="方正仿宋_GBK" w:cs="Times New Roman"/>
          <w:sz w:val="32"/>
          <w:szCs w:val="32"/>
          <w:highlight w:val="none"/>
        </w:rPr>
        <w:t>。与年初预算相比，年初预算数</w:t>
      </w:r>
      <w:r>
        <w:rPr>
          <w:rFonts w:hint="default" w:ascii="Times New Roman" w:hAnsi="Times New Roman" w:eastAsia="方正仿宋_GBK" w:cs="Times New Roman"/>
          <w:sz w:val="32"/>
          <w:szCs w:val="32"/>
          <w:highlight w:val="none"/>
          <w:lang w:val="zh-CN"/>
        </w:rPr>
        <w:t>995.05</w:t>
      </w:r>
      <w:r>
        <w:rPr>
          <w:rFonts w:hint="default" w:ascii="Times New Roman" w:hAnsi="Times New Roman" w:eastAsia="方正仿宋_GBK" w:cs="Times New Roman"/>
          <w:sz w:val="32"/>
          <w:szCs w:val="32"/>
          <w:highlight w:val="none"/>
        </w:rPr>
        <w:t>万元，决算数</w:t>
      </w:r>
      <w:r>
        <w:rPr>
          <w:rFonts w:hint="default" w:ascii="Times New Roman" w:hAnsi="Times New Roman" w:eastAsia="方正仿宋_GBK" w:cs="Times New Roman"/>
          <w:sz w:val="32"/>
          <w:szCs w:val="32"/>
          <w:highlight w:val="none"/>
          <w:lang w:val="zh-CN"/>
        </w:rPr>
        <w:t>1,207.42</w:t>
      </w:r>
      <w:r>
        <w:rPr>
          <w:rFonts w:hint="default" w:ascii="Times New Roman" w:hAnsi="Times New Roman" w:eastAsia="方正仿宋_GBK" w:cs="Times New Roman"/>
          <w:sz w:val="32"/>
          <w:szCs w:val="32"/>
          <w:highlight w:val="none"/>
        </w:rPr>
        <w:t>万元，预决算差异率</w:t>
      </w:r>
      <w:r>
        <w:rPr>
          <w:rFonts w:hint="default" w:ascii="Times New Roman" w:hAnsi="Times New Roman" w:eastAsia="方正仿宋_GBK" w:cs="Times New Roman"/>
          <w:sz w:val="32"/>
          <w:szCs w:val="32"/>
          <w:highlight w:val="none"/>
          <w:lang w:val="zh-CN"/>
        </w:rPr>
        <w:t>21.34%</w:t>
      </w:r>
      <w:r>
        <w:rPr>
          <w:rFonts w:hint="default" w:ascii="Times New Roman" w:hAnsi="Times New Roman" w:eastAsia="方正仿宋_GBK" w:cs="Times New Roman"/>
          <w:sz w:val="32"/>
          <w:szCs w:val="32"/>
          <w:highlight w:val="none"/>
        </w:rPr>
        <w:t>，主要原因是：本年度追加新招录人员工资，部分人员增资、绩效预算。</w:t>
      </w:r>
    </w:p>
    <w:p>
      <w:pPr>
        <w:keepNext w:val="0"/>
        <w:keepLines w:val="0"/>
        <w:pageBreakBefore w:val="0"/>
        <w:numPr>
          <w:ilvl w:val="0"/>
          <w:numId w:val="1"/>
        </w:numPr>
        <w:kinsoku/>
        <w:wordWrap/>
        <w:overflowPunct/>
        <w:topLinePunct w:val="0"/>
        <w:bidi w:val="0"/>
        <w:adjustRightInd/>
        <w:snapToGrid/>
        <w:spacing w:line="560" w:lineRule="exact"/>
        <w:ind w:firstLine="640" w:firstLineChars="200"/>
        <w:jc w:val="left"/>
        <w:textAlignment w:val="auto"/>
        <w:outlineLvl w:val="2"/>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t>一般公共预算财政拨款支出决算结构情况</w:t>
      </w:r>
    </w:p>
    <w:p>
      <w:pPr>
        <w:pStyle w:val="8"/>
        <w:keepNext w:val="0"/>
        <w:keepLines w:val="0"/>
        <w:pageBreakBefore w:val="0"/>
        <w:widowControl/>
        <w:kinsoku/>
        <w:wordWrap/>
        <w:overflowPunct/>
        <w:topLinePunct w:val="0"/>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highlight w:val="none"/>
          <w:lang w:val="zh-CN"/>
        </w:rPr>
      </w:pPr>
      <w:r>
        <w:rPr>
          <w:rFonts w:hint="default" w:ascii="Times New Roman" w:hAnsi="Times New Roman" w:eastAsia="方正仿宋_GBK" w:cs="Times New Roman"/>
          <w:kern w:val="2"/>
          <w:sz w:val="32"/>
          <w:szCs w:val="32"/>
          <w:highlight w:val="none"/>
          <w:lang w:val="zh-CN"/>
        </w:rPr>
        <w:t>1.一般公共服务支出（类）11.80万元，占0.98%；</w:t>
      </w:r>
    </w:p>
    <w:p>
      <w:pPr>
        <w:pStyle w:val="8"/>
        <w:keepNext w:val="0"/>
        <w:keepLines w:val="0"/>
        <w:pageBreakBefore w:val="0"/>
        <w:widowControl/>
        <w:kinsoku/>
        <w:wordWrap/>
        <w:overflowPunct/>
        <w:topLinePunct w:val="0"/>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highlight w:val="none"/>
          <w:lang w:val="zh-CN"/>
        </w:rPr>
      </w:pPr>
      <w:r>
        <w:rPr>
          <w:rFonts w:hint="eastAsia" w:eastAsia="方正仿宋_GBK" w:cs="Times New Roman"/>
          <w:kern w:val="2"/>
          <w:sz w:val="32"/>
          <w:szCs w:val="32"/>
          <w:highlight w:val="none"/>
          <w:lang w:val="en-US" w:eastAsia="zh-CN"/>
        </w:rPr>
        <w:t>2</w:t>
      </w:r>
      <w:r>
        <w:rPr>
          <w:rFonts w:hint="default" w:ascii="Times New Roman" w:hAnsi="Times New Roman" w:eastAsia="方正仿宋_GBK" w:cs="Times New Roman"/>
          <w:kern w:val="2"/>
          <w:sz w:val="32"/>
          <w:szCs w:val="32"/>
          <w:highlight w:val="none"/>
          <w:lang w:val="zh-CN"/>
        </w:rPr>
        <w:t>.社会保障和就业支出（类）114.21万元，占9.46%；</w:t>
      </w:r>
    </w:p>
    <w:p>
      <w:pPr>
        <w:pStyle w:val="8"/>
        <w:keepNext w:val="0"/>
        <w:keepLines w:val="0"/>
        <w:pageBreakBefore w:val="0"/>
        <w:widowControl/>
        <w:kinsoku/>
        <w:wordWrap/>
        <w:overflowPunct/>
        <w:topLinePunct w:val="0"/>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highlight w:val="none"/>
          <w:lang w:val="zh-CN"/>
        </w:rPr>
      </w:pPr>
      <w:r>
        <w:rPr>
          <w:rFonts w:hint="eastAsia" w:eastAsia="方正仿宋_GBK" w:cs="Times New Roman"/>
          <w:kern w:val="2"/>
          <w:sz w:val="32"/>
          <w:szCs w:val="32"/>
          <w:highlight w:val="none"/>
          <w:lang w:val="en-US" w:eastAsia="zh-CN"/>
        </w:rPr>
        <w:t>3</w:t>
      </w:r>
      <w:r>
        <w:rPr>
          <w:rFonts w:hint="default" w:ascii="Times New Roman" w:hAnsi="Times New Roman" w:eastAsia="方正仿宋_GBK" w:cs="Times New Roman"/>
          <w:kern w:val="2"/>
          <w:sz w:val="32"/>
          <w:szCs w:val="32"/>
          <w:highlight w:val="none"/>
          <w:lang w:val="zh-CN"/>
        </w:rPr>
        <w:t>.卫生健康支出（类）78.07万元，占6.47%；</w:t>
      </w:r>
    </w:p>
    <w:p>
      <w:pPr>
        <w:pStyle w:val="8"/>
        <w:keepNext w:val="0"/>
        <w:keepLines w:val="0"/>
        <w:pageBreakBefore w:val="0"/>
        <w:widowControl/>
        <w:kinsoku/>
        <w:wordWrap/>
        <w:overflowPunct/>
        <w:topLinePunct w:val="0"/>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highlight w:val="none"/>
          <w:lang w:val="zh-CN"/>
        </w:rPr>
      </w:pPr>
      <w:r>
        <w:rPr>
          <w:rFonts w:hint="eastAsia" w:eastAsia="方正仿宋_GBK" w:cs="Times New Roman"/>
          <w:kern w:val="2"/>
          <w:sz w:val="32"/>
          <w:szCs w:val="32"/>
          <w:highlight w:val="none"/>
          <w:lang w:val="en-US" w:eastAsia="zh-CN"/>
        </w:rPr>
        <w:t>4</w:t>
      </w:r>
      <w:r>
        <w:rPr>
          <w:rFonts w:hint="default" w:ascii="Times New Roman" w:hAnsi="Times New Roman" w:eastAsia="方正仿宋_GBK" w:cs="Times New Roman"/>
          <w:kern w:val="2"/>
          <w:sz w:val="32"/>
          <w:szCs w:val="32"/>
          <w:highlight w:val="none"/>
          <w:lang w:val="zh-CN"/>
        </w:rPr>
        <w:t>.交通运输支出（类）938.29万元，占 77.71%；</w:t>
      </w:r>
    </w:p>
    <w:p>
      <w:pPr>
        <w:pStyle w:val="8"/>
        <w:keepNext w:val="0"/>
        <w:keepLines w:val="0"/>
        <w:pageBreakBefore w:val="0"/>
        <w:widowControl/>
        <w:kinsoku/>
        <w:wordWrap/>
        <w:overflowPunct/>
        <w:topLinePunct w:val="0"/>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highlight w:val="none"/>
          <w:lang w:val="zh-CN"/>
        </w:rPr>
      </w:pPr>
      <w:r>
        <w:rPr>
          <w:rFonts w:hint="eastAsia" w:eastAsia="方正仿宋_GBK" w:cs="Times New Roman"/>
          <w:kern w:val="2"/>
          <w:sz w:val="32"/>
          <w:szCs w:val="32"/>
          <w:highlight w:val="none"/>
          <w:lang w:val="en-US" w:eastAsia="zh-CN"/>
        </w:rPr>
        <w:t>5</w:t>
      </w:r>
      <w:r>
        <w:rPr>
          <w:rFonts w:hint="default" w:ascii="Times New Roman" w:hAnsi="Times New Roman" w:eastAsia="方正仿宋_GBK" w:cs="Times New Roman"/>
          <w:kern w:val="2"/>
          <w:sz w:val="32"/>
          <w:szCs w:val="32"/>
          <w:highlight w:val="none"/>
          <w:lang w:val="zh-CN"/>
        </w:rPr>
        <w:t>.住房保障支出（类）65.04万元，占5.39%；</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2"/>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t>（三）一般公共预算财政拨款支出决算具体情况</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eastAsia="方正仿宋_GBK" w:cs="Times New Roman"/>
          <w:sz w:val="32"/>
          <w:szCs w:val="32"/>
          <w:highlight w:val="none"/>
          <w:lang w:val="zh-CN" w:eastAsia="zh-CN"/>
        </w:rPr>
      </w:pPr>
      <w:r>
        <w:rPr>
          <w:rFonts w:hint="default" w:ascii="Times New Roman" w:hAnsi="Times New Roman" w:eastAsia="方正仿宋_GBK" w:cs="Times New Roman"/>
          <w:sz w:val="32"/>
          <w:szCs w:val="32"/>
          <w:highlight w:val="none"/>
        </w:rPr>
        <w:t>1.卫生健康支出（类）行政事业单位医疗（款）行政单位医疗（项）</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支出决算数为40.66万元，比上年决算增加0.76万元，增长1.90%，主要原因是：</w:t>
      </w:r>
      <w:r>
        <w:rPr>
          <w:rFonts w:hint="eastAsia" w:eastAsia="方正仿宋_GBK" w:cs="Times New Roman"/>
          <w:sz w:val="32"/>
          <w:szCs w:val="32"/>
          <w:highlight w:val="none"/>
          <w:lang w:val="en-US" w:eastAsia="zh-CN"/>
        </w:rPr>
        <w:t>2023年度新招录三人、基本工资调整增加，社保费用相应增加</w:t>
      </w:r>
      <w:r>
        <w:rPr>
          <w:rFonts w:hint="default" w:eastAsia="方正仿宋_GBK" w:cs="Times New Roman"/>
          <w:sz w:val="32"/>
          <w:szCs w:val="32"/>
          <w:highlight w:val="none"/>
          <w:lang w:val="zh-CN" w:eastAsia="zh-CN"/>
        </w:rPr>
        <w:t>。</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eastAsia="方正仿宋_GBK" w:cs="Times New Roman"/>
          <w:sz w:val="32"/>
          <w:szCs w:val="32"/>
          <w:highlight w:val="none"/>
          <w:lang w:val="zh-CN" w:eastAsia="zh-CN"/>
        </w:rPr>
      </w:pPr>
      <w:r>
        <w:rPr>
          <w:rFonts w:hint="default" w:ascii="Times New Roman" w:hAnsi="Times New Roman" w:eastAsia="方正仿宋_GBK" w:cs="Times New Roman"/>
          <w:sz w:val="32"/>
          <w:szCs w:val="32"/>
          <w:highlight w:val="none"/>
        </w:rPr>
        <w:t>2.卫生健康支出（类）行政事业单位医疗（款）公务员医疗补助（项）</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支出决算数为37.41万元，比上年决算增加23.5</w:t>
      </w:r>
      <w:r>
        <w:rPr>
          <w:rFonts w:hint="eastAsia" w:eastAsia="方正仿宋_GBK" w:cs="Times New Roman"/>
          <w:sz w:val="32"/>
          <w:szCs w:val="32"/>
          <w:highlight w:val="none"/>
          <w:lang w:val="en-US" w:eastAsia="zh-CN"/>
        </w:rPr>
        <w:t>7</w:t>
      </w:r>
      <w:r>
        <w:rPr>
          <w:rFonts w:hint="default" w:ascii="Times New Roman" w:hAnsi="Times New Roman" w:eastAsia="方正仿宋_GBK" w:cs="Times New Roman"/>
          <w:sz w:val="32"/>
          <w:szCs w:val="32"/>
          <w:highlight w:val="none"/>
        </w:rPr>
        <w:t>万元，增长170.</w:t>
      </w:r>
      <w:r>
        <w:rPr>
          <w:rFonts w:hint="eastAsia" w:eastAsia="方正仿宋_GBK" w:cs="Times New Roman"/>
          <w:sz w:val="32"/>
          <w:szCs w:val="32"/>
          <w:highlight w:val="none"/>
          <w:lang w:val="en-US" w:eastAsia="zh-CN"/>
        </w:rPr>
        <w:t>30</w:t>
      </w:r>
      <w:r>
        <w:rPr>
          <w:rFonts w:hint="default" w:ascii="Times New Roman" w:hAnsi="Times New Roman" w:eastAsia="方正仿宋_GBK" w:cs="Times New Roman"/>
          <w:sz w:val="32"/>
          <w:szCs w:val="32"/>
          <w:highlight w:val="none"/>
        </w:rPr>
        <w:t>%，主要原因是：</w:t>
      </w:r>
      <w:r>
        <w:rPr>
          <w:rFonts w:hint="eastAsia" w:eastAsia="方正仿宋_GBK" w:cs="Times New Roman"/>
          <w:sz w:val="32"/>
          <w:szCs w:val="32"/>
          <w:highlight w:val="none"/>
          <w:lang w:val="en-US" w:eastAsia="zh-CN"/>
        </w:rPr>
        <w:t>2023年度新招录三人、基本工资调整增加，社保费用相应增加</w:t>
      </w:r>
      <w:r>
        <w:rPr>
          <w:rFonts w:hint="default" w:eastAsia="方正仿宋_GBK" w:cs="Times New Roman"/>
          <w:sz w:val="32"/>
          <w:szCs w:val="32"/>
          <w:highlight w:val="none"/>
          <w:lang w:val="zh-CN" w:eastAsia="zh-CN"/>
        </w:rPr>
        <w:t>。</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rPr>
        <w:t>3.住房保障支出（类）住房改革支出（款）住房公积金（项）</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支出决算数为65.04万元，比上年决算增加7.89万元，增长13.81%，主要原因是：</w:t>
      </w:r>
      <w:r>
        <w:rPr>
          <w:rFonts w:hint="eastAsia" w:eastAsia="方正仿宋_GBK" w:cs="Times New Roman"/>
          <w:sz w:val="32"/>
          <w:szCs w:val="32"/>
          <w:highlight w:val="none"/>
          <w:lang w:val="en-US" w:eastAsia="zh-CN"/>
        </w:rPr>
        <w:t>2023年度新招录三人、基数调增</w:t>
      </w:r>
      <w:r>
        <w:rPr>
          <w:rFonts w:hint="default" w:eastAsia="方正仿宋_GBK" w:cs="Times New Roman"/>
          <w:sz w:val="32"/>
          <w:szCs w:val="32"/>
          <w:highlight w:val="none"/>
          <w:lang w:val="zh-CN" w:eastAsia="zh-CN"/>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highlight w:val="none"/>
        </w:rPr>
        <w:t>4.社会保障和就业支出（类）行政事业单位养老支出（款）行政单位离退休（项）</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支出决算数为14.47万元，比上年决算增加2.5</w:t>
      </w:r>
      <w:r>
        <w:rPr>
          <w:rFonts w:hint="eastAsia" w:eastAsia="方正仿宋_GBK" w:cs="Times New Roman"/>
          <w:sz w:val="32"/>
          <w:szCs w:val="32"/>
          <w:highlight w:val="none"/>
          <w:lang w:val="en-US" w:eastAsia="zh-CN"/>
        </w:rPr>
        <w:t>9</w:t>
      </w:r>
      <w:r>
        <w:rPr>
          <w:rFonts w:hint="default" w:ascii="Times New Roman" w:hAnsi="Times New Roman" w:eastAsia="方正仿宋_GBK" w:cs="Times New Roman"/>
          <w:sz w:val="32"/>
          <w:szCs w:val="32"/>
          <w:highlight w:val="none"/>
        </w:rPr>
        <w:t>万元，增长21.</w:t>
      </w:r>
      <w:r>
        <w:rPr>
          <w:rFonts w:hint="eastAsia" w:eastAsia="方正仿宋_GBK" w:cs="Times New Roman"/>
          <w:sz w:val="32"/>
          <w:szCs w:val="32"/>
          <w:highlight w:val="none"/>
          <w:lang w:val="en-US" w:eastAsia="zh-CN"/>
        </w:rPr>
        <w:t>80</w:t>
      </w:r>
      <w:r>
        <w:rPr>
          <w:rFonts w:hint="default" w:ascii="Times New Roman" w:hAnsi="Times New Roman" w:eastAsia="方正仿宋_GBK" w:cs="Times New Roman"/>
          <w:sz w:val="32"/>
          <w:szCs w:val="32"/>
          <w:highlight w:val="none"/>
        </w:rPr>
        <w:t>%，主要原因是：</w:t>
      </w:r>
      <w:r>
        <w:rPr>
          <w:rFonts w:hint="eastAsia" w:eastAsia="方正仿宋_GBK" w:cs="Times New Roman"/>
          <w:sz w:val="32"/>
          <w:szCs w:val="32"/>
          <w:highlight w:val="none"/>
          <w:lang w:eastAsia="zh-CN"/>
        </w:rPr>
        <w:t>本年退休人员较上年增加</w:t>
      </w:r>
      <w:r>
        <w:rPr>
          <w:rFonts w:hint="eastAsia" w:ascii="方正仿宋_GBK" w:hAnsi="方正仿宋_GBK" w:eastAsia="方正仿宋_GBK" w:cs="方正仿宋_GBK"/>
          <w:color w:val="auto"/>
          <w:sz w:val="32"/>
          <w:szCs w:val="32"/>
        </w:rPr>
        <w:t>，缴费增加</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rPr>
        <w:t>5.一般公共服务支出（类）人大事务（款）行政运行（项）</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支出决算数为11.80万元，比上年决算增加11.80万元，增长100%，主要原因是：</w:t>
      </w:r>
      <w:r>
        <w:rPr>
          <w:rFonts w:hint="eastAsia" w:eastAsia="方正仿宋_GBK" w:cs="Times New Roman"/>
          <w:sz w:val="32"/>
          <w:szCs w:val="32"/>
          <w:highlight w:val="none"/>
          <w:lang w:val="en-US" w:eastAsia="zh-CN"/>
        </w:rPr>
        <w:t>2023年度新招录三人</w:t>
      </w:r>
      <w:r>
        <w:rPr>
          <w:rFonts w:hint="default" w:ascii="Times New Roman" w:hAnsi="Times New Roman" w:eastAsia="方正仿宋_GBK" w:cs="Times New Roman"/>
          <w:sz w:val="32"/>
          <w:szCs w:val="32"/>
          <w:highlight w:val="none"/>
          <w:lang w:val="zh-CN"/>
        </w:rPr>
        <w:t>。</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rPr>
        <w:t>6.社会保障和就业支出（类）行政事业单位养老支出（款）机关事业单位职业年金缴费支出（项）</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支出决算数为18.08万元，比上年决算增加3.75万元，增长</w:t>
      </w:r>
      <w:r>
        <w:rPr>
          <w:rFonts w:hint="eastAsia" w:eastAsia="方正仿宋_GBK" w:cs="Times New Roman"/>
          <w:sz w:val="32"/>
          <w:szCs w:val="32"/>
          <w:highlight w:val="none"/>
          <w:lang w:val="en-US" w:eastAsia="zh-CN"/>
        </w:rPr>
        <w:t>26.17</w:t>
      </w:r>
      <w:r>
        <w:rPr>
          <w:rFonts w:hint="default" w:ascii="Times New Roman" w:hAnsi="Times New Roman" w:eastAsia="方正仿宋_GBK" w:cs="Times New Roman"/>
          <w:sz w:val="32"/>
          <w:szCs w:val="32"/>
          <w:highlight w:val="none"/>
        </w:rPr>
        <w:t>%，主要原因是：202</w:t>
      </w:r>
      <w:r>
        <w:rPr>
          <w:rFonts w:hint="eastAsia" w:eastAsia="方正仿宋_GBK" w:cs="Times New Roman"/>
          <w:sz w:val="32"/>
          <w:szCs w:val="32"/>
          <w:highlight w:val="none"/>
          <w:lang w:val="en-US" w:eastAsia="zh-CN"/>
        </w:rPr>
        <w:t>3</w:t>
      </w:r>
      <w:r>
        <w:rPr>
          <w:rFonts w:hint="default" w:ascii="Times New Roman" w:hAnsi="Times New Roman" w:eastAsia="方正仿宋_GBK" w:cs="Times New Roman"/>
          <w:sz w:val="32"/>
          <w:szCs w:val="32"/>
          <w:highlight w:val="none"/>
        </w:rPr>
        <w:t>年退休人员增加，基数增长</w:t>
      </w:r>
      <w:r>
        <w:rPr>
          <w:rFonts w:hint="default" w:ascii="Times New Roman" w:hAnsi="Times New Roman" w:eastAsia="方正仿宋_GBK" w:cs="Times New Roman"/>
          <w:sz w:val="32"/>
          <w:szCs w:val="32"/>
          <w:highlight w:val="none"/>
          <w:lang w:val="zh-CN"/>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highlight w:val="none"/>
        </w:rPr>
        <w:t>7.社会保障和就业支出（类）行政事业单位养老支出（款）机关事业单位基本养老保险缴费支出（项）</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支出决算数为81.66万元，比上年决算增加9.17万元，增长12.65%，主要原因是：</w:t>
      </w:r>
      <w:r>
        <w:rPr>
          <w:rFonts w:hint="eastAsia" w:ascii="方正仿宋_GBK" w:hAnsi="方正仿宋_GBK" w:eastAsia="方正仿宋_GBK" w:cs="方正仿宋_GBK"/>
          <w:color w:val="auto"/>
          <w:sz w:val="32"/>
          <w:szCs w:val="32"/>
        </w:rPr>
        <w:t>人员增加及工资调整增加，缴费基数增加</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rPr>
        <w:t>8.交通运输支出（类）公路水路运输（款）行政运行（项）</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支出决算数为769.54万元，比上年决算增加161.36万元，增长26.53%，主要原因是：202</w:t>
      </w:r>
      <w:r>
        <w:rPr>
          <w:rFonts w:hint="eastAsia" w:eastAsia="方正仿宋_GBK" w:cs="Times New Roman"/>
          <w:sz w:val="32"/>
          <w:szCs w:val="32"/>
          <w:highlight w:val="none"/>
          <w:lang w:val="en-US" w:eastAsia="zh-CN"/>
        </w:rPr>
        <w:t>3年人员增加及基本工资调整增加</w:t>
      </w:r>
      <w:r>
        <w:rPr>
          <w:rFonts w:hint="default" w:ascii="Times New Roman" w:hAnsi="Times New Roman" w:eastAsia="方正仿宋_GBK" w:cs="Times New Roman"/>
          <w:sz w:val="32"/>
          <w:szCs w:val="32"/>
          <w:highlight w:val="none"/>
          <w:lang w:val="zh-CN"/>
        </w:rPr>
        <w:t>。</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rPr>
        <w:t>9.交通运输支出（类）公路水路运输（款）公路运输管理（项）</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支出决算数为168.75万元，比上年决算增加3.03万元，增长1.83%，主要原因是：2023年项目资金中增加了土地转让金及房产证办理过户手续费</w:t>
      </w:r>
      <w:r>
        <w:rPr>
          <w:rFonts w:hint="default" w:ascii="Times New Roman" w:hAnsi="Times New Roman" w:eastAsia="方正仿宋_GBK" w:cs="Times New Roman"/>
          <w:sz w:val="32"/>
          <w:szCs w:val="32"/>
          <w:highlight w:val="none"/>
          <w:lang w:val="zh-CN"/>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r>
        <w:rPr>
          <w:rFonts w:hint="eastAsia" w:ascii="方正黑体_GBK" w:hAnsi="方正黑体_GBK" w:eastAsia="方正黑体_GBK" w:cs="方正黑体_GBK"/>
          <w:bCs/>
          <w:kern w:val="0"/>
          <w:sz w:val="32"/>
          <w:szCs w:val="32"/>
          <w:highlight w:val="none"/>
        </w:rPr>
        <w:t>六、一般公共预算财政拨款基本支出决算情况说明</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2023年度一般公共预算财政拨款基本支出1,075.30万元，其中：人员经费928.55万元，包括：基本工资、津贴补贴、奖金、机关事业单位基本养老保险缴费、职业年金缴费、职工基本医疗保险缴费、公务员医疗补助缴费、其他社会保障缴费、住房公积金、其他工资福利支出、退休费、抚恤金、其他对个人和家庭的补助。</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Times New Roman" w:hAnsi="Times New Roman" w:eastAsia="方正仿宋_GBK" w:cs="Times New Roman"/>
          <w:sz w:val="32"/>
          <w:szCs w:val="32"/>
          <w:highlight w:val="none"/>
          <w:lang w:eastAsia="zh-CN"/>
        </w:rPr>
      </w:pPr>
      <w:r>
        <w:rPr>
          <w:rFonts w:hint="default" w:ascii="Times New Roman" w:hAnsi="Times New Roman" w:eastAsia="方正仿宋_GBK" w:cs="Times New Roman"/>
          <w:sz w:val="32"/>
          <w:szCs w:val="32"/>
          <w:highlight w:val="none"/>
        </w:rPr>
        <w:t>公用经费146.76万元，包括：办公费、印刷费、水费、电费、邮电费、取暖费、差旅费、维修（护）费、劳务费、工会经费、福利费、公务用车运行维护费、其他商品和服务支出</w:t>
      </w:r>
      <w:r>
        <w:rPr>
          <w:rFonts w:hint="eastAsia" w:eastAsia="方正仿宋_GBK" w:cs="Times New Roman"/>
          <w:sz w:val="32"/>
          <w:szCs w:val="32"/>
          <w:highlight w:val="none"/>
          <w:lang w:eastAsia="zh-CN"/>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r>
        <w:rPr>
          <w:rFonts w:hint="eastAsia" w:ascii="方正黑体_GBK" w:hAnsi="方正黑体_GBK" w:eastAsia="方正黑体_GBK" w:cs="方正黑体_GBK"/>
          <w:bCs/>
          <w:kern w:val="0"/>
          <w:sz w:val="32"/>
          <w:szCs w:val="32"/>
          <w:highlight w:val="none"/>
        </w:rPr>
        <w:t>七、财政拨款“三公”经费支出决算情况说明</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Times New Roman" w:hAnsi="Times New Roman" w:eastAsia="方正仿宋_GBK" w:cs="Times New Roman"/>
          <w:sz w:val="32"/>
          <w:szCs w:val="32"/>
          <w:lang w:val="zh-CN"/>
        </w:rPr>
      </w:pPr>
      <w:r>
        <w:rPr>
          <w:rFonts w:hint="eastAsia" w:ascii="Times New Roman" w:hAnsi="Times New Roman" w:eastAsia="方正仿宋_GBK" w:cs="Times New Roman"/>
          <w:sz w:val="32"/>
          <w:szCs w:val="32"/>
          <w:lang w:val="zh-CN"/>
        </w:rPr>
        <w:t>2023年度财政拨款“三公”经费支出8.16万元，比上年减少0.43万元，下降5.01%,主要原因是：</w:t>
      </w:r>
      <w:r>
        <w:rPr>
          <w:rFonts w:hint="default" w:ascii="Times New Roman" w:hAnsi="Times New Roman" w:eastAsia="方正仿宋_GBK" w:cs="Times New Roman"/>
          <w:sz w:val="32"/>
          <w:szCs w:val="32"/>
          <w:lang w:val="zh-CN"/>
        </w:rPr>
        <w:t>按照规定压减“三公”经费</w:t>
      </w:r>
      <w:r>
        <w:rPr>
          <w:rFonts w:hint="eastAsia" w:ascii="Times New Roman" w:hAnsi="Times New Roman" w:eastAsia="方正仿宋_GBK" w:cs="Times New Roman"/>
          <w:sz w:val="32"/>
          <w:szCs w:val="32"/>
          <w:lang w:val="zh-CN"/>
        </w:rPr>
        <w:t>。其中：因公出国（境）费支出0.00万元，占0.00%，比上年增加0.00万元，增长0.00%,主要原因是：</w:t>
      </w:r>
      <w:r>
        <w:rPr>
          <w:rFonts w:hint="default" w:ascii="Times New Roman" w:hAnsi="Times New Roman" w:eastAsia="方正仿宋_GBK" w:cs="Times New Roman"/>
          <w:sz w:val="32"/>
          <w:szCs w:val="32"/>
          <w:lang w:val="zh-CN"/>
        </w:rPr>
        <w:t>我单位无因公出国（境）费</w:t>
      </w:r>
      <w:r>
        <w:rPr>
          <w:rFonts w:hint="eastAsia" w:ascii="Times New Roman" w:hAnsi="Times New Roman" w:eastAsia="方正仿宋_GBK" w:cs="Times New Roman"/>
          <w:sz w:val="32"/>
          <w:szCs w:val="32"/>
          <w:lang w:val="zh-CN"/>
        </w:rPr>
        <w:t>；公务用车购置及运行维护费支出8.16万元，占100.00%，比上年减少0.43万元，下降5.01%,主要原因是：</w:t>
      </w:r>
      <w:r>
        <w:rPr>
          <w:rFonts w:hint="default" w:ascii="Times New Roman" w:hAnsi="Times New Roman" w:eastAsia="方正仿宋_GBK" w:cs="Times New Roman"/>
          <w:sz w:val="32"/>
          <w:szCs w:val="32"/>
          <w:lang w:val="zh-CN"/>
        </w:rPr>
        <w:t>按照规定压减公务用车运行维护支出</w:t>
      </w:r>
      <w:r>
        <w:rPr>
          <w:rFonts w:hint="eastAsia" w:ascii="Times New Roman" w:hAnsi="Times New Roman" w:eastAsia="方正仿宋_GBK" w:cs="Times New Roman"/>
          <w:sz w:val="32"/>
          <w:szCs w:val="32"/>
          <w:lang w:val="zh-CN"/>
        </w:rPr>
        <w:t>；公务接待费支出0.00万元，占0.00%，比上年增加0.00万元，增长0.00%,主要原因是：</w:t>
      </w:r>
      <w:r>
        <w:rPr>
          <w:rFonts w:hint="default" w:ascii="Times New Roman" w:hAnsi="Times New Roman" w:eastAsia="方正仿宋_GBK" w:cs="Times New Roman"/>
          <w:sz w:val="32"/>
          <w:szCs w:val="32"/>
          <w:lang w:val="zh-CN"/>
        </w:rPr>
        <w:t>我单位无公务接待费</w:t>
      </w:r>
      <w:r>
        <w:rPr>
          <w:rFonts w:hint="eastAsia" w:ascii="Times New Roman" w:hAnsi="Times New Roman" w:eastAsia="方正仿宋_GBK" w:cs="Times New Roman"/>
          <w:sz w:val="32"/>
          <w:szCs w:val="32"/>
          <w:lang w:val="zh-CN"/>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lang w:val="zh-CN"/>
        </w:rPr>
        <w:t>具体情况如下：</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lang w:val="zh-CN"/>
        </w:rPr>
        <w:t>因公出国（境）费支出0.00万元，开支内容包括</w:t>
      </w:r>
      <w:r>
        <w:rPr>
          <w:rFonts w:hint="eastAsia" w:eastAsia="方正仿宋_GBK" w:cs="Times New Roman"/>
          <w:sz w:val="32"/>
          <w:szCs w:val="32"/>
          <w:highlight w:val="none"/>
          <w:lang w:val="en-US" w:eastAsia="zh-CN"/>
        </w:rPr>
        <w:t>我</w:t>
      </w:r>
      <w:r>
        <w:rPr>
          <w:rFonts w:hint="default" w:ascii="Times New Roman" w:hAnsi="Times New Roman" w:eastAsia="方正仿宋_GBK" w:cs="Times New Roman"/>
          <w:sz w:val="32"/>
          <w:szCs w:val="32"/>
          <w:highlight w:val="none"/>
          <w:lang w:val="zh-CN"/>
        </w:rPr>
        <w:t>单位</w:t>
      </w:r>
      <w:r>
        <w:rPr>
          <w:rFonts w:hint="eastAsia" w:eastAsia="方正仿宋_GBK" w:cs="Times New Roman"/>
          <w:sz w:val="32"/>
          <w:szCs w:val="32"/>
          <w:highlight w:val="none"/>
          <w:lang w:val="zh-CN"/>
        </w:rPr>
        <w:t>无</w:t>
      </w:r>
      <w:r>
        <w:rPr>
          <w:rFonts w:hint="default" w:ascii="Times New Roman" w:hAnsi="Times New Roman" w:eastAsia="方正仿宋_GBK" w:cs="Times New Roman"/>
          <w:sz w:val="32"/>
          <w:szCs w:val="32"/>
          <w:highlight w:val="none"/>
          <w:lang w:val="zh-CN"/>
        </w:rPr>
        <w:t>因公出国（境）费支出</w:t>
      </w:r>
      <w:r>
        <w:rPr>
          <w:rFonts w:hint="eastAsia" w:eastAsia="方正仿宋_GBK" w:cs="Times New Roman"/>
          <w:sz w:val="32"/>
          <w:szCs w:val="32"/>
          <w:highlight w:val="none"/>
          <w:lang w:val="zh-CN"/>
        </w:rPr>
        <w:t>。</w:t>
      </w:r>
      <w:r>
        <w:rPr>
          <w:rFonts w:hint="default" w:ascii="Times New Roman" w:hAnsi="Times New Roman" w:eastAsia="方正仿宋_GBK" w:cs="Times New Roman"/>
          <w:sz w:val="32"/>
          <w:szCs w:val="32"/>
          <w:highlight w:val="none"/>
          <w:lang w:val="zh-CN"/>
        </w:rPr>
        <w:t>全年安排的因公出国（境）团组0个，因公出国（境）0人次。</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lang w:val="zh-CN"/>
        </w:rPr>
        <w:t>公务用车购置及运行维护费8.16万元，其中：公务用车购置费0.00万元，公务用车运行维护费8.16万元。公务用车运行维护费开支内容包括车辆油料费、维修费、购置车辆保险等。公务用车购置数0辆，公务用车保有量</w:t>
      </w:r>
      <w:r>
        <w:rPr>
          <w:rFonts w:hint="eastAsia" w:eastAsia="方正仿宋_GBK" w:cs="Times New Roman"/>
          <w:sz w:val="32"/>
          <w:szCs w:val="32"/>
          <w:highlight w:val="none"/>
          <w:lang w:val="en-US" w:eastAsia="zh-CN"/>
        </w:rPr>
        <w:t>14</w:t>
      </w:r>
      <w:r>
        <w:rPr>
          <w:rFonts w:hint="default" w:ascii="Times New Roman" w:hAnsi="Times New Roman" w:eastAsia="方正仿宋_GBK" w:cs="Times New Roman"/>
          <w:sz w:val="32"/>
          <w:szCs w:val="32"/>
          <w:highlight w:val="none"/>
          <w:lang w:val="zh-CN"/>
        </w:rPr>
        <w:t>辆。</w:t>
      </w:r>
      <w:r>
        <w:rPr>
          <w:rFonts w:hint="eastAsia" w:ascii="Times New Roman" w:hAnsi="Times New Roman" w:eastAsia="方正仿宋_GBK" w:cs="Times New Roman"/>
          <w:sz w:val="32"/>
          <w:szCs w:val="32"/>
          <w:lang w:val="zh-CN"/>
        </w:rPr>
        <w:t>国有资产占用情况中固定资产车辆</w:t>
      </w:r>
      <w:r>
        <w:rPr>
          <w:rFonts w:hint="eastAsia" w:ascii="Times New Roman" w:hAnsi="Times New Roman" w:eastAsia="方正仿宋_GBK" w:cs="Times New Roman"/>
          <w:sz w:val="32"/>
          <w:szCs w:val="32"/>
          <w:lang w:val="en-US" w:eastAsia="zh-CN"/>
        </w:rPr>
        <w:t>1</w:t>
      </w:r>
      <w:r>
        <w:rPr>
          <w:rFonts w:hint="eastAsia" w:eastAsia="方正仿宋_GBK" w:cs="Times New Roman"/>
          <w:sz w:val="32"/>
          <w:szCs w:val="32"/>
          <w:lang w:val="en-US" w:eastAsia="zh-CN"/>
        </w:rPr>
        <w:t>2</w:t>
      </w:r>
      <w:r>
        <w:rPr>
          <w:rFonts w:hint="eastAsia" w:ascii="Times New Roman" w:hAnsi="Times New Roman" w:eastAsia="方正仿宋_GBK" w:cs="Times New Roman"/>
          <w:sz w:val="32"/>
          <w:szCs w:val="32"/>
          <w:lang w:val="zh-CN"/>
        </w:rPr>
        <w:t>辆，与公务用车保有量差异原因是：</w:t>
      </w:r>
      <w:r>
        <w:rPr>
          <w:rFonts w:hint="eastAsia" w:eastAsia="方正仿宋_GBK" w:cs="Times New Roman"/>
          <w:sz w:val="32"/>
          <w:szCs w:val="32"/>
          <w:lang w:val="zh-CN"/>
        </w:rPr>
        <w:t>因机构改制单位合并接收车辆，无法使用待报废状态</w:t>
      </w:r>
      <w:bookmarkStart w:id="48" w:name="_GoBack"/>
      <w:bookmarkEnd w:id="48"/>
      <w:r>
        <w:rPr>
          <w:rFonts w:hint="eastAsia" w:ascii="Times New Roman" w:hAnsi="Times New Roman" w:eastAsia="方正仿宋_GBK" w:cs="Times New Roman"/>
          <w:sz w:val="32"/>
          <w:szCs w:val="32"/>
          <w:lang w:val="zh-CN"/>
        </w:rPr>
        <w:t>。</w:t>
      </w:r>
      <w:r>
        <w:rPr>
          <w:rFonts w:hint="eastAsia" w:ascii="Times New Roman" w:hAnsi="Times New Roman" w:eastAsia="方正仿宋_GBK" w:cs="Times New Roman"/>
          <w:sz w:val="32"/>
          <w:szCs w:val="32"/>
          <w:lang w:val="en-US" w:eastAsia="zh-CN"/>
        </w:rPr>
        <w:t xml:space="preserve">  </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lang w:val="zh-CN"/>
        </w:rPr>
        <w:t>公务接待费0.00万元，开支内容包括我单位无公务接待费。单位全年安排的国内公务接待0批次，0人次。</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lang w:val="zh-CN"/>
        </w:rPr>
        <w:t>与</w:t>
      </w:r>
      <w:r>
        <w:rPr>
          <w:rFonts w:hint="default" w:ascii="Times New Roman" w:hAnsi="Times New Roman" w:eastAsia="方正仿宋_GBK" w:cs="Times New Roman"/>
          <w:sz w:val="32"/>
          <w:szCs w:val="32"/>
          <w:highlight w:val="none"/>
        </w:rPr>
        <w:t>全年</w:t>
      </w:r>
      <w:r>
        <w:rPr>
          <w:rFonts w:hint="default" w:ascii="Times New Roman" w:hAnsi="Times New Roman" w:eastAsia="方正仿宋_GBK" w:cs="Times New Roman"/>
          <w:sz w:val="32"/>
          <w:szCs w:val="32"/>
          <w:highlight w:val="none"/>
          <w:lang w:val="zh-CN"/>
        </w:rPr>
        <w:t>预算相比</w:t>
      </w:r>
      <w:r>
        <w:rPr>
          <w:rFonts w:hint="eastAsia" w:eastAsia="方正仿宋_GBK" w:cs="Times New Roman"/>
          <w:sz w:val="32"/>
          <w:szCs w:val="32"/>
          <w:highlight w:val="none"/>
          <w:lang w:val="zh-CN"/>
        </w:rPr>
        <w:t>，</w:t>
      </w:r>
      <w:r>
        <w:rPr>
          <w:rFonts w:hint="default" w:ascii="Times New Roman" w:hAnsi="Times New Roman" w:eastAsia="方正仿宋_GBK" w:cs="Times New Roman"/>
          <w:sz w:val="32"/>
          <w:szCs w:val="32"/>
          <w:highlight w:val="none"/>
          <w:lang w:val="zh-CN"/>
        </w:rPr>
        <w:t>财政拨款“三公”经费支出</w:t>
      </w:r>
      <w:r>
        <w:rPr>
          <w:rFonts w:hint="default" w:ascii="Times New Roman" w:hAnsi="Times New Roman" w:eastAsia="方正仿宋_GBK" w:cs="Times New Roman"/>
          <w:sz w:val="32"/>
          <w:szCs w:val="32"/>
          <w:highlight w:val="none"/>
        </w:rPr>
        <w:t>全年</w:t>
      </w:r>
      <w:r>
        <w:rPr>
          <w:rFonts w:hint="default" w:ascii="Times New Roman" w:hAnsi="Times New Roman" w:eastAsia="方正仿宋_GBK" w:cs="Times New Roman"/>
          <w:sz w:val="32"/>
          <w:szCs w:val="32"/>
          <w:highlight w:val="none"/>
          <w:lang w:val="zh-CN"/>
        </w:rPr>
        <w:t>预算数8.16万元，决算数8.16万元，预决算差异率0.00%，主要原因是：预算金额与实际支出相符。其中：因公出国（境）费</w:t>
      </w:r>
      <w:r>
        <w:rPr>
          <w:rFonts w:hint="default" w:ascii="Times New Roman" w:hAnsi="Times New Roman" w:eastAsia="方正仿宋_GBK" w:cs="Times New Roman"/>
          <w:sz w:val="32"/>
          <w:szCs w:val="32"/>
          <w:highlight w:val="none"/>
        </w:rPr>
        <w:t>全年预算数</w:t>
      </w:r>
      <w:r>
        <w:rPr>
          <w:rFonts w:hint="default" w:ascii="Times New Roman" w:hAnsi="Times New Roman" w:eastAsia="方正仿宋_GBK" w:cs="Times New Roman"/>
          <w:sz w:val="32"/>
          <w:szCs w:val="32"/>
          <w:highlight w:val="none"/>
          <w:lang w:val="zh-CN"/>
        </w:rPr>
        <w:t>0.00万元，决算数0.00万元，预决算差异率0.00%，主要原因是：我单位无因公出国（境）费；公务用车购置费</w:t>
      </w:r>
      <w:r>
        <w:rPr>
          <w:rFonts w:hint="default" w:ascii="Times New Roman" w:hAnsi="Times New Roman" w:eastAsia="方正仿宋_GBK" w:cs="Times New Roman"/>
          <w:sz w:val="32"/>
          <w:szCs w:val="32"/>
          <w:highlight w:val="none"/>
        </w:rPr>
        <w:t>全年</w:t>
      </w:r>
      <w:r>
        <w:rPr>
          <w:rFonts w:hint="default" w:ascii="Times New Roman" w:hAnsi="Times New Roman" w:eastAsia="方正仿宋_GBK" w:cs="Times New Roman"/>
          <w:sz w:val="32"/>
          <w:szCs w:val="32"/>
          <w:highlight w:val="none"/>
          <w:lang w:val="zh-CN"/>
        </w:rPr>
        <w:t>预算数0.00万元，决算数0.00万元，预决算差异率0.00%，主要原因是：我单位无公务用车购置费；公务用车运行费</w:t>
      </w:r>
      <w:r>
        <w:rPr>
          <w:rFonts w:hint="default" w:ascii="Times New Roman" w:hAnsi="Times New Roman" w:eastAsia="方正仿宋_GBK" w:cs="Times New Roman"/>
          <w:sz w:val="32"/>
          <w:szCs w:val="32"/>
          <w:highlight w:val="none"/>
        </w:rPr>
        <w:t>全年</w:t>
      </w:r>
      <w:r>
        <w:rPr>
          <w:rFonts w:hint="default" w:ascii="Times New Roman" w:hAnsi="Times New Roman" w:eastAsia="方正仿宋_GBK" w:cs="Times New Roman"/>
          <w:sz w:val="32"/>
          <w:szCs w:val="32"/>
          <w:highlight w:val="none"/>
          <w:lang w:val="zh-CN"/>
        </w:rPr>
        <w:t>预算数8.16万元，决算数8.16万元，预决算差异率0.00%，主要原因是：预算金额与实际支出相符；公务接待费</w:t>
      </w:r>
      <w:r>
        <w:rPr>
          <w:rFonts w:hint="default" w:ascii="Times New Roman" w:hAnsi="Times New Roman" w:eastAsia="方正仿宋_GBK" w:cs="Times New Roman"/>
          <w:sz w:val="32"/>
          <w:szCs w:val="32"/>
          <w:highlight w:val="none"/>
        </w:rPr>
        <w:t>全年</w:t>
      </w:r>
      <w:r>
        <w:rPr>
          <w:rFonts w:hint="default" w:ascii="Times New Roman" w:hAnsi="Times New Roman" w:eastAsia="方正仿宋_GBK" w:cs="Times New Roman"/>
          <w:sz w:val="32"/>
          <w:szCs w:val="32"/>
          <w:highlight w:val="none"/>
          <w:lang w:val="zh-CN"/>
        </w:rPr>
        <w:t>预算数0.00万元，决算数0.00万元，预决算差异率0.00%，主要原因是：我单位无公务接待费。</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bookmarkStart w:id="18" w:name="_Toc5810"/>
      <w:bookmarkStart w:id="19" w:name="_Toc7927"/>
      <w:r>
        <w:rPr>
          <w:rFonts w:hint="eastAsia" w:ascii="方正黑体_GBK" w:hAnsi="方正黑体_GBK" w:eastAsia="方正黑体_GBK" w:cs="方正黑体_GBK"/>
          <w:bCs/>
          <w:kern w:val="0"/>
          <w:sz w:val="32"/>
          <w:szCs w:val="32"/>
          <w:highlight w:val="none"/>
        </w:rPr>
        <w:t>八、政府性基金预算财政拨款收入支出决算情况说明</w:t>
      </w:r>
      <w:bookmarkEnd w:id="18"/>
      <w:bookmarkEnd w:id="19"/>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我单位本年度无政府性基金预算财政拨款收入、支出及结转和结余，政府性基金预算财政拨款收入支出决算表为空表。</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r>
        <w:rPr>
          <w:rFonts w:hint="eastAsia" w:ascii="方正黑体_GBK" w:hAnsi="方正黑体_GBK" w:eastAsia="方正黑体_GBK" w:cs="方正黑体_GBK"/>
          <w:bCs/>
          <w:kern w:val="0"/>
          <w:sz w:val="32"/>
          <w:szCs w:val="32"/>
          <w:highlight w:val="none"/>
        </w:rPr>
        <w:t>九、国有资本经营预算财政拨款收入支出决算情况说明</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我单位本年度无国有资本经营预算财政拨款收入、支出及结转和结余，国有资本经营预算财政拨款收入支出决算表为空表。</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bookmarkStart w:id="20" w:name="_Toc7314"/>
      <w:bookmarkStart w:id="21" w:name="_Toc1235"/>
      <w:r>
        <w:rPr>
          <w:rFonts w:hint="eastAsia" w:ascii="方正黑体_GBK" w:hAnsi="方正黑体_GBK" w:eastAsia="方正黑体_GBK" w:cs="方正黑体_GBK"/>
          <w:bCs/>
          <w:kern w:val="0"/>
          <w:sz w:val="32"/>
          <w:szCs w:val="32"/>
          <w:highlight w:val="none"/>
        </w:rPr>
        <w:t>十、其他重要事项的情况说明</w:t>
      </w:r>
      <w:bookmarkEnd w:id="20"/>
      <w:bookmarkEnd w:id="21"/>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2"/>
        <w:rPr>
          <w:rFonts w:hint="eastAsia" w:ascii="方正楷体_GBK" w:hAnsi="方正楷体_GBK" w:eastAsia="方正楷体_GBK" w:cs="方正楷体_GBK"/>
          <w:sz w:val="32"/>
          <w:szCs w:val="32"/>
          <w:highlight w:val="none"/>
        </w:rPr>
      </w:pPr>
      <w:bookmarkStart w:id="22" w:name="_Toc13105"/>
      <w:bookmarkStart w:id="23" w:name="_Toc14519"/>
      <w:r>
        <w:rPr>
          <w:rFonts w:hint="eastAsia" w:ascii="方正楷体_GBK" w:hAnsi="方正楷体_GBK" w:eastAsia="方正楷体_GBK" w:cs="方正楷体_GBK"/>
          <w:sz w:val="32"/>
          <w:szCs w:val="32"/>
          <w:highlight w:val="none"/>
        </w:rPr>
        <w:t>（一）机关运行经费支出情况</w:t>
      </w:r>
      <w:bookmarkEnd w:id="22"/>
      <w:bookmarkEnd w:id="23"/>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lang w:val="zh-CN"/>
        </w:rPr>
      </w:pPr>
      <w:bookmarkStart w:id="24" w:name="_Toc26704"/>
      <w:bookmarkStart w:id="25" w:name="_Toc227"/>
      <w:r>
        <w:rPr>
          <w:rFonts w:hint="default" w:ascii="Times New Roman" w:hAnsi="Times New Roman" w:eastAsia="方正仿宋_GBK" w:cs="Times New Roman"/>
          <w:sz w:val="32"/>
          <w:szCs w:val="32"/>
          <w:highlight w:val="none"/>
          <w:lang w:val="zh-CN"/>
        </w:rPr>
        <w:t>2023年度</w:t>
      </w:r>
      <w:r>
        <w:rPr>
          <w:rFonts w:hint="default" w:ascii="Times New Roman" w:hAnsi="Times New Roman" w:eastAsia="方正仿宋_GBK" w:cs="Times New Roman"/>
          <w:sz w:val="32"/>
          <w:szCs w:val="32"/>
          <w:highlight w:val="none"/>
        </w:rPr>
        <w:t>新疆维吾尔自治区交通运输综合行政执法局新藏公路新疆段执法支队（行政单位和参照公务员法管理事业单位）机关运行经费支出146.76万元，比上年增加74.33万元，增长102.6</w:t>
      </w:r>
      <w:r>
        <w:rPr>
          <w:rFonts w:hint="eastAsia"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主要原因是：购买各类办公用品以及各类物资耗用品费用比</w:t>
      </w:r>
      <w:r>
        <w:rPr>
          <w:rFonts w:hint="eastAsia" w:eastAsia="方正仿宋_GBK" w:cs="Times New Roman"/>
          <w:sz w:val="32"/>
          <w:szCs w:val="32"/>
          <w:highlight w:val="none"/>
          <w:lang w:val="en-US" w:eastAsia="zh-CN"/>
        </w:rPr>
        <w:t>往年增加</w:t>
      </w:r>
      <w:r>
        <w:rPr>
          <w:rFonts w:hint="default" w:ascii="Times New Roman" w:hAnsi="Times New Roman" w:eastAsia="方正仿宋_GBK" w:cs="Times New Roman"/>
          <w:sz w:val="32"/>
          <w:szCs w:val="32"/>
          <w:highlight w:val="none"/>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方正楷体_GBK" w:hAnsi="方正楷体_GBK" w:eastAsia="方正楷体_GBK" w:cs="方正楷体_GBK"/>
          <w:sz w:val="32"/>
          <w:szCs w:val="32"/>
          <w:highlight w:val="none"/>
          <w:lang w:val="zh-CN"/>
        </w:rPr>
      </w:pPr>
      <w:r>
        <w:rPr>
          <w:rFonts w:hint="eastAsia" w:ascii="方正楷体_GBK" w:hAnsi="方正楷体_GBK" w:eastAsia="方正楷体_GBK" w:cs="方正楷体_GBK"/>
          <w:sz w:val="32"/>
          <w:szCs w:val="32"/>
          <w:highlight w:val="none"/>
          <w:lang w:val="zh-CN"/>
        </w:rPr>
        <w:t>（二）政府采购情况</w:t>
      </w:r>
      <w:bookmarkEnd w:id="24"/>
      <w:bookmarkEnd w:id="25"/>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lang w:val="zh-CN"/>
        </w:rPr>
        <w:t>2023年度政府采购支出总额22.38万元，其中：政府采购货物支出14.85万元、政府采购工程支出0.00万元、政府采购服务支出7.53万元。</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lang w:val="zh-CN"/>
        </w:rPr>
        <w:t>授予中小企业合同金额12.83万元，占政府采购支出总额的57.3</w:t>
      </w:r>
      <w:r>
        <w:rPr>
          <w:rFonts w:hint="eastAsia" w:eastAsia="方正仿宋_GBK" w:cs="Times New Roman"/>
          <w:sz w:val="32"/>
          <w:szCs w:val="32"/>
          <w:highlight w:val="none"/>
          <w:lang w:val="en-US" w:eastAsia="zh-CN"/>
        </w:rPr>
        <w:t>3</w:t>
      </w:r>
      <w:r>
        <w:rPr>
          <w:rFonts w:hint="default" w:ascii="Times New Roman" w:hAnsi="Times New Roman" w:eastAsia="方正仿宋_GBK" w:cs="Times New Roman"/>
          <w:sz w:val="32"/>
          <w:szCs w:val="32"/>
          <w:highlight w:val="none"/>
          <w:lang w:val="zh-CN"/>
        </w:rPr>
        <w:t>%，其中：授予小微企业合同金额10.60万元，占政府采购支出总额的47.3</w:t>
      </w:r>
      <w:r>
        <w:rPr>
          <w:rFonts w:hint="eastAsia" w:eastAsia="方正仿宋_GBK" w:cs="Times New Roman"/>
          <w:sz w:val="32"/>
          <w:szCs w:val="32"/>
          <w:highlight w:val="none"/>
          <w:lang w:val="en-US" w:eastAsia="zh-CN"/>
        </w:rPr>
        <w:t>6</w:t>
      </w:r>
      <w:r>
        <w:rPr>
          <w:rFonts w:hint="default" w:ascii="Times New Roman" w:hAnsi="Times New Roman" w:eastAsia="方正仿宋_GBK" w:cs="Times New Roman"/>
          <w:sz w:val="32"/>
          <w:szCs w:val="32"/>
          <w:highlight w:val="none"/>
          <w:lang w:val="zh-CN"/>
        </w:rPr>
        <w:t>%</w:t>
      </w:r>
      <w:r>
        <w:rPr>
          <w:rFonts w:hint="default" w:ascii="Times New Roman" w:hAnsi="Times New Roman" w:eastAsia="方正仿宋_GBK" w:cs="Times New Roman"/>
          <w:sz w:val="32"/>
          <w:szCs w:val="32"/>
          <w:highlight w:val="none"/>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方正楷体_GBK" w:hAnsi="方正楷体_GBK" w:eastAsia="方正楷体_GBK" w:cs="方正楷体_GBK"/>
          <w:sz w:val="32"/>
          <w:szCs w:val="32"/>
          <w:highlight w:val="none"/>
          <w:lang w:val="zh-CN"/>
        </w:rPr>
      </w:pPr>
      <w:bookmarkStart w:id="26" w:name="_Toc4591"/>
      <w:bookmarkStart w:id="27" w:name="_Toc8391"/>
      <w:r>
        <w:rPr>
          <w:rFonts w:hint="eastAsia" w:ascii="方正楷体_GBK" w:hAnsi="方正楷体_GBK" w:eastAsia="方正楷体_GBK" w:cs="方正楷体_GBK"/>
          <w:sz w:val="32"/>
          <w:szCs w:val="32"/>
          <w:highlight w:val="none"/>
          <w:lang w:val="zh-CN"/>
        </w:rPr>
        <w:t>（三）国有资产占用情况说明</w:t>
      </w:r>
      <w:bookmarkEnd w:id="26"/>
      <w:bookmarkEnd w:id="27"/>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lang w:val="zh-CN"/>
        </w:rPr>
      </w:pPr>
      <w:r>
        <w:rPr>
          <w:rFonts w:hint="default" w:ascii="Times New Roman" w:hAnsi="Times New Roman" w:eastAsia="方正仿宋_GBK" w:cs="Times New Roman"/>
          <w:sz w:val="32"/>
          <w:szCs w:val="32"/>
          <w:highlight w:val="none"/>
        </w:rPr>
        <w:t>截至2023</w:t>
      </w:r>
      <w:r>
        <w:rPr>
          <w:rFonts w:hint="default" w:ascii="Times New Roman" w:hAnsi="Times New Roman" w:eastAsia="方正仿宋_GBK" w:cs="Times New Roman"/>
          <w:sz w:val="32"/>
          <w:szCs w:val="32"/>
          <w:highlight w:val="none"/>
          <w:lang w:val="zh-CN"/>
        </w:rPr>
        <w:t>年</w:t>
      </w:r>
      <w:r>
        <w:rPr>
          <w:rFonts w:hint="default" w:ascii="Times New Roman" w:hAnsi="Times New Roman" w:eastAsia="方正仿宋_GBK" w:cs="Times New Roman"/>
          <w:sz w:val="32"/>
          <w:szCs w:val="32"/>
          <w:highlight w:val="none"/>
        </w:rPr>
        <w:t>12月31日</w:t>
      </w:r>
      <w:r>
        <w:rPr>
          <w:rFonts w:hint="default" w:ascii="Times New Roman" w:hAnsi="Times New Roman" w:eastAsia="方正仿宋_GBK" w:cs="Times New Roman"/>
          <w:sz w:val="32"/>
          <w:szCs w:val="32"/>
          <w:highlight w:val="none"/>
          <w:lang w:val="zh-CN"/>
        </w:rPr>
        <w:t>，</w:t>
      </w:r>
      <w:r>
        <w:rPr>
          <w:rFonts w:hint="default" w:ascii="Times New Roman" w:hAnsi="Times New Roman" w:eastAsia="方正仿宋_GBK" w:cs="Times New Roman"/>
          <w:sz w:val="32"/>
          <w:szCs w:val="32"/>
          <w:highlight w:val="none"/>
        </w:rPr>
        <w:t>固定资产原值</w:t>
      </w:r>
      <w:r>
        <w:rPr>
          <w:rFonts w:hint="default" w:ascii="Times New Roman" w:hAnsi="Times New Roman" w:eastAsia="方正仿宋_GBK" w:cs="Times New Roman"/>
          <w:sz w:val="32"/>
          <w:szCs w:val="32"/>
          <w:highlight w:val="none"/>
          <w:lang w:val="zh-CN"/>
        </w:rPr>
        <w:t>628.84</w:t>
      </w:r>
      <w:r>
        <w:rPr>
          <w:rFonts w:hint="default" w:ascii="Times New Roman" w:hAnsi="Times New Roman" w:eastAsia="方正仿宋_GBK" w:cs="Times New Roman"/>
          <w:sz w:val="32"/>
          <w:szCs w:val="32"/>
          <w:highlight w:val="none"/>
        </w:rPr>
        <w:t>万元，房</w:t>
      </w:r>
      <w:r>
        <w:rPr>
          <w:rFonts w:hint="default" w:ascii="Times New Roman" w:hAnsi="Times New Roman" w:eastAsia="方正仿宋_GBK" w:cs="Times New Roman"/>
          <w:sz w:val="32"/>
          <w:szCs w:val="32"/>
          <w:highlight w:val="none"/>
          <w:lang w:val="zh-CN"/>
        </w:rPr>
        <w:t>屋1273.85平方米，价值194.40万元。车辆12辆，价值311.68万元，其中：副部（省）级及以上领导用车0辆、主要</w:t>
      </w:r>
      <w:r>
        <w:rPr>
          <w:rFonts w:hint="default" w:ascii="Times New Roman" w:hAnsi="Times New Roman" w:eastAsia="方正仿宋_GBK" w:cs="Times New Roman"/>
          <w:sz w:val="32"/>
          <w:szCs w:val="32"/>
          <w:highlight w:val="none"/>
        </w:rPr>
        <w:t>负责人</w:t>
      </w:r>
      <w:r>
        <w:rPr>
          <w:rFonts w:hint="default" w:ascii="Times New Roman" w:hAnsi="Times New Roman" w:eastAsia="方正仿宋_GBK" w:cs="Times New Roman"/>
          <w:sz w:val="32"/>
          <w:szCs w:val="32"/>
          <w:highlight w:val="none"/>
          <w:lang w:val="zh-CN"/>
        </w:rPr>
        <w:t>用车0辆、机要通信用车0辆、应急保障用车0辆、执法执勤用车10辆、特种专业技术用车2辆、离退休干部</w:t>
      </w:r>
      <w:r>
        <w:rPr>
          <w:rFonts w:hint="default" w:ascii="Times New Roman" w:hAnsi="Times New Roman" w:eastAsia="方正仿宋_GBK" w:cs="Times New Roman"/>
          <w:sz w:val="32"/>
          <w:szCs w:val="32"/>
          <w:highlight w:val="none"/>
        </w:rPr>
        <w:t>服务</w:t>
      </w:r>
      <w:r>
        <w:rPr>
          <w:rFonts w:hint="default" w:ascii="Times New Roman" w:hAnsi="Times New Roman" w:eastAsia="方正仿宋_GBK" w:cs="Times New Roman"/>
          <w:sz w:val="32"/>
          <w:szCs w:val="32"/>
          <w:highlight w:val="none"/>
          <w:lang w:val="zh-CN"/>
        </w:rPr>
        <w:t>用车0辆、其他用车0辆，其他用车主要是：我单位无其他用车；单价100万元（含）以上设备（不含车辆）0</w:t>
      </w:r>
      <w:r>
        <w:rPr>
          <w:rFonts w:hint="default" w:ascii="Times New Roman" w:hAnsi="Times New Roman" w:eastAsia="方正仿宋_GBK" w:cs="Times New Roman"/>
          <w:sz w:val="32"/>
          <w:szCs w:val="32"/>
          <w:highlight w:val="none"/>
        </w:rPr>
        <w:t>台（</w:t>
      </w:r>
      <w:r>
        <w:rPr>
          <w:rFonts w:hint="default" w:ascii="Times New Roman" w:hAnsi="Times New Roman" w:eastAsia="方正仿宋_GBK" w:cs="Times New Roman"/>
          <w:sz w:val="32"/>
          <w:szCs w:val="32"/>
          <w:highlight w:val="none"/>
          <w:lang w:val="zh-CN"/>
        </w:rPr>
        <w:t>套）。</w:t>
      </w:r>
    </w:p>
    <w:p>
      <w:pPr>
        <w:keepNext w:val="0"/>
        <w:keepLines w:val="0"/>
        <w:pageBreakBefore w:val="0"/>
        <w:kinsoku/>
        <w:wordWrap/>
        <w:overflowPunct/>
        <w:topLinePunct w:val="0"/>
        <w:bidi w:val="0"/>
        <w:adjustRightInd/>
        <w:snapToGrid/>
        <w:spacing w:line="560" w:lineRule="exact"/>
        <w:ind w:firstLine="640" w:firstLineChars="200"/>
        <w:jc w:val="left"/>
        <w:textAlignment w:val="auto"/>
        <w:outlineLvl w:val="1"/>
        <w:rPr>
          <w:rFonts w:hint="eastAsia" w:ascii="方正黑体_GBK" w:hAnsi="方正黑体_GBK" w:eastAsia="方正黑体_GBK" w:cs="方正黑体_GBK"/>
          <w:bCs/>
          <w:kern w:val="0"/>
          <w:sz w:val="32"/>
          <w:szCs w:val="32"/>
          <w:highlight w:val="none"/>
        </w:rPr>
      </w:pPr>
      <w:bookmarkStart w:id="28" w:name="_Toc11283"/>
      <w:bookmarkStart w:id="29" w:name="_Toc435"/>
      <w:r>
        <w:rPr>
          <w:rFonts w:hint="eastAsia" w:ascii="方正黑体_GBK" w:hAnsi="方正黑体_GBK" w:eastAsia="方正黑体_GBK" w:cs="方正黑体_GBK"/>
          <w:bCs/>
          <w:kern w:val="0"/>
          <w:sz w:val="32"/>
          <w:szCs w:val="32"/>
          <w:highlight w:val="none"/>
        </w:rPr>
        <w:t>十一、预算绩效的情况说明</w:t>
      </w:r>
      <w:bookmarkEnd w:id="28"/>
      <w:bookmarkEnd w:id="29"/>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color w:val="auto"/>
          <w:sz w:val="32"/>
          <w:szCs w:val="32"/>
          <w:highlight w:val="none"/>
        </w:rPr>
        <w:t>根据预算绩效管理要求，我单位2023年度</w:t>
      </w:r>
      <w:r>
        <w:rPr>
          <w:rFonts w:hint="eastAsia" w:eastAsia="方正仿宋_GBK" w:cs="Times New Roman"/>
          <w:color w:val="auto"/>
          <w:kern w:val="0"/>
          <w:sz w:val="32"/>
          <w:szCs w:val="32"/>
          <w:highlight w:val="none"/>
          <w:lang w:eastAsia="zh-CN"/>
        </w:rPr>
        <w:t>开展</w:t>
      </w:r>
      <w:r>
        <w:rPr>
          <w:rFonts w:hint="default" w:ascii="Times New Roman" w:hAnsi="Times New Roman" w:eastAsia="方正仿宋_GBK" w:cs="Times New Roman"/>
          <w:color w:val="auto"/>
          <w:sz w:val="32"/>
          <w:szCs w:val="32"/>
          <w:highlight w:val="none"/>
        </w:rPr>
        <w:t>预算绩效评价项目</w:t>
      </w:r>
      <w:r>
        <w:rPr>
          <w:rFonts w:hint="eastAsia"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个，全年预算数</w:t>
      </w:r>
      <w:r>
        <w:rPr>
          <w:rFonts w:hint="eastAsia" w:eastAsia="方正仿宋_GBK" w:cs="Times New Roman"/>
          <w:color w:val="auto"/>
          <w:sz w:val="32"/>
          <w:szCs w:val="32"/>
          <w:highlight w:val="none"/>
          <w:lang w:val="en-US" w:eastAsia="zh-CN"/>
        </w:rPr>
        <w:t>155.82</w:t>
      </w:r>
      <w:r>
        <w:rPr>
          <w:rFonts w:hint="default" w:ascii="Times New Roman" w:hAnsi="Times New Roman" w:eastAsia="方正仿宋_GBK" w:cs="Times New Roman"/>
          <w:color w:val="auto"/>
          <w:sz w:val="32"/>
          <w:szCs w:val="32"/>
          <w:highlight w:val="none"/>
        </w:rPr>
        <w:t>万元，全年执行数</w:t>
      </w:r>
      <w:r>
        <w:rPr>
          <w:rFonts w:hint="eastAsia" w:eastAsia="方正仿宋_GBK" w:cs="Times New Roman"/>
          <w:color w:val="auto"/>
          <w:sz w:val="32"/>
          <w:szCs w:val="32"/>
          <w:highlight w:val="none"/>
          <w:lang w:val="en-US" w:eastAsia="zh-CN"/>
        </w:rPr>
        <w:t>155.82</w:t>
      </w:r>
      <w:r>
        <w:rPr>
          <w:rFonts w:hint="default" w:ascii="Times New Roman" w:hAnsi="Times New Roman" w:eastAsia="方正仿宋_GBK" w:cs="Times New Roman"/>
          <w:color w:val="auto"/>
          <w:sz w:val="32"/>
          <w:szCs w:val="32"/>
          <w:highlight w:val="none"/>
        </w:rPr>
        <w:t>万元。预算绩效管理取得的成效：一是严格审核，控制费用开支，确保费用核算的及时性和完整性；按照费用的</w:t>
      </w:r>
      <w:r>
        <w:rPr>
          <w:rFonts w:hint="default" w:ascii="Times New Roman" w:hAnsi="Times New Roman" w:eastAsia="方正仿宋_GBK" w:cs="Times New Roman"/>
          <w:sz w:val="32"/>
          <w:szCs w:val="32"/>
          <w:highlight w:val="none"/>
        </w:rPr>
        <w:t>实际使用用途进行资金支付和财务列报，严格按照行政事业单位会计制度进行财务核算；二是根据项目资金使用的时间进行申请，合理管理资金，加快项目实施，加快执行进度，提高预算执行率。发现的问题及原因：一是预算执行存在偏差；二是项目实施过程中的监督审核薄弱。下一步改进措施：一是后期应加大投入，建立健全执法队伍。必须加强自身能力建设，努力提高思想道德素质、执政为民能力，尤其要提高执行力和公信力。做到一手抓政治理论学习，一手抓执法能力建设，坚持不懈地提高执法队伍的整体素质；二是建立健全项目实施单位内部财务管理制度，严格落实项目申报计划，加强资金管理，确保专项资金安全有效。加强项目实施过程中的监督审核</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建立健全财政专项资金的公开机制、评审机制、跟踪检查机制，确保资金安全高效使用。切实抓好财政专项资金的分配、使用、管理和效益情况的审计监督和纪律监督，严肃查处违纪违规行为。具体项目自评情况附绩效自评表及自评报告。</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方正黑体_GBK" w:hAnsi="方正黑体_GBK" w:eastAsia="方正黑体_GBK" w:cs="方正黑体_GBK"/>
          <w:bCs/>
          <w:kern w:val="0"/>
          <w:sz w:val="32"/>
          <w:szCs w:val="32"/>
          <w:highlight w:val="none"/>
        </w:rPr>
      </w:pPr>
      <w:r>
        <w:rPr>
          <w:rFonts w:hint="eastAsia" w:ascii="方正黑体_GBK" w:hAnsi="方正黑体_GBK" w:eastAsia="方正黑体_GBK" w:cs="方正黑体_GBK"/>
          <w:bCs/>
          <w:kern w:val="0"/>
          <w:sz w:val="32"/>
          <w:szCs w:val="32"/>
          <w:highlight w:val="none"/>
        </w:rPr>
        <w:t>十二、其他需说明的事项</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kern w:val="0"/>
          <w:sz w:val="32"/>
          <w:szCs w:val="32"/>
          <w:highlight w:val="none"/>
        </w:rPr>
      </w:pPr>
      <w:r>
        <w:rPr>
          <w:rFonts w:hint="default" w:ascii="Times New Roman" w:hAnsi="Times New Roman" w:eastAsia="方正仿宋_GBK" w:cs="Times New Roman"/>
          <w:kern w:val="0"/>
          <w:sz w:val="32"/>
          <w:szCs w:val="32"/>
          <w:highlight w:val="none"/>
        </w:rPr>
        <w:t>本单位无其他需说明事项</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方正仿宋_GBK" w:cs="Times New Roman"/>
          <w:kern w:val="0"/>
          <w:sz w:val="32"/>
          <w:szCs w:val="32"/>
          <w:highlight w:val="none"/>
        </w:rPr>
      </w:pPr>
    </w:p>
    <w:p>
      <w:pPr>
        <w:keepNext w:val="0"/>
        <w:keepLines w:val="0"/>
        <w:pageBreakBefore w:val="0"/>
        <w:kinsoku/>
        <w:wordWrap/>
        <w:overflowPunct/>
        <w:topLinePunct w:val="0"/>
        <w:bidi w:val="0"/>
        <w:adjustRightInd/>
        <w:snapToGrid/>
        <w:spacing w:line="560" w:lineRule="exact"/>
        <w:jc w:val="center"/>
        <w:textAlignment w:val="auto"/>
        <w:outlineLvl w:val="0"/>
        <w:rPr>
          <w:rFonts w:hint="default" w:ascii="Times New Roman" w:hAnsi="Times New Roman" w:eastAsia="方正仿宋_GBK" w:cs="Times New Roman"/>
          <w:sz w:val="32"/>
          <w:szCs w:val="32"/>
          <w:highlight w:val="none"/>
        </w:rPr>
      </w:pPr>
      <w:bookmarkStart w:id="30" w:name="_Toc3250"/>
      <w:bookmarkStart w:id="31" w:name="_Toc24143"/>
      <w:r>
        <w:rPr>
          <w:rFonts w:hint="default" w:ascii="Times New Roman" w:hAnsi="Times New Roman" w:eastAsia="方正仿宋_GBK" w:cs="Times New Roman"/>
          <w:sz w:val="32"/>
          <w:szCs w:val="32"/>
          <w:highlight w:val="none"/>
        </w:rPr>
        <w:br w:type="page"/>
      </w:r>
      <w:r>
        <w:rPr>
          <w:rFonts w:hint="eastAsia" w:ascii="方正黑体_GBK" w:hAnsi="方正黑体_GBK" w:eastAsia="方正黑体_GBK" w:cs="方正黑体_GBK"/>
          <w:sz w:val="32"/>
          <w:szCs w:val="32"/>
          <w:highlight w:val="none"/>
        </w:rPr>
        <w:t>第三部分 专业名词解释</w:t>
      </w:r>
      <w:bookmarkEnd w:id="30"/>
      <w:bookmarkEnd w:id="31"/>
    </w:p>
    <w:p>
      <w:pPr>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eastAsia" w:ascii="方正黑体_GBK" w:hAnsi="方正黑体_GBK" w:eastAsia="方正黑体_GBK" w:cs="方正黑体_GBK"/>
          <w:b w:val="0"/>
          <w:bCs w:val="0"/>
          <w:sz w:val="32"/>
          <w:szCs w:val="32"/>
          <w:highlight w:val="none"/>
        </w:rPr>
        <w:t>一、财政拨款收入：</w:t>
      </w:r>
      <w:r>
        <w:rPr>
          <w:rFonts w:hint="default" w:ascii="Times New Roman" w:hAnsi="Times New Roman" w:eastAsia="方正仿宋_GBK" w:cs="Times New Roman"/>
          <w:sz w:val="32"/>
          <w:szCs w:val="32"/>
          <w:highlight w:val="none"/>
        </w:rPr>
        <w:t>指同级财政当年拨付的资金。</w:t>
      </w:r>
    </w:p>
    <w:p>
      <w:pPr>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二、上级补助收入：</w:t>
      </w:r>
      <w:r>
        <w:rPr>
          <w:rFonts w:hint="default" w:ascii="Times New Roman" w:hAnsi="Times New Roman" w:eastAsia="方正仿宋_GBK" w:cs="Times New Roman"/>
          <w:sz w:val="32"/>
          <w:szCs w:val="32"/>
          <w:highlight w:val="none"/>
        </w:rPr>
        <w:t>指事业单位从主管部门和上级单位取得的非财政补助收入。</w:t>
      </w:r>
    </w:p>
    <w:p>
      <w:pPr>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三、事业收入：</w:t>
      </w:r>
      <w:r>
        <w:rPr>
          <w:rFonts w:hint="default" w:ascii="Times New Roman" w:hAnsi="Times New Roman" w:eastAsia="方正仿宋_GBK" w:cs="Times New Roman"/>
          <w:sz w:val="32"/>
          <w:szCs w:val="32"/>
          <w:highlight w:val="none"/>
        </w:rPr>
        <w:t>指事业单位开展专业业务活动及其辅助活动所取得的收入。</w:t>
      </w:r>
    </w:p>
    <w:p>
      <w:pPr>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四、经营收入：</w:t>
      </w:r>
      <w:r>
        <w:rPr>
          <w:rFonts w:hint="default" w:ascii="Times New Roman" w:hAnsi="Times New Roman" w:eastAsia="方正仿宋_GBK" w:cs="Times New Roman"/>
          <w:sz w:val="32"/>
          <w:szCs w:val="32"/>
          <w:highlight w:val="none"/>
        </w:rPr>
        <w:t>指事业单位在专业业务活动及其辅助活动之外开展非独立核算经营活动取得的收入。</w:t>
      </w:r>
    </w:p>
    <w:p>
      <w:pPr>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五、附属单位上缴收入：</w:t>
      </w:r>
      <w:r>
        <w:rPr>
          <w:rFonts w:hint="default" w:ascii="Times New Roman" w:hAnsi="Times New Roman" w:eastAsia="方正仿宋_GBK" w:cs="Times New Roman"/>
          <w:sz w:val="32"/>
          <w:szCs w:val="32"/>
          <w:highlight w:val="none"/>
        </w:rPr>
        <w:t>指事业单位附属的独立核算单位按有关规定上缴的收入。</w:t>
      </w:r>
    </w:p>
    <w:p>
      <w:pPr>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六、其他收入：</w:t>
      </w:r>
      <w:r>
        <w:rPr>
          <w:rFonts w:hint="default" w:ascii="Times New Roman" w:hAnsi="Times New Roman" w:eastAsia="方正仿宋_GBK" w:cs="Times New Roman"/>
          <w:sz w:val="32"/>
          <w:szCs w:val="32"/>
          <w:highlight w:val="none"/>
        </w:rPr>
        <w:t>指除上述“财政拨款收入</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事业收入</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经营收入</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附属单位上缴收入”等之外取得的收入。</w:t>
      </w:r>
    </w:p>
    <w:p>
      <w:pPr>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七、年初结转和结余：</w:t>
      </w:r>
      <w:r>
        <w:rPr>
          <w:rFonts w:hint="default" w:ascii="Times New Roman" w:hAnsi="Times New Roman" w:eastAsia="方正仿宋_GBK" w:cs="Times New Roman"/>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八、年末结转和结余：</w:t>
      </w:r>
      <w:r>
        <w:rPr>
          <w:rFonts w:hint="default" w:ascii="Times New Roman" w:hAnsi="Times New Roman" w:eastAsia="方正仿宋_GBK" w:cs="Times New Roman"/>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九、基本支出：</w:t>
      </w:r>
      <w:r>
        <w:rPr>
          <w:rFonts w:hint="default" w:ascii="Times New Roman" w:hAnsi="Times New Roman" w:eastAsia="方正仿宋_GBK" w:cs="Times New Roman"/>
          <w:sz w:val="32"/>
          <w:szCs w:val="32"/>
          <w:highlight w:val="none"/>
        </w:rPr>
        <w:t>指为保障机构正常运转、完成日常工作任务而发生的人员支出和公用支出。</w:t>
      </w:r>
    </w:p>
    <w:p>
      <w:pPr>
        <w:keepNext w:val="0"/>
        <w:keepLines w:val="0"/>
        <w:pageBreakBefore w:val="0"/>
        <w:kinsoku/>
        <w:wordWrap/>
        <w:overflowPunct/>
        <w:topLinePunct w:val="0"/>
        <w:autoSpaceDE w:val="0"/>
        <w:autoSpaceDN w:val="0"/>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十、项目支出：</w:t>
      </w:r>
      <w:r>
        <w:rPr>
          <w:rFonts w:hint="default" w:ascii="Times New Roman" w:hAnsi="Times New Roman" w:eastAsia="方正仿宋_GBK" w:cs="Times New Roman"/>
          <w:sz w:val="32"/>
          <w:szCs w:val="32"/>
          <w:highlight w:val="none"/>
        </w:rPr>
        <w:t>指在基本支出之外为完成特定行政任务和事业发展目标所发生的支出。</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十一、经营支出：</w:t>
      </w:r>
      <w:r>
        <w:rPr>
          <w:rFonts w:hint="default" w:ascii="Times New Roman" w:hAnsi="Times New Roman" w:eastAsia="方正仿宋_GBK" w:cs="Times New Roman"/>
          <w:sz w:val="32"/>
          <w:szCs w:val="32"/>
          <w:highlight w:val="none"/>
        </w:rPr>
        <w:t>指事业单位在专业业务活动及其辅助活动之外开展非独立核算经营活动发生的支出。</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十二、对附属单位补助支出：</w:t>
      </w:r>
      <w:r>
        <w:rPr>
          <w:rFonts w:hint="default" w:ascii="Times New Roman" w:hAnsi="Times New Roman" w:eastAsia="方正仿宋_GBK" w:cs="Times New Roman"/>
          <w:sz w:val="32"/>
          <w:szCs w:val="32"/>
          <w:highlight w:val="none"/>
        </w:rPr>
        <w:t>指事业单位发生的用非财政预算资金对附属单位的补助支出。</w:t>
      </w:r>
    </w:p>
    <w:p>
      <w:pPr>
        <w:keepNext w:val="0"/>
        <w:keepLines w:val="0"/>
        <w:pageBreakBefore w:val="0"/>
        <w:kinsoku/>
        <w:wordWrap/>
        <w:overflowPunct/>
        <w:topLinePunct w:val="0"/>
        <w:autoSpaceDE w:val="0"/>
        <w:autoSpaceDN w:val="0"/>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十三、“三公”经费：</w:t>
      </w:r>
      <w:r>
        <w:rPr>
          <w:rFonts w:hint="default" w:ascii="Times New Roman" w:hAnsi="Times New Roman" w:eastAsia="方正仿宋_GBK" w:cs="Times New Roman"/>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方正黑体_GBK" w:hAnsi="方正黑体_GBK" w:eastAsia="方正黑体_GBK" w:cs="方正黑体_GBK"/>
          <w:b w:val="0"/>
          <w:bCs w:val="0"/>
          <w:sz w:val="32"/>
          <w:szCs w:val="32"/>
          <w:highlight w:val="none"/>
        </w:rPr>
        <w:t>十四、机关运行经费：</w:t>
      </w:r>
      <w:r>
        <w:rPr>
          <w:rFonts w:hint="default" w:ascii="Times New Roman" w:hAnsi="Times New Roman" w:eastAsia="方正仿宋_GBK" w:cs="Times New Roman"/>
          <w:sz w:val="32"/>
          <w:szCs w:val="32"/>
          <w:highlight w:val="none"/>
        </w:rPr>
        <w:t>行政单位和参照公务员法管理的事业单位财政拨款基本支出中的公用经费支出。</w:t>
      </w:r>
    </w:p>
    <w:p>
      <w:pPr>
        <w:keepNext w:val="0"/>
        <w:keepLines w:val="0"/>
        <w:pageBreakBefore w:val="0"/>
        <w:kinsoku/>
        <w:wordWrap/>
        <w:overflowPunct/>
        <w:topLinePunct w:val="0"/>
        <w:bidi w:val="0"/>
        <w:adjustRightInd/>
        <w:snapToGrid/>
        <w:spacing w:line="560" w:lineRule="exact"/>
        <w:ind w:firstLine="640" w:firstLineChars="200"/>
        <w:jc w:val="center"/>
        <w:textAlignment w:val="auto"/>
        <w:outlineLvl w:val="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br w:type="page"/>
      </w:r>
      <w:r>
        <w:rPr>
          <w:rFonts w:hint="eastAsia" w:ascii="方正黑体_GBK" w:hAnsi="方正黑体_GBK" w:eastAsia="方正黑体_GBK" w:cs="方正黑体_GBK"/>
          <w:sz w:val="32"/>
          <w:szCs w:val="32"/>
          <w:highlight w:val="none"/>
        </w:rPr>
        <w:t>第四部分 部门决算报表（见附表）</w:t>
      </w:r>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kern w:val="0"/>
          <w:sz w:val="32"/>
          <w:szCs w:val="32"/>
          <w:highlight w:val="none"/>
        </w:rPr>
      </w:pPr>
      <w:bookmarkStart w:id="32" w:name="_Toc2183"/>
      <w:bookmarkStart w:id="33" w:name="_Toc6062"/>
      <w:r>
        <w:rPr>
          <w:rFonts w:hint="eastAsia" w:ascii="方正黑体_GBK" w:hAnsi="方正黑体_GBK" w:eastAsia="方正黑体_GBK" w:cs="方正黑体_GBK"/>
          <w:b w:val="0"/>
          <w:bCs/>
          <w:kern w:val="0"/>
          <w:sz w:val="32"/>
          <w:szCs w:val="32"/>
          <w:highlight w:val="none"/>
        </w:rPr>
        <w:t>一、《收入支出决算总表》</w:t>
      </w:r>
      <w:bookmarkEnd w:id="32"/>
      <w:bookmarkEnd w:id="33"/>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kern w:val="0"/>
          <w:sz w:val="32"/>
          <w:szCs w:val="32"/>
          <w:highlight w:val="none"/>
        </w:rPr>
      </w:pPr>
      <w:bookmarkStart w:id="34" w:name="_Toc30364"/>
      <w:bookmarkStart w:id="35" w:name="_Toc24532"/>
      <w:r>
        <w:rPr>
          <w:rFonts w:hint="eastAsia" w:ascii="方正黑体_GBK" w:hAnsi="方正黑体_GBK" w:eastAsia="方正黑体_GBK" w:cs="方正黑体_GBK"/>
          <w:b w:val="0"/>
          <w:bCs/>
          <w:kern w:val="0"/>
          <w:sz w:val="32"/>
          <w:szCs w:val="32"/>
          <w:highlight w:val="none"/>
        </w:rPr>
        <w:t>二、《收入决算表》</w:t>
      </w:r>
      <w:bookmarkEnd w:id="34"/>
      <w:bookmarkEnd w:id="35"/>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kern w:val="0"/>
          <w:sz w:val="32"/>
          <w:szCs w:val="32"/>
          <w:highlight w:val="none"/>
        </w:rPr>
      </w:pPr>
      <w:bookmarkStart w:id="36" w:name="_Toc32434"/>
      <w:bookmarkStart w:id="37" w:name="_Toc21304"/>
      <w:r>
        <w:rPr>
          <w:rFonts w:hint="eastAsia" w:ascii="方正黑体_GBK" w:hAnsi="方正黑体_GBK" w:eastAsia="方正黑体_GBK" w:cs="方正黑体_GBK"/>
          <w:b w:val="0"/>
          <w:bCs/>
          <w:kern w:val="0"/>
          <w:sz w:val="32"/>
          <w:szCs w:val="32"/>
          <w:highlight w:val="none"/>
        </w:rPr>
        <w:t>三、《支出决算表》</w:t>
      </w:r>
      <w:bookmarkEnd w:id="36"/>
      <w:bookmarkEnd w:id="37"/>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kern w:val="0"/>
          <w:sz w:val="32"/>
          <w:szCs w:val="32"/>
          <w:highlight w:val="none"/>
        </w:rPr>
      </w:pPr>
      <w:bookmarkStart w:id="38" w:name="_Toc14238"/>
      <w:bookmarkStart w:id="39" w:name="_Toc28786"/>
      <w:r>
        <w:rPr>
          <w:rFonts w:hint="eastAsia" w:ascii="方正黑体_GBK" w:hAnsi="方正黑体_GBK" w:eastAsia="方正黑体_GBK" w:cs="方正黑体_GBK"/>
          <w:b w:val="0"/>
          <w:bCs/>
          <w:kern w:val="0"/>
          <w:sz w:val="32"/>
          <w:szCs w:val="32"/>
          <w:highlight w:val="none"/>
        </w:rPr>
        <w:t>四、《财政拨款收入支出决算总表》</w:t>
      </w:r>
      <w:bookmarkEnd w:id="38"/>
      <w:bookmarkEnd w:id="39"/>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kern w:val="0"/>
          <w:sz w:val="32"/>
          <w:szCs w:val="32"/>
          <w:highlight w:val="none"/>
        </w:rPr>
      </w:pPr>
      <w:bookmarkStart w:id="40" w:name="_Toc14869"/>
      <w:bookmarkStart w:id="41" w:name="_Toc10347"/>
      <w:r>
        <w:rPr>
          <w:rFonts w:hint="eastAsia" w:ascii="方正黑体_GBK" w:hAnsi="方正黑体_GBK" w:eastAsia="方正黑体_GBK" w:cs="方正黑体_GBK"/>
          <w:b w:val="0"/>
          <w:bCs/>
          <w:kern w:val="0"/>
          <w:sz w:val="32"/>
          <w:szCs w:val="32"/>
          <w:highlight w:val="none"/>
        </w:rPr>
        <w:t>五、《一般公共预算财政拨款支出决算表》</w:t>
      </w:r>
      <w:bookmarkEnd w:id="40"/>
      <w:bookmarkEnd w:id="41"/>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kern w:val="0"/>
          <w:sz w:val="32"/>
          <w:szCs w:val="32"/>
          <w:highlight w:val="none"/>
        </w:rPr>
      </w:pPr>
      <w:bookmarkStart w:id="42" w:name="_Toc5626"/>
      <w:bookmarkStart w:id="43" w:name="_Toc8884"/>
      <w:r>
        <w:rPr>
          <w:rFonts w:hint="eastAsia" w:ascii="方正黑体_GBK" w:hAnsi="方正黑体_GBK" w:eastAsia="方正黑体_GBK" w:cs="方正黑体_GBK"/>
          <w:b w:val="0"/>
          <w:bCs/>
          <w:kern w:val="0"/>
          <w:sz w:val="32"/>
          <w:szCs w:val="32"/>
          <w:highlight w:val="none"/>
        </w:rPr>
        <w:t>六、《一般公共预算财政拨款基本支出决算表》</w:t>
      </w:r>
      <w:bookmarkEnd w:id="42"/>
      <w:bookmarkEnd w:id="43"/>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kern w:val="0"/>
          <w:sz w:val="32"/>
          <w:szCs w:val="32"/>
          <w:highlight w:val="none"/>
        </w:rPr>
      </w:pPr>
      <w:r>
        <w:rPr>
          <w:rFonts w:hint="eastAsia" w:ascii="方正黑体_GBK" w:hAnsi="方正黑体_GBK" w:eastAsia="方正黑体_GBK" w:cs="方正黑体_GBK"/>
          <w:b w:val="0"/>
          <w:bCs/>
          <w:kern w:val="0"/>
          <w:sz w:val="32"/>
          <w:szCs w:val="32"/>
          <w:highlight w:val="none"/>
        </w:rPr>
        <w:t>七、</w:t>
      </w:r>
      <w:bookmarkStart w:id="44" w:name="_Toc32663"/>
      <w:bookmarkStart w:id="45" w:name="_Toc29106"/>
      <w:r>
        <w:rPr>
          <w:rFonts w:hint="eastAsia" w:ascii="方正黑体_GBK" w:hAnsi="方正黑体_GBK" w:eastAsia="方正黑体_GBK" w:cs="方正黑体_GBK"/>
          <w:b w:val="0"/>
          <w:bCs/>
          <w:kern w:val="0"/>
          <w:sz w:val="32"/>
          <w:szCs w:val="32"/>
          <w:highlight w:val="none"/>
        </w:rPr>
        <w:t>《财政拨款“三公”经费支出决算表》</w:t>
      </w:r>
      <w:bookmarkEnd w:id="44"/>
      <w:bookmarkEnd w:id="45"/>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eastAsia" w:ascii="方正黑体_GBK" w:hAnsi="方正黑体_GBK" w:eastAsia="方正黑体_GBK" w:cs="方正黑体_GBK"/>
          <w:b w:val="0"/>
          <w:bCs/>
          <w:kern w:val="0"/>
          <w:sz w:val="32"/>
          <w:szCs w:val="32"/>
          <w:highlight w:val="none"/>
        </w:rPr>
      </w:pPr>
      <w:bookmarkStart w:id="46" w:name="_Toc7643"/>
      <w:bookmarkStart w:id="47" w:name="_Toc5453"/>
      <w:r>
        <w:rPr>
          <w:rFonts w:hint="eastAsia" w:ascii="方正黑体_GBK" w:hAnsi="方正黑体_GBK" w:eastAsia="方正黑体_GBK" w:cs="方正黑体_GBK"/>
          <w:b w:val="0"/>
          <w:bCs/>
          <w:kern w:val="0"/>
          <w:sz w:val="32"/>
          <w:szCs w:val="32"/>
          <w:highlight w:val="none"/>
        </w:rPr>
        <w:t>八、《政府性基金预算财政拨款收入支出决算表》</w:t>
      </w:r>
      <w:bookmarkEnd w:id="46"/>
      <w:bookmarkEnd w:id="47"/>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default" w:ascii="Times New Roman" w:hAnsi="Times New Roman" w:eastAsia="方正仿宋_GBK" w:cs="Times New Roman"/>
          <w:bCs/>
          <w:kern w:val="0"/>
          <w:sz w:val="32"/>
          <w:szCs w:val="32"/>
          <w:highlight w:val="none"/>
        </w:rPr>
      </w:pPr>
      <w:r>
        <w:rPr>
          <w:rFonts w:hint="eastAsia" w:ascii="方正黑体_GBK" w:hAnsi="方正黑体_GBK" w:eastAsia="方正黑体_GBK" w:cs="方正黑体_GBK"/>
          <w:b w:val="0"/>
          <w:bCs/>
          <w:kern w:val="0"/>
          <w:sz w:val="32"/>
          <w:szCs w:val="32"/>
          <w:highlight w:val="none"/>
        </w:rPr>
        <w:t>九、《国有资本经营预算财政拨款收入支出决算表》</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p>
    <w:p>
      <w:pPr>
        <w:keepNext w:val="0"/>
        <w:keepLines w:val="0"/>
        <w:pageBreakBefore w:val="0"/>
        <w:kinsoku/>
        <w:wordWrap/>
        <w:overflowPunct/>
        <w:topLinePunct w:val="0"/>
        <w:bidi w:val="0"/>
        <w:adjustRightInd/>
        <w:snapToGrid/>
        <w:spacing w:line="560" w:lineRule="exact"/>
        <w:ind w:firstLine="640" w:firstLineChars="200"/>
        <w:textAlignment w:val="auto"/>
        <w:outlineLvl w:val="1"/>
        <w:rPr>
          <w:rFonts w:hint="default" w:ascii="Times New Roman" w:hAnsi="Times New Roman" w:eastAsia="方正仿宋_GBK" w:cs="Times New Roman"/>
          <w:bCs/>
          <w:kern w:val="0"/>
          <w:sz w:val="32"/>
          <w:szCs w:val="32"/>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wrap="none" lIns="0" tIns="0" rIns="0" bIns="0" upright="tru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zql5uc8AAAAFAQAADwAAAAAAAAABACAAAAA4AAAAZHJzL2Rvd25yZXYueG1s&#10;UEsBAhQAFAAAAAgAh07iQFNUP6KyAQAAUQMAAA4AAAAAAAAAAQAgAAAANAEAAGRycy9lMm9Eb2Mu&#10;eG1sUEsFBgAAAAAGAAYAWQEAAFg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hideSpellingErrors/>
  <w:hideGrammaticalErrors/>
  <w:documentProtection w:enforcement="0"/>
  <w:defaultTabStop w:val="420"/>
  <w:drawingGridVerticalSpacing w:val="156"/>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MzRhYTI1OTNjMGFkOWI3NzVmZjY4NTM2Y2Y0NDEifQ=="/>
    <w:docVar w:name="KSO_WPS_MARK_KEY" w:val="41ee2a61-2d54-4f93-83be-afdb9a40d732"/>
  </w:docVars>
  <w:rsids>
    <w:rsidRoot w:val="00C44246"/>
    <w:rsid w:val="00213C59"/>
    <w:rsid w:val="003210CE"/>
    <w:rsid w:val="00B70D59"/>
    <w:rsid w:val="00BA66DA"/>
    <w:rsid w:val="00C44246"/>
    <w:rsid w:val="00F52A8D"/>
    <w:rsid w:val="00F80F84"/>
    <w:rsid w:val="019404F8"/>
    <w:rsid w:val="01BF37C7"/>
    <w:rsid w:val="02BD3108"/>
    <w:rsid w:val="02F73D26"/>
    <w:rsid w:val="034D4FEF"/>
    <w:rsid w:val="035D1785"/>
    <w:rsid w:val="039F47CE"/>
    <w:rsid w:val="03E05CE8"/>
    <w:rsid w:val="03F973EE"/>
    <w:rsid w:val="043E5B56"/>
    <w:rsid w:val="04793C53"/>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0F534B"/>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D011ED"/>
    <w:rsid w:val="13F310AE"/>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B146DB"/>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5FA2E31"/>
    <w:rsid w:val="36965B9D"/>
    <w:rsid w:val="36C549FD"/>
    <w:rsid w:val="37A755DD"/>
    <w:rsid w:val="37C57CC8"/>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AC6A00"/>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F440B0"/>
    <w:rsid w:val="525C687F"/>
    <w:rsid w:val="52A618A7"/>
    <w:rsid w:val="52F647F7"/>
    <w:rsid w:val="52F92565"/>
    <w:rsid w:val="530C421B"/>
    <w:rsid w:val="53D03877"/>
    <w:rsid w:val="542F73CA"/>
    <w:rsid w:val="5430786D"/>
    <w:rsid w:val="54C811C0"/>
    <w:rsid w:val="553115E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3A53B0"/>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9E2FB"/>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D3051E"/>
    <w:rsid w:val="72E42ED8"/>
    <w:rsid w:val="735F4CB9"/>
    <w:rsid w:val="73674C62"/>
    <w:rsid w:val="73845865"/>
    <w:rsid w:val="739B6D9E"/>
    <w:rsid w:val="73BC1D76"/>
    <w:rsid w:val="73FB6630"/>
    <w:rsid w:val="741303D8"/>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3A1FBC"/>
    <w:rsid w:val="7F487C04"/>
    <w:rsid w:val="7FB45F21"/>
    <w:rsid w:val="7FE57088"/>
    <w:rsid w:val="7FF37FA3"/>
    <w:rsid w:val="7FFF79BE"/>
    <w:rsid w:val="94FB70C8"/>
    <w:rsid w:val="B6EF51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Xinjiang Wusu Brewery Co., Ltd</Company>
  <Pages>15</Pages>
  <Words>5441</Words>
  <Characters>6161</Characters>
  <Lines>57</Lines>
  <Paragraphs>16</Paragraphs>
  <TotalTime>3</TotalTime>
  <ScaleCrop>false</ScaleCrop>
  <LinksUpToDate>false</LinksUpToDate>
  <CharactersWithSpaces>6174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2024-08-13T05:02:00Z</dcterms:created>
  <dc:creator>GXR</dc:creator>
  <cp:lastModifiedBy>jtt</cp:lastModifiedBy>
  <dcterms:modified xsi:type="dcterms:W3CDTF">2024-11-05T14:45:05Z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D3F0C7DA3FC4475DBF2E73AB5095C957_13</vt:lpwstr>
  </property>
</Properties>
</file>