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eastAsia" w:ascii="黑体" w:hAnsi="黑体" w:eastAsia="黑体"/>
          <w:color w:val="auto"/>
          <w:sz w:val="32"/>
          <w:szCs w:val="32"/>
          <w:highlight w:val="none"/>
          <w:lang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新疆维吾尔自治区交通运输厅路网监测与应急处置中心</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kern w:val="0"/>
          <w:sz w:val="36"/>
          <w:szCs w:val="36"/>
          <w:highlight w:val="cyan"/>
        </w:rPr>
      </w:pPr>
      <w:bookmarkStart w:id="4" w:name="_Toc31238"/>
      <w:bookmarkStart w:id="5" w:name="_Toc2151"/>
      <w:r>
        <w:rPr>
          <w:rFonts w:hint="eastAsia" w:ascii="仿宋_GB2312" w:eastAsia="仿宋_GB2312"/>
          <w:color w:val="auto"/>
          <w:sz w:val="32"/>
          <w:szCs w:val="32"/>
          <w:highlight w:val="none"/>
          <w:lang w:val="en-US" w:eastAsia="zh-CN"/>
        </w:rPr>
        <w:t>根据交通运输部《全国公路路网管理与应急处置平台建设指导意见》</w:t>
      </w:r>
      <w:r>
        <w:rPr>
          <w:rFonts w:hint="eastAsia" w:ascii="仿宋_GB2312" w:eastAsia="仿宋_GB2312"/>
          <w:color w:val="auto"/>
          <w:sz w:val="32"/>
          <w:szCs w:val="32"/>
          <w:highlight w:val="none"/>
          <w:lang w:val="en" w:eastAsia="zh-CN"/>
        </w:rPr>
        <w:t>（</w:t>
      </w:r>
      <w:r>
        <w:rPr>
          <w:rFonts w:hint="eastAsia" w:ascii="仿宋_GB2312" w:eastAsia="仿宋_GB2312"/>
          <w:color w:val="auto"/>
          <w:sz w:val="32"/>
          <w:szCs w:val="32"/>
          <w:highlight w:val="none"/>
          <w:lang w:val="en-US" w:eastAsia="zh-CN"/>
        </w:rPr>
        <w:t>交公路发〔2009〕713号</w:t>
      </w:r>
      <w:r>
        <w:rPr>
          <w:rFonts w:hint="eastAsia" w:ascii="仿宋_GB2312" w:eastAsia="仿宋_GB2312"/>
          <w:color w:val="auto"/>
          <w:sz w:val="32"/>
          <w:szCs w:val="32"/>
          <w:highlight w:val="none"/>
          <w:lang w:val="en" w:eastAsia="zh-CN"/>
        </w:rPr>
        <w:t>）</w:t>
      </w:r>
      <w:r>
        <w:rPr>
          <w:rFonts w:hint="eastAsia" w:ascii="仿宋_GB2312" w:eastAsia="仿宋_GB2312"/>
          <w:color w:val="auto"/>
          <w:sz w:val="32"/>
          <w:szCs w:val="32"/>
          <w:highlight w:val="none"/>
          <w:lang w:val="en-US" w:eastAsia="zh-CN"/>
        </w:rPr>
        <w:t>和自治区委编办《关于设立自治区交通运输厅路网监测与应急处置中心的批复》（新机编办〔2012〕71号），新疆维吾尔自治区交通运输厅路网监测与应急处置中心正式成立。路网监测与应急处置中心作为路网管理省级平台，承担着“路网监测、出行服务、应急处置”三大工作职能，汇聚了交通运输系统“建、管、养、运”各业务部门的各类信息资源。承担全区公路网日常运行监测、高速公路和重要干线公路及特大桥、隧道实时监测工作；承担公路交通量调查及全区公路网交通流量实时监测、汇总和分析工作；承担全区公路交通突发事件应急值守和应急信息报送以及重点公路交通突发事件处置有关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新疆维吾尔自治区交通运输厅路网监测与应急处置中心</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7</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6</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1</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新疆维吾尔自治区交通运输厅路网监测与应急处置中心无下属预算单位，下设3个处室，分别是：路网运行监测科、出行服务科、预警与应急科。</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340.82万元，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334.67万元，使用非财政拨款结余0.00万元，年初结转和结余6.15万元。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340.82万元，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339.30万元，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0.00万元，年末结转和结余1.53万元。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减少194.99万元</w:t>
      </w:r>
      <w:r>
        <w:rPr>
          <w:rFonts w:hint="eastAsia" w:ascii="仿宋_GB2312" w:eastAsia="仿宋_GB2312"/>
          <w:color w:val="auto"/>
          <w:spacing w:val="0"/>
          <w:sz w:val="32"/>
          <w:szCs w:val="32"/>
          <w:highlight w:val="none"/>
          <w:lang w:eastAsia="zh-CN"/>
        </w:rPr>
        <w:t>，下降36.39%，主要原因是：</w:t>
      </w:r>
      <w:r>
        <w:rPr>
          <w:rFonts w:hint="eastAsia" w:ascii="仿宋_GB2312" w:eastAsia="仿宋_GB2312"/>
          <w:color w:val="auto"/>
          <w:spacing w:val="0"/>
          <w:sz w:val="32"/>
          <w:szCs w:val="32"/>
          <w:highlight w:val="none"/>
          <w:lang w:val="en-US" w:eastAsia="zh-CN"/>
        </w:rPr>
        <w:t>2023年无非财政专项资金</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334.67</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334.65</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99.99%</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0.02</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0.01%</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本年支出339.30万元，其中：基本支出174.23万元，占51.35%；项目支出165.07万元，占48.65%；上缴上级支出0.00万元，占0.00%；经营支出0.00万元，占0.00%；对附属单位补助支出0.00万元，占0.00%。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340.81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6.15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334.65</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340.81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1.53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339.28</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增加65.24万元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增长23.67%,</w:t>
      </w:r>
      <w:r>
        <w:rPr>
          <w:rFonts w:hint="eastAsia" w:ascii="仿宋_GB2312" w:eastAsia="仿宋_GB2312"/>
          <w:color w:val="auto"/>
          <w:spacing w:val="0"/>
          <w:sz w:val="32"/>
          <w:szCs w:val="32"/>
          <w:highlight w:val="none"/>
          <w:lang w:eastAsia="zh-CN"/>
        </w:rPr>
        <w:t>主要原因是</w:t>
      </w:r>
      <w:r>
        <w:rPr>
          <w:rFonts w:hint="eastAsia" w:ascii="仿宋" w:hAnsi="仿宋" w:eastAsia="仿宋" w:cs="仿宋"/>
          <w:sz w:val="36"/>
          <w:szCs w:val="36"/>
          <w:lang w:val="en-US" w:eastAsia="zh-CN"/>
        </w:rPr>
        <w:t>：</w:t>
      </w:r>
      <w:r>
        <w:rPr>
          <w:rFonts w:hint="eastAsia" w:ascii="仿宋_GB2312" w:eastAsia="仿宋_GB2312"/>
          <w:color w:val="auto"/>
          <w:spacing w:val="0"/>
          <w:sz w:val="32"/>
          <w:szCs w:val="32"/>
          <w:highlight w:val="none"/>
          <w:lang w:val="en-US" w:eastAsia="zh-CN"/>
        </w:rPr>
        <w:t>2023年职工增资，导致财政拨款收入支出总体比上年有所增加。与年初预算相比，年初预算数</w:t>
      </w:r>
      <w:r>
        <w:rPr>
          <w:rFonts w:hint="eastAsia" w:ascii="仿宋_GB2312" w:eastAsia="仿宋_GB2312"/>
          <w:color w:val="auto"/>
          <w:spacing w:val="0"/>
          <w:sz w:val="32"/>
          <w:szCs w:val="32"/>
          <w:highlight w:val="none"/>
          <w:lang w:val="zh-CN" w:eastAsia="zh-CN"/>
        </w:rPr>
        <w:t>292.88</w:t>
      </w:r>
      <w:r>
        <w:rPr>
          <w:rFonts w:hint="eastAsia" w:ascii="仿宋_GB2312" w:eastAsia="仿宋_GB2312"/>
          <w:color w:val="auto"/>
          <w:spacing w:val="0"/>
          <w:sz w:val="32"/>
          <w:szCs w:val="32"/>
          <w:highlight w:val="none"/>
          <w:lang w:val="en-US" w:eastAsia="zh-CN"/>
        </w:rPr>
        <w:t>万元，决算数</w:t>
      </w:r>
      <w:r>
        <w:rPr>
          <w:rFonts w:hint="eastAsia" w:ascii="仿宋_GB2312" w:eastAsia="仿宋_GB2312"/>
          <w:color w:val="auto"/>
          <w:spacing w:val="0"/>
          <w:sz w:val="32"/>
          <w:szCs w:val="32"/>
          <w:highlight w:val="none"/>
          <w:lang w:val="zh-CN" w:eastAsia="zh-CN"/>
        </w:rPr>
        <w:t>340.81</w:t>
      </w:r>
      <w:r>
        <w:rPr>
          <w:rFonts w:hint="eastAsia" w:ascii="仿宋_GB2312" w:eastAsia="仿宋_GB2312"/>
          <w:color w:val="auto"/>
          <w:spacing w:val="0"/>
          <w:sz w:val="32"/>
          <w:szCs w:val="32"/>
          <w:highlight w:val="none"/>
          <w:lang w:val="en-US" w:eastAsia="zh-CN"/>
        </w:rPr>
        <w:t>万元，预决算差异率16.37%，主要原因是：2023年人员经费、公用经费调整增加，预算支出增加人员增资。</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2023年度一般公共预算财政拨款支出339.28万元，占本年支出合计的</w:t>
      </w:r>
      <w:r>
        <w:rPr>
          <w:rFonts w:hint="eastAsia" w:ascii="仿宋_GB2312" w:eastAsia="仿宋_GB2312"/>
          <w:color w:val="auto"/>
          <w:spacing w:val="0"/>
          <w:sz w:val="32"/>
          <w:szCs w:val="32"/>
          <w:highlight w:val="none"/>
          <w:lang w:val="zh-CN" w:eastAsia="zh-CN"/>
        </w:rPr>
        <w:t>99.99%</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增加69.86万元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增长25.93%,</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由于2023年职工增资，导致财政拨款收入支出总体比上年有所增加。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292.88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339.28</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15.84%</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2023年年中增资，人员经费较年初预算增加。</w:t>
      </w:r>
      <w:bookmarkStart w:id="48" w:name="_GoBack"/>
      <w:bookmarkEnd w:id="48"/>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44.30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13.06%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10.66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3.14%</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highlight w:val="none"/>
          <w:lang w:val="zh-CN" w:eastAsia="zh-CN" w:bidi="ar-SA"/>
        </w:rPr>
        <w:t>3.交通运输支出（类）</w:t>
      </w:r>
      <w:r>
        <w:rPr>
          <w:rFonts w:hint="eastAsia" w:ascii="仿宋_GB2312" w:hAnsi="Times New Roman" w:eastAsia="仿宋_GB2312" w:cs="Times New Roman"/>
          <w:color w:val="auto"/>
          <w:spacing w:val="0"/>
          <w:kern w:val="2"/>
          <w:sz w:val="32"/>
          <w:szCs w:val="32"/>
          <w:highlight w:val="none"/>
          <w:lang w:val="zh-CN" w:eastAsia="zh-CN" w:bidi="ar-SA"/>
        </w:rPr>
        <w:t>275.50</w:t>
      </w:r>
      <w:r>
        <w:rPr>
          <w:rFonts w:hint="default" w:ascii="仿宋_GB2312" w:hAnsi="Times New Roman" w:eastAsia="仿宋_GB2312" w:cs="Times New Roman"/>
          <w:color w:val="auto"/>
          <w:spacing w:val="0"/>
          <w:kern w:val="2"/>
          <w:sz w:val="32"/>
          <w:szCs w:val="32"/>
          <w:highlight w:val="none"/>
          <w:lang w:val="zh-CN" w:eastAsia="zh-CN" w:bidi="ar-SA"/>
        </w:rPr>
        <w:t xml:space="preserve">万元，占 </w:t>
      </w:r>
      <w:r>
        <w:rPr>
          <w:rFonts w:hint="eastAsia" w:ascii="仿宋_GB2312" w:eastAsia="仿宋_GB2312" w:cs="Times New Roman"/>
          <w:color w:val="auto"/>
          <w:spacing w:val="0"/>
          <w:kern w:val="2"/>
          <w:sz w:val="32"/>
          <w:szCs w:val="32"/>
          <w:highlight w:val="none"/>
          <w:lang w:val="zh-CN" w:eastAsia="zh-CN" w:bidi="ar-SA"/>
        </w:rPr>
        <w:t>81.20%</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red"/>
          <w:lang w:val="zh-CN" w:eastAsia="zh-CN" w:bidi="ar-SA"/>
        </w:rPr>
      </w:pPr>
      <w:r>
        <w:rPr>
          <w:rFonts w:hint="eastAsia" w:ascii="仿宋_GB2312"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8.82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2.60%</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1.卫生健康支出（类）行政事业单位医疗（款）事业单位医疗（项）:支出决算数为5.51万元，比上年决算减少0.86万元，下降13.50%，主要原因是：2023年离退休人员不缴纳医疗保险，此项费用退回财政</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2.卫生健康支出（类）行政事业单位医疗（款）公务员医疗补助（项）:支出决算数为5.15万元，比上年决算增加0.19万元，增长3.83%，主要原因是：2023年人员经费调整增加。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3.住房保障支出（类）住房改革支出（款）住房公积金（项）:支出决算数为8.82万元，比上年决算增加0.49万元，增长5.88%，主要原因是：由于2023年职工增资，导致住房公积金基数调整，比上年有所增加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4.社会保障和就业支出（类）行政事业单位养老支出（款）事业单位离退休（项）:支出决算数为1.76万元，比上年决算增加1.52万元，增长633.33%，主要原因是：2023年在职转退休人员经费调整增加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5.社会保障和就业支出（类）行政事业单位养老支出（款）机关事业单位职业年金缴费支出（项）:支出决算数为30.78万元，比上年决算增加24.01万元，增长354.65%，主要原因是：由于2023年职工增资，比上年有所增加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6.交通运输支出（类）公路水路运输（款）其他公路水路运输支出（项）:支出决算数为275.50万元，比上年决算增加44.58万元，增长19.31%，主要原因是：由于2023年职工增资，比上年有所增加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7.社会保障和就业支出（类）行政事业单位养老支出（款）机关事业单位基本养老保险缴费支出（项）:支出决算数为11.76万元，比上年决算减少0.07万元，下降0.59%，主要原因是：2023年人员在职转退休经费调整减少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174.21</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159.37</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退休费、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宋体" w:eastAsia="仿宋_GB2312" w:cs="宋体"/>
          <w:color w:val="auto"/>
          <w:kern w:val="0"/>
          <w:sz w:val="32"/>
          <w:szCs w:val="32"/>
          <w:highlight w:val="none"/>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14.84</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办公费、邮电费、差旅费、工会经费、福利费、公务用车运行维护费、其他交通费用、其他商品和服务支出。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“三公”经费支出3.34万元，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减少0.46万元，</w:t>
      </w:r>
      <w:r>
        <w:rPr>
          <w:rFonts w:hint="eastAsia" w:ascii="仿宋_GB2312" w:eastAsia="仿宋_GB2312"/>
          <w:color w:val="auto"/>
          <w:spacing w:val="0"/>
          <w:sz w:val="32"/>
          <w:szCs w:val="32"/>
          <w:highlight w:val="none"/>
          <w:lang w:val="en-US" w:eastAsia="zh-CN"/>
        </w:rPr>
        <w:t>下降12.11%,</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2023年财政拨款</w:t>
      </w:r>
      <w:r>
        <w:rPr>
          <w:rFonts w:hint="eastAsia" w:ascii="仿宋_GB2312" w:eastAsia="仿宋_GB2312"/>
          <w:color w:val="auto"/>
          <w:sz w:val="32"/>
          <w:szCs w:val="32"/>
          <w:highlight w:val="none"/>
          <w:lang w:val="zh-CN" w:eastAsia="zh-CN"/>
        </w:rPr>
        <w:t>“三公”经费支出预算厉行节约，减少公务用车量。其中：因公出国（境）费支出0.00万元，占0.00%，比上年增加0.00万元，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w:t>
      </w:r>
      <w:r>
        <w:rPr>
          <w:rFonts w:hint="eastAsia" w:ascii="仿宋_GB2312" w:eastAsia="仿宋_GB2312"/>
          <w:color w:val="auto"/>
          <w:sz w:val="32"/>
          <w:szCs w:val="32"/>
          <w:highlight w:val="none"/>
          <w:lang w:val="en-US" w:eastAsia="zh-CN"/>
        </w:rPr>
        <w:t>无</w:t>
      </w:r>
      <w:r>
        <w:rPr>
          <w:rFonts w:hint="eastAsia" w:ascii="仿宋_GB2312" w:eastAsia="仿宋_GB2312"/>
          <w:sz w:val="32"/>
          <w:szCs w:val="32"/>
          <w:highlight w:val="none"/>
        </w:rPr>
        <w:t>因公出国（境）费</w:t>
      </w:r>
      <w:r>
        <w:rPr>
          <w:rFonts w:hint="eastAsia" w:ascii="仿宋_GB2312" w:eastAsia="仿宋_GB2312"/>
          <w:color w:val="auto"/>
          <w:sz w:val="32"/>
          <w:szCs w:val="32"/>
          <w:highlight w:val="none"/>
          <w:lang w:val="zh-CN" w:eastAsia="zh-CN"/>
        </w:rPr>
        <w:t>；公务用车购置及运行维护费支出3.34万元，占100.00%，比上年减少0.46万元，</w:t>
      </w:r>
      <w:r>
        <w:rPr>
          <w:rFonts w:hint="eastAsia" w:ascii="仿宋_GB2312" w:eastAsia="仿宋_GB2312"/>
          <w:color w:val="auto"/>
          <w:spacing w:val="0"/>
          <w:sz w:val="32"/>
          <w:szCs w:val="32"/>
          <w:highlight w:val="none"/>
          <w:lang w:val="en-US" w:eastAsia="zh-CN"/>
        </w:rPr>
        <w:t>下降12.11%,</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2023年财政拨款</w:t>
      </w:r>
      <w:r>
        <w:rPr>
          <w:rFonts w:hint="eastAsia" w:ascii="仿宋_GB2312" w:eastAsia="仿宋_GB2312"/>
          <w:color w:val="auto"/>
          <w:sz w:val="32"/>
          <w:szCs w:val="32"/>
          <w:highlight w:val="none"/>
          <w:lang w:val="zh-CN" w:eastAsia="zh-CN"/>
        </w:rPr>
        <w:t>“三公”经费支出预算厉行节约；公务接待费支出0.00万元，占0.00%，比上年增加0.00万元，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lang w:eastAsia="zh-CN"/>
        </w:rPr>
        <w:t>我单位无</w:t>
      </w:r>
      <w:r>
        <w:rPr>
          <w:rFonts w:hint="eastAsia" w:ascii="仿宋_GB2312" w:eastAsia="仿宋_GB2312"/>
          <w:sz w:val="32"/>
          <w:szCs w:val="32"/>
          <w:highlight w:val="none"/>
        </w:rPr>
        <w:t>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因公出国（境）费支出0.00万元，开支内容包括我单位无因公出国（境）费。单位全年安排的因公出国（境）团组0个，因公出国（境）0人次。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公务用车购置及运行维护费3.34万元，其中：公务用车购置费0.00万元，公务用车运行维护费3.34万元。公务用车运行维护费开支内容包括</w:t>
      </w:r>
      <w:r>
        <w:rPr>
          <w:rFonts w:hint="eastAsia" w:ascii="仿宋" w:hAnsi="仿宋" w:eastAsia="仿宋" w:cs="仿宋"/>
          <w:sz w:val="36"/>
          <w:szCs w:val="36"/>
          <w:lang w:val="en-US" w:eastAsia="zh-CN"/>
        </w:rPr>
        <w:t>车</w:t>
      </w:r>
      <w:r>
        <w:rPr>
          <w:rFonts w:hint="eastAsia" w:ascii="仿宋_GB2312" w:eastAsia="仿宋_GB2312"/>
          <w:color w:val="auto"/>
          <w:sz w:val="32"/>
          <w:szCs w:val="32"/>
          <w:highlight w:val="none"/>
          <w:lang w:val="en-US" w:eastAsia="zh-CN"/>
        </w:rPr>
        <w:t>辆保险、维修费、公务用车燃料费、过路过桥费</w:t>
      </w:r>
      <w:r>
        <w:rPr>
          <w:rFonts w:hint="eastAsia" w:ascii="仿宋_GB2312" w:eastAsia="仿宋_GB2312"/>
          <w:color w:val="auto"/>
          <w:sz w:val="32"/>
          <w:szCs w:val="32"/>
          <w:highlight w:val="none"/>
          <w:lang w:val="zh-CN" w:eastAsia="zh-CN"/>
        </w:rPr>
        <w:t>。公务用车购置数0辆，公务用车保有量1辆。国有资产占用情况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3辆，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2辆车为通信保障专用车辆，经费由项目专用经费保障</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color w:val="auto"/>
          <w:sz w:val="32"/>
          <w:szCs w:val="32"/>
          <w:highlight w:val="none"/>
          <w:lang w:val="en-US" w:eastAsia="zh-CN"/>
        </w:rPr>
        <w:t>我单位无公务接待费</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预算数3.34万元，决算数3.34万元，预决算差异率0.00%，主要原因是：严格按照财政预算执行，执行率</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color w:val="auto"/>
          <w:sz w:val="32"/>
          <w:szCs w:val="32"/>
          <w:highlight w:val="none"/>
          <w:lang w:val="en-US" w:eastAsia="zh-CN"/>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预算数3.34万元，决算数3.34万元，预决算差异率0.00%，主要原因是：严格按照财政预算执行，执行率</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320" w:firstLineChars="100"/>
        <w:jc w:val="left"/>
        <w:textAlignment w:val="auto"/>
        <w:outlineLvl w:val="1"/>
        <w:rPr>
          <w:rFonts w:hint="eastAsia" w:ascii="仿宋_GB2312" w:eastAsia="仿宋_GB2312"/>
          <w:color w:val="auto"/>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highlight w:val="none"/>
          <w:lang w:val="zh-CN" w:eastAsia="zh-CN"/>
        </w:rPr>
      </w:pPr>
      <w:bookmarkStart w:id="24" w:name="_Toc26704"/>
      <w:bookmarkStart w:id="25" w:name="_Toc227"/>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新疆维吾尔自治区交通运输厅路网监测与应急处置中心（事业单位）公用经费支出14.84万元，</w:t>
      </w:r>
      <w:r>
        <w:rPr>
          <w:rFonts w:hint="eastAsia" w:ascii="仿宋_GB2312" w:hAnsi="仿宋_GB2312" w:eastAsia="仿宋_GB2312" w:cs="仿宋_GB2312"/>
          <w:color w:val="auto"/>
          <w:sz w:val="32"/>
          <w:szCs w:val="32"/>
          <w:highlight w:val="none"/>
          <w:lang w:val="zh-CN" w:eastAsia="zh-CN"/>
        </w:rPr>
        <w:t>比上年增加4.70万元，增长46.35%，主要原因是：</w:t>
      </w:r>
      <w:r>
        <w:rPr>
          <w:rFonts w:hint="eastAsia" w:ascii="仿宋_GB2312" w:hAnsi="仿宋_GB2312" w:eastAsia="仿宋_GB2312" w:cs="仿宋_GB2312"/>
          <w:color w:val="auto"/>
          <w:sz w:val="32"/>
          <w:szCs w:val="32"/>
          <w:highlight w:val="none"/>
          <w:lang w:val="en-US" w:eastAsia="zh-CN"/>
        </w:rPr>
        <w:t>2023年人员工资增资与之相关工会经费、办公经费相应增加</w:t>
      </w:r>
      <w:r>
        <w:rPr>
          <w:rFonts w:hint="eastAsia" w:ascii="仿宋_GB2312" w:hAnsi="仿宋_GB2312" w:eastAsia="仿宋_GB2312" w:cs="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eastAsia" w:ascii="仿宋_GB2312" w:hAnsi="仿宋_GB2312" w:eastAsia="仿宋_GB2312" w:cs="仿宋_GB2312"/>
          <w:color w:val="auto"/>
          <w:sz w:val="32"/>
          <w:szCs w:val="32"/>
          <w:highlight w:val="none"/>
          <w:lang w:val="zh-CN" w:eastAsia="zh-CN"/>
        </w:rPr>
        <w:t>110.69万元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其中：政府采购货物支出2.91万元、政府采购工程支出0.00万元、政府采购服务支出107.77万元。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授予中小企业合同金额21.46万元，占政府采购支出总额的19.39%，其中：授予小微企业合同金额21.46万元，占政府采购支出总额的19.39%</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0"/>
          <w:highlight w:val="none"/>
          <w:lang w:val="zh-CN" w:eastAsia="zh-CN"/>
        </w:rPr>
      </w:pPr>
      <w:bookmarkStart w:id="26" w:name="_Toc8391"/>
      <w:bookmarkStart w:id="27" w:name="_Toc4591"/>
      <w:r>
        <w:rPr>
          <w:rFonts w:hint="eastAsia" w:ascii="仿宋_GB2312" w:hAnsi="仿宋_GB2312" w:eastAsia="仿宋_GB2312" w:cs="仿宋_GB2312"/>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329.23</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屋0.00平方米，价值0.00万元。车辆3辆，价值305.72万元，其中：副部（省）级及以上领导用车0辆、主要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用车0辆、其他用车3辆，其他用车主要是：</w:t>
      </w:r>
      <w:r>
        <w:rPr>
          <w:rFonts w:hint="eastAsia" w:ascii="仿宋_GB2312" w:hAnsi="仿宋_GB2312" w:eastAsia="仿宋_GB2312" w:cs="仿宋_GB2312"/>
          <w:color w:val="auto"/>
          <w:sz w:val="32"/>
          <w:szCs w:val="32"/>
          <w:highlight w:val="none"/>
          <w:lang w:val="en-US" w:eastAsia="zh-CN"/>
        </w:rPr>
        <w:t>2辆通信保障专用车辆和1辆工作保障车辆</w:t>
      </w:r>
      <w:r>
        <w:rPr>
          <w:rFonts w:hint="eastAsia" w:ascii="仿宋_GB2312" w:hAnsi="仿宋_GB2312" w:eastAsia="仿宋_GB2312" w:cs="仿宋_GB2312"/>
          <w:color w:val="auto"/>
          <w:sz w:val="32"/>
          <w:szCs w:val="32"/>
          <w:highlight w:val="none"/>
          <w:lang w:val="zh-CN" w:eastAsia="zh-CN"/>
        </w:rPr>
        <w:t>；单价100万元（含）以上设备（不含车辆）0</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en-US" w:eastAsia="zh-Hans"/>
        </w:rPr>
      </w:pPr>
      <w:r>
        <w:rPr>
          <w:rFonts w:hint="eastAsia" w:ascii="仿宋_GB2312" w:hAnsi="仿宋_GB2312" w:eastAsia="仿宋_GB2312" w:cs="仿宋_GB2312"/>
          <w:color w:val="auto"/>
          <w:sz w:val="32"/>
          <w:szCs w:val="32"/>
          <w:highlight w:val="none"/>
          <w:lang w:val="en-US" w:eastAsia="zh-CN"/>
        </w:rPr>
        <w:t>根据预算绩效管理要求，预算绩效评价项目1个，全年预算数165.07万元，全年执行数165.07万元。预算绩效管理取得的成效：一是项目资金运行管理规范；二是有效发挥项目资金使用效率。发现的问题及原因：一是绩效目标设定不合理，在项目实施过程中，个别项目的绩效目标设定不合理，导致项目实施过程中难以评价是否达到预期的绩效目标；二是绩效不可量化，个别项目目标难以量化，绩效考核指标有待完善。下一步改进措施：一是合理设立绩效目标，在项目前期，制定绩效目标时要保证目标合理具体；二是使用科学方法量化绩效目标，使量化后的绩效可以更加客观地反映出项目的实际情况。具体项目自评情况见附件。</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90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7A87" w:usb1="80000000" w:usb2="00000008"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NGZlNDJjM2FjN2QwYmI4MzIzMWEzYzc4ZjJiZDMifQ=="/>
    <w:docVar w:name="KSO_WPS_MARK_KEY" w:val="41ee2a61-2d54-4f93-83be-afdb9a40d732"/>
  </w:docVars>
  <w:rsids>
    <w:rsidRoot w:val="00000000"/>
    <w:rsid w:val="00213C59"/>
    <w:rsid w:val="003210CE"/>
    <w:rsid w:val="00B70D59"/>
    <w:rsid w:val="00F52A8D"/>
    <w:rsid w:val="019404F8"/>
    <w:rsid w:val="01C30B6B"/>
    <w:rsid w:val="01EC3E90"/>
    <w:rsid w:val="01ED22F2"/>
    <w:rsid w:val="023D17FE"/>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B3F1D"/>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03928"/>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2D71F7"/>
    <w:rsid w:val="2A651E5F"/>
    <w:rsid w:val="2AF5378F"/>
    <w:rsid w:val="2B960845"/>
    <w:rsid w:val="2BB94DBF"/>
    <w:rsid w:val="2BF37410"/>
    <w:rsid w:val="2C6F314E"/>
    <w:rsid w:val="2CC206BE"/>
    <w:rsid w:val="2D1136DF"/>
    <w:rsid w:val="2D1E6D44"/>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7A170A"/>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6D4E6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7A1ABF"/>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484FA8"/>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16703"/>
    <w:rsid w:val="56FF28AF"/>
    <w:rsid w:val="572A7373"/>
    <w:rsid w:val="57540E7D"/>
    <w:rsid w:val="577B4878"/>
    <w:rsid w:val="57926973"/>
    <w:rsid w:val="57D1482F"/>
    <w:rsid w:val="58175352"/>
    <w:rsid w:val="581F2200"/>
    <w:rsid w:val="583059FA"/>
    <w:rsid w:val="584A0929"/>
    <w:rsid w:val="58CD2491"/>
    <w:rsid w:val="58F5279F"/>
    <w:rsid w:val="591B41B2"/>
    <w:rsid w:val="59254A26"/>
    <w:rsid w:val="59326325"/>
    <w:rsid w:val="593D0611"/>
    <w:rsid w:val="594337BC"/>
    <w:rsid w:val="595C505B"/>
    <w:rsid w:val="595E55C3"/>
    <w:rsid w:val="596E7E20"/>
    <w:rsid w:val="5A5D23AA"/>
    <w:rsid w:val="5A60780B"/>
    <w:rsid w:val="5AB34579"/>
    <w:rsid w:val="5AB40E78"/>
    <w:rsid w:val="5AF80B40"/>
    <w:rsid w:val="5AFC6609"/>
    <w:rsid w:val="5B113480"/>
    <w:rsid w:val="5BD456CE"/>
    <w:rsid w:val="5C0D1F49"/>
    <w:rsid w:val="5CBB0CE2"/>
    <w:rsid w:val="5CC05393"/>
    <w:rsid w:val="5CC17177"/>
    <w:rsid w:val="5CF306BC"/>
    <w:rsid w:val="5D3F3D64"/>
    <w:rsid w:val="5D833043"/>
    <w:rsid w:val="5DD92690"/>
    <w:rsid w:val="5DDB1CFD"/>
    <w:rsid w:val="5E7E6D93"/>
    <w:rsid w:val="5E82459B"/>
    <w:rsid w:val="5ED44800"/>
    <w:rsid w:val="5F350BDE"/>
    <w:rsid w:val="5F571AB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BC67E4"/>
    <w:rsid w:val="68DB0208"/>
    <w:rsid w:val="68FB170C"/>
    <w:rsid w:val="691B3D98"/>
    <w:rsid w:val="693748F0"/>
    <w:rsid w:val="69846A0E"/>
    <w:rsid w:val="69AA1366"/>
    <w:rsid w:val="69AD798C"/>
    <w:rsid w:val="69D005C0"/>
    <w:rsid w:val="69D80B96"/>
    <w:rsid w:val="69F47AD7"/>
    <w:rsid w:val="6A2C39D4"/>
    <w:rsid w:val="6B244679"/>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133CDF"/>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10C06"/>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5D2C2D"/>
    <w:rsid w:val="7F611CBA"/>
    <w:rsid w:val="7FB45F21"/>
    <w:rsid w:val="7FE57088"/>
    <w:rsid w:val="7FF37FA3"/>
    <w:rsid w:val="CD3E7FCE"/>
    <w:rsid w:val="D7CCB720"/>
    <w:rsid w:val="DF17435E"/>
    <w:rsid w:val="F7FF75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6621</Words>
  <Characters>22343</Characters>
  <Lines>0</Lines>
  <Paragraphs>0</Paragraphs>
  <TotalTime>278</TotalTime>
  <ScaleCrop>false</ScaleCrop>
  <LinksUpToDate>false</LinksUpToDate>
  <CharactersWithSpaces>22618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GXR</dc:creator>
  <cp:lastModifiedBy>jtt</cp:lastModifiedBy>
  <dcterms:modified xsi:type="dcterms:W3CDTF">2024-11-05T17:22:13Z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F836FB9BF6A94860BD20A38476CB8E21_13</vt:lpwstr>
  </property>
</Properties>
</file>