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F19A1">
      <w:pPr>
        <w:rPr>
          <w:rFonts w:ascii="黑体" w:hAnsi="黑体" w:eastAsia="黑体"/>
          <w:sz w:val="32"/>
          <w:szCs w:val="32"/>
          <w:highlight w:val="none"/>
        </w:rPr>
      </w:pPr>
      <w:r>
        <w:rPr>
          <w:rFonts w:hint="eastAsia" w:ascii="黑体" w:hAnsi="黑体" w:eastAsia="黑体"/>
          <w:sz w:val="32"/>
          <w:szCs w:val="32"/>
          <w:highlight w:val="none"/>
        </w:rPr>
        <w:t xml:space="preserve">                                                                                                                       </w:t>
      </w:r>
    </w:p>
    <w:p w14:paraId="5C95A2E1">
      <w:pPr>
        <w:jc w:val="center"/>
        <w:rPr>
          <w:rFonts w:ascii="方正小标宋_GBK" w:hAnsi="宋体" w:eastAsia="方正小标宋_GBK"/>
          <w:sz w:val="44"/>
          <w:szCs w:val="44"/>
          <w:highlight w:val="none"/>
        </w:rPr>
      </w:pPr>
    </w:p>
    <w:p w14:paraId="0BEA0B43">
      <w:pPr>
        <w:jc w:val="cente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t>新疆公路建设（集团）有限责任公司</w:t>
      </w:r>
    </w:p>
    <w:p w14:paraId="75B6D559">
      <w:pPr>
        <w:jc w:val="cente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t xml:space="preserve"> 2023年度部门决算</w:t>
      </w:r>
    </w:p>
    <w:p w14:paraId="45004B6C">
      <w:pPr>
        <w:jc w:val="cente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5E7909F4">
      <w:pP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br w:type="page"/>
      </w:r>
    </w:p>
    <w:p w14:paraId="53811759">
      <w:pPr>
        <w:jc w:val="center"/>
        <w:rPr>
          <w:rFonts w:ascii="仿宋_GB2312" w:hAnsi="仿宋_GB2312" w:eastAsia="仿宋_GB2312" w:cs="仿宋_GB2312"/>
          <w:bCs/>
          <w:kern w:val="0"/>
          <w:sz w:val="32"/>
          <w:szCs w:val="32"/>
          <w:highlight w:val="none"/>
        </w:rPr>
      </w:pPr>
      <w:r>
        <w:rPr>
          <w:rFonts w:hint="eastAsia" w:ascii="仿宋_GB2312" w:hAnsi="仿宋_GB2312" w:eastAsia="仿宋_GB2312" w:cs="仿宋_GB2312"/>
          <w:b/>
          <w:kern w:val="0"/>
          <w:sz w:val="36"/>
          <w:szCs w:val="36"/>
          <w:highlight w:val="none"/>
        </w:rPr>
        <w:t>目  录</w:t>
      </w:r>
    </w:p>
    <w:p w14:paraId="27BD512A">
      <w:pPr>
        <w:pStyle w:val="6"/>
        <w:tabs>
          <w:tab w:val="right" w:pos="8306"/>
        </w:tabs>
        <w:rPr>
          <w:rFonts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highlight w:val="none"/>
        </w:rPr>
        <w:fldChar w:fldCharType="begin"/>
      </w:r>
      <w:r>
        <w:rPr>
          <w:highlight w:val="none"/>
        </w:rPr>
        <w:instrText xml:space="preserve"> HYPERLINK \l "_Toc32314" </w:instrText>
      </w:r>
      <w:r>
        <w:rPr>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50F53A3E">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"_Toc30567" </w:instrText>
      </w:r>
      <w:r>
        <w:rPr>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bCs/>
          <w:kern w:val="0"/>
          <w:sz w:val="32"/>
          <w:szCs w:val="32"/>
          <w:highlight w:val="none"/>
        </w:rPr>
        <w:fldChar w:fldCharType="end"/>
      </w:r>
    </w:p>
    <w:p w14:paraId="54916FDF">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"_Toc2151" </w:instrText>
      </w:r>
      <w:r>
        <w:rPr>
          <w:highlight w:val="none"/>
        </w:rPr>
        <w:fldChar w:fldCharType="separate"/>
      </w:r>
      <w:r>
        <w:rPr>
          <w:rFonts w:hint="eastAsia" w:ascii="仿宋_GB2312" w:hAnsi="仿宋_GB2312" w:eastAsia="仿宋_GB2312" w:cs="仿宋_GB2312"/>
          <w:bCs/>
          <w:kern w:val="0"/>
          <w:sz w:val="32"/>
          <w:szCs w:val="32"/>
          <w:highlight w:val="none"/>
        </w:rPr>
        <w:t>二、机构设置及人员情况</w:t>
      </w:r>
      <w:r>
        <w:rPr>
          <w:rFonts w:hint="eastAsia" w:ascii="仿宋_GB2312" w:hAnsi="仿宋_GB2312" w:eastAsia="仿宋_GB2312" w:cs="仿宋_GB2312"/>
          <w:bCs/>
          <w:kern w:val="0"/>
          <w:sz w:val="32"/>
          <w:szCs w:val="32"/>
          <w:highlight w:val="none"/>
        </w:rPr>
        <w:fldChar w:fldCharType="end"/>
      </w:r>
    </w:p>
    <w:p w14:paraId="0738C0A2">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"_Toc29374" </w:instrText>
      </w:r>
      <w:r>
        <w:rPr>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14:paraId="43C2B9A3">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"_Toc25314" </w:instrText>
      </w:r>
      <w:r>
        <w:rPr>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bCs/>
          <w:kern w:val="0"/>
          <w:sz w:val="32"/>
          <w:szCs w:val="32"/>
          <w:highlight w:val="none"/>
        </w:rPr>
        <w:fldChar w:fldCharType="end"/>
      </w:r>
    </w:p>
    <w:p w14:paraId="579751A2">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"_Toc12142" </w:instrText>
      </w:r>
      <w:r>
        <w:rPr>
          <w:highlight w:val="none"/>
        </w:rPr>
        <w:fldChar w:fldCharType="separate"/>
      </w:r>
      <w:r>
        <w:rPr>
          <w:rFonts w:hint="eastAsia" w:ascii="仿宋_GB2312" w:hAnsi="仿宋_GB2312" w:eastAsia="仿宋_GB2312" w:cs="仿宋_GB2312"/>
          <w:bCs/>
          <w:kern w:val="0"/>
          <w:sz w:val="32"/>
          <w:szCs w:val="32"/>
          <w:highlight w:val="none"/>
        </w:rPr>
        <w:t>二、收入决算情况说明</w:t>
      </w:r>
      <w:r>
        <w:rPr>
          <w:rFonts w:hint="eastAsia" w:ascii="仿宋_GB2312" w:hAnsi="仿宋_GB2312" w:eastAsia="仿宋_GB2312" w:cs="仿宋_GB2312"/>
          <w:bCs/>
          <w:kern w:val="0"/>
          <w:sz w:val="32"/>
          <w:szCs w:val="32"/>
          <w:highlight w:val="none"/>
        </w:rPr>
        <w:fldChar w:fldCharType="end"/>
      </w:r>
    </w:p>
    <w:p w14:paraId="30A37F6A">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"_Toc13201" </w:instrText>
      </w:r>
      <w:r>
        <w:rPr>
          <w:highlight w:val="none"/>
        </w:rPr>
        <w:fldChar w:fldCharType="separate"/>
      </w:r>
      <w:r>
        <w:rPr>
          <w:rFonts w:hint="eastAsia" w:ascii="仿宋_GB2312" w:hAnsi="仿宋_GB2312" w:eastAsia="仿宋_GB2312" w:cs="仿宋_GB2312"/>
          <w:bCs/>
          <w:kern w:val="0"/>
          <w:sz w:val="32"/>
          <w:szCs w:val="32"/>
          <w:highlight w:val="none"/>
        </w:rPr>
        <w:t>三、支出决算情况说明</w:t>
      </w:r>
      <w:r>
        <w:rPr>
          <w:rFonts w:hint="eastAsia" w:ascii="仿宋_GB2312" w:hAnsi="仿宋_GB2312" w:eastAsia="仿宋_GB2312" w:cs="仿宋_GB2312"/>
          <w:bCs/>
          <w:kern w:val="0"/>
          <w:sz w:val="32"/>
          <w:szCs w:val="32"/>
          <w:highlight w:val="none"/>
        </w:rPr>
        <w:fldChar w:fldCharType="end"/>
      </w:r>
    </w:p>
    <w:p w14:paraId="39094177">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"_Toc26564" </w:instrText>
      </w:r>
      <w:r>
        <w:rPr>
          <w:highlight w:val="none"/>
        </w:rPr>
        <w:fldChar w:fldCharType="separate"/>
      </w:r>
      <w:r>
        <w:rPr>
          <w:rFonts w:hint="eastAsia" w:ascii="仿宋_GB2312" w:hAnsi="仿宋_GB2312" w:eastAsia="仿宋_GB2312" w:cs="仿宋_GB2312"/>
          <w:bCs/>
          <w:kern w:val="0"/>
          <w:sz w:val="32"/>
          <w:szCs w:val="32"/>
          <w:highlight w:val="none"/>
        </w:rPr>
        <w:t>四、财政拨款收入支出决算总体情况说明</w:t>
      </w:r>
      <w:r>
        <w:rPr>
          <w:rFonts w:hint="eastAsia" w:ascii="仿宋_GB2312" w:hAnsi="仿宋_GB2312" w:eastAsia="仿宋_GB2312" w:cs="仿宋_GB2312"/>
          <w:bCs/>
          <w:kern w:val="0"/>
          <w:sz w:val="32"/>
          <w:szCs w:val="32"/>
          <w:highlight w:val="none"/>
        </w:rPr>
        <w:fldChar w:fldCharType="end"/>
      </w:r>
    </w:p>
    <w:p w14:paraId="20E44E7B">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"_Toc20360" </w:instrText>
      </w:r>
      <w:r>
        <w:rPr>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五、一般公共预算财政拨款支出决算情况说明</w:t>
      </w:r>
      <w:r>
        <w:rPr>
          <w:rFonts w:hint="eastAsia" w:ascii="仿宋_GB2312" w:hAnsi="仿宋_GB2312" w:eastAsia="仿宋_GB2312" w:cs="仿宋_GB2312"/>
          <w:bCs/>
          <w:kern w:val="0"/>
          <w:sz w:val="32"/>
          <w:szCs w:val="32"/>
          <w:highlight w:val="none"/>
        </w:rPr>
        <w:fldChar w:fldCharType="end"/>
      </w:r>
    </w:p>
    <w:p w14:paraId="13EC8CB1">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"_Toc30870" </w:instrText>
      </w:r>
      <w:r>
        <w:rPr>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六、一般公共预算财政拨款基本支出决算情况说明</w:t>
      </w:r>
      <w:r>
        <w:rPr>
          <w:rFonts w:hint="eastAsia" w:ascii="仿宋_GB2312" w:hAnsi="仿宋_GB2312" w:eastAsia="仿宋_GB2312" w:cs="仿宋_GB2312"/>
          <w:bCs/>
          <w:kern w:val="0"/>
          <w:sz w:val="32"/>
          <w:szCs w:val="32"/>
          <w:highlight w:val="none"/>
        </w:rPr>
        <w:fldChar w:fldCharType="end"/>
      </w:r>
    </w:p>
    <w:p w14:paraId="17FF71B8">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"_Toc21518" </w:instrText>
      </w:r>
      <w:r>
        <w:rPr>
          <w:highlight w:val="none"/>
        </w:rPr>
        <w:fldChar w:fldCharType="separate"/>
      </w:r>
      <w:r>
        <w:rPr>
          <w:rFonts w:hint="eastAsia" w:ascii="仿宋_GB2312" w:hAnsi="仿宋_GB2312" w:eastAsia="仿宋_GB2312" w:cs="仿宋_GB2312"/>
          <w:bCs/>
          <w:kern w:val="0"/>
          <w:sz w:val="32"/>
          <w:szCs w:val="32"/>
          <w:highlight w:val="none"/>
        </w:rPr>
        <w:t>七、财政拨款“三公”经费支出决算情况说明</w:t>
      </w:r>
      <w:r>
        <w:rPr>
          <w:rFonts w:hint="eastAsia" w:ascii="仿宋_GB2312" w:hAnsi="仿宋_GB2312" w:eastAsia="仿宋_GB2312" w:cs="仿宋_GB2312"/>
          <w:bCs/>
          <w:kern w:val="0"/>
          <w:sz w:val="32"/>
          <w:szCs w:val="32"/>
          <w:highlight w:val="none"/>
        </w:rPr>
        <w:fldChar w:fldCharType="end"/>
      </w:r>
    </w:p>
    <w:p w14:paraId="673E3D0F">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"_Toc5810" </w:instrText>
      </w:r>
      <w:r>
        <w:rPr>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八、政府性基金预算财政拨款收入支出决算情况说明</w:t>
      </w:r>
      <w:r>
        <w:rPr>
          <w:rFonts w:hint="eastAsia" w:ascii="仿宋_GB2312" w:hAnsi="仿宋_GB2312" w:eastAsia="仿宋_GB2312" w:cs="仿宋_GB2312"/>
          <w:bCs/>
          <w:kern w:val="0"/>
          <w:sz w:val="32"/>
          <w:szCs w:val="32"/>
          <w:highlight w:val="none"/>
        </w:rPr>
        <w:fldChar w:fldCharType="end"/>
      </w:r>
    </w:p>
    <w:p w14:paraId="140F0F56">
      <w:pPr>
        <w:rPr>
          <w:highlight w:val="none"/>
        </w:rPr>
      </w:pPr>
      <w:r>
        <w:rPr>
          <w:highlight w:val="none"/>
        </w:rPr>
        <w:fldChar w:fldCharType="begin"/>
      </w:r>
      <w:r>
        <w:rPr>
          <w:highlight w:val="none"/>
        </w:rPr>
        <w:instrText xml:space="preserve"> HYPERLINK \l "_Toc5810" </w:instrText>
      </w:r>
      <w:r>
        <w:rPr>
          <w:highlight w:val="none"/>
        </w:rPr>
        <w:fldChar w:fldCharType="separate"/>
      </w:r>
      <w:r>
        <w:rPr>
          <w:rFonts w:hint="eastAsia" w:ascii="仿宋_GB2312" w:hAnsi="仿宋_GB2312" w:eastAsia="仿宋_GB2312" w:cs="仿宋_GB2312"/>
          <w:bCs/>
          <w:kern w:val="0"/>
          <w:sz w:val="32"/>
          <w:szCs w:val="32"/>
          <w:highlight w:val="none"/>
        </w:rPr>
        <w:t>九、国有资本经营预算财政拨款收入支出决算情况说明</w:t>
      </w:r>
      <w:r>
        <w:rPr>
          <w:rFonts w:hint="eastAsia" w:ascii="仿宋_GB2312" w:hAnsi="仿宋_GB2312" w:eastAsia="仿宋_GB2312" w:cs="仿宋_GB2312"/>
          <w:bCs/>
          <w:kern w:val="0"/>
          <w:sz w:val="32"/>
          <w:szCs w:val="32"/>
          <w:highlight w:val="none"/>
        </w:rPr>
        <w:fldChar w:fldCharType="end"/>
      </w:r>
    </w:p>
    <w:p w14:paraId="7C2E32CB">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"_Toc1235" </w:instrText>
      </w:r>
      <w:r>
        <w:rPr>
          <w:highlight w:val="none"/>
        </w:rPr>
        <w:fldChar w:fldCharType="separate"/>
      </w:r>
      <w:r>
        <w:rPr>
          <w:rFonts w:hint="eastAsia" w:ascii="仿宋_GB2312" w:hAnsi="仿宋_GB2312" w:eastAsia="仿宋_GB2312" w:cs="仿宋_GB2312"/>
          <w:sz w:val="32"/>
          <w:szCs w:val="32"/>
          <w:highlight w:val="none"/>
        </w:rPr>
        <w:t>十</w:t>
      </w:r>
      <w:r>
        <w:rPr>
          <w:rFonts w:hint="eastAsia" w:ascii="仿宋_GB2312" w:hAnsi="仿宋_GB2312" w:eastAsia="仿宋_GB2312" w:cs="仿宋_GB2312"/>
          <w:bCs/>
          <w:kern w:val="0"/>
          <w:sz w:val="32"/>
          <w:szCs w:val="32"/>
          <w:highlight w:val="none"/>
        </w:rPr>
        <w:t>、其他重要事项的情况说明</w:t>
      </w:r>
      <w:r>
        <w:rPr>
          <w:rFonts w:hint="eastAsia" w:ascii="仿宋_GB2312" w:hAnsi="仿宋_GB2312" w:eastAsia="仿宋_GB2312" w:cs="仿宋_GB2312"/>
          <w:bCs/>
          <w:kern w:val="0"/>
          <w:sz w:val="32"/>
          <w:szCs w:val="32"/>
          <w:highlight w:val="none"/>
        </w:rPr>
        <w:fldChar w:fldCharType="end"/>
      </w:r>
    </w:p>
    <w:p w14:paraId="785362B6">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"_Toc14519" </w:instrText>
      </w:r>
      <w:r>
        <w:rPr>
          <w:highlight w:val="none"/>
        </w:rPr>
        <w:fldChar w:fldCharType="separate"/>
      </w:r>
      <w:r>
        <w:rPr>
          <w:rFonts w:hint="eastAsia" w:ascii="仿宋_GB2312" w:hAnsi="仿宋_GB2312" w:eastAsia="仿宋_GB2312" w:cs="仿宋_GB2312"/>
          <w:sz w:val="32"/>
          <w:szCs w:val="32"/>
          <w:highlight w:val="none"/>
        </w:rPr>
        <w:t>（一）机关运行经费支出情况</w:t>
      </w:r>
      <w:r>
        <w:rPr>
          <w:rFonts w:hint="eastAsia" w:ascii="仿宋_GB2312" w:hAnsi="仿宋_GB2312" w:eastAsia="仿宋_GB2312" w:cs="仿宋_GB2312"/>
          <w:sz w:val="32"/>
          <w:szCs w:val="32"/>
          <w:highlight w:val="none"/>
        </w:rPr>
        <w:fldChar w:fldCharType="end"/>
      </w:r>
    </w:p>
    <w:p w14:paraId="5E570A3F">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"_Toc227" </w:instrText>
      </w:r>
      <w:r>
        <w:rPr>
          <w:highlight w:val="none"/>
        </w:rPr>
        <w:fldChar w:fldCharType="separate"/>
      </w:r>
      <w:r>
        <w:rPr>
          <w:rFonts w:hint="eastAsia" w:ascii="仿宋_GB2312" w:hAnsi="仿宋_GB2312" w:eastAsia="仿宋_GB2312" w:cs="仿宋_GB2312"/>
          <w:sz w:val="32"/>
          <w:szCs w:val="32"/>
          <w:highlight w:val="none"/>
        </w:rPr>
        <w:t>（二）政府采购情况</w:t>
      </w:r>
      <w:r>
        <w:rPr>
          <w:rFonts w:hint="eastAsia" w:ascii="仿宋_GB2312" w:hAnsi="仿宋_GB2312" w:eastAsia="仿宋_GB2312" w:cs="仿宋_GB2312"/>
          <w:sz w:val="32"/>
          <w:szCs w:val="32"/>
          <w:highlight w:val="none"/>
        </w:rPr>
        <w:fldChar w:fldCharType="end"/>
      </w:r>
    </w:p>
    <w:p w14:paraId="1947E87E">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"_Toc8391" </w:instrText>
      </w:r>
      <w:r>
        <w:rPr>
          <w:highlight w:val="none"/>
        </w:rPr>
        <w:fldChar w:fldCharType="separate"/>
      </w:r>
      <w:r>
        <w:rPr>
          <w:rFonts w:hint="eastAsia" w:ascii="仿宋_GB2312" w:hAnsi="仿宋_GB2312" w:eastAsia="仿宋_GB2312" w:cs="仿宋_GB2312"/>
          <w:sz w:val="32"/>
          <w:szCs w:val="32"/>
          <w:highlight w:val="none"/>
        </w:rPr>
        <w:t>（三）国有资产占用情况说明</w:t>
      </w:r>
      <w:r>
        <w:rPr>
          <w:rFonts w:hint="eastAsia" w:ascii="仿宋_GB2312" w:hAnsi="仿宋_GB2312" w:eastAsia="仿宋_GB2312" w:cs="仿宋_GB2312"/>
          <w:sz w:val="32"/>
          <w:szCs w:val="32"/>
          <w:highlight w:val="none"/>
        </w:rPr>
        <w:fldChar w:fldCharType="end"/>
      </w:r>
    </w:p>
    <w:p w14:paraId="32E67441">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"_Toc11283" </w:instrText>
      </w:r>
      <w:r>
        <w:rPr>
          <w:highlight w:val="none"/>
        </w:rPr>
        <w:fldChar w:fldCharType="separate"/>
      </w:r>
      <w:r>
        <w:rPr>
          <w:rFonts w:hint="eastAsia" w:ascii="仿宋_GB2312" w:hAnsi="仿宋_GB2312" w:eastAsia="仿宋_GB2312" w:cs="仿宋_GB2312"/>
          <w:bCs/>
          <w:kern w:val="0"/>
          <w:sz w:val="32"/>
          <w:szCs w:val="32"/>
          <w:highlight w:val="none"/>
        </w:rPr>
        <w:t>十一、预算绩效的情况说明</w:t>
      </w:r>
      <w:r>
        <w:rPr>
          <w:rFonts w:hint="eastAsia" w:ascii="仿宋_GB2312" w:hAnsi="仿宋_GB2312" w:eastAsia="仿宋_GB2312" w:cs="仿宋_GB2312"/>
          <w:bCs/>
          <w:kern w:val="0"/>
          <w:sz w:val="32"/>
          <w:szCs w:val="32"/>
          <w:highlight w:val="none"/>
        </w:rPr>
        <w:fldChar w:fldCharType="end"/>
      </w:r>
    </w:p>
    <w:p w14:paraId="6817A6AD">
      <w:pPr>
        <w:pStyle w:val="7"/>
        <w:tabs>
          <w:tab w:val="right" w:pos="8306"/>
        </w:tabs>
        <w:ind w:left="0" w:left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14:paraId="31325E62">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"_Toc3250" </w:instrText>
      </w:r>
      <w:r>
        <w:rPr>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14:paraId="2882224F">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"_Toc22784" </w:instrText>
      </w:r>
      <w:r>
        <w:rPr>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19405B8A">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"_Toc2183" </w:instrText>
      </w:r>
      <w:r>
        <w:rPr>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bCs/>
          <w:kern w:val="0"/>
          <w:sz w:val="32"/>
          <w:szCs w:val="32"/>
          <w:highlight w:val="none"/>
        </w:rPr>
        <w:fldChar w:fldCharType="end"/>
      </w:r>
    </w:p>
    <w:p w14:paraId="1DF7268F">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"_Toc24532" </w:instrText>
      </w:r>
      <w:r>
        <w:rPr>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bCs/>
          <w:kern w:val="0"/>
          <w:sz w:val="32"/>
          <w:szCs w:val="32"/>
          <w:highlight w:val="none"/>
        </w:rPr>
        <w:fldChar w:fldCharType="end"/>
      </w:r>
    </w:p>
    <w:p w14:paraId="4C343816">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"_Toc32434" </w:instrText>
      </w:r>
      <w:r>
        <w:rPr>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bCs/>
          <w:kern w:val="0"/>
          <w:sz w:val="32"/>
          <w:szCs w:val="32"/>
          <w:highlight w:val="none"/>
        </w:rPr>
        <w:fldChar w:fldCharType="end"/>
      </w:r>
    </w:p>
    <w:p w14:paraId="2D3E0D53">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"_Toc28786" </w:instrText>
      </w:r>
      <w:r>
        <w:rPr>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bCs/>
          <w:kern w:val="0"/>
          <w:sz w:val="32"/>
          <w:szCs w:val="32"/>
          <w:highlight w:val="none"/>
        </w:rPr>
        <w:fldChar w:fldCharType="end"/>
      </w:r>
    </w:p>
    <w:p w14:paraId="47434280">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"_Toc14869" </w:instrText>
      </w:r>
      <w:r>
        <w:rPr>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bCs/>
          <w:kern w:val="0"/>
          <w:sz w:val="32"/>
          <w:szCs w:val="32"/>
          <w:highlight w:val="none"/>
        </w:rPr>
        <w:fldChar w:fldCharType="end"/>
      </w:r>
    </w:p>
    <w:p w14:paraId="4DED8519">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"_Toc8884" </w:instrText>
      </w:r>
      <w:r>
        <w:rPr>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bCs/>
          <w:kern w:val="0"/>
          <w:sz w:val="32"/>
          <w:szCs w:val="32"/>
          <w:highlight w:val="none"/>
        </w:rPr>
        <w:fldChar w:fldCharType="end"/>
      </w:r>
    </w:p>
    <w:p w14:paraId="386ED10A">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"_Toc29106" </w:instrText>
      </w:r>
      <w:r>
        <w:rPr>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bCs/>
          <w:kern w:val="0"/>
          <w:sz w:val="32"/>
          <w:szCs w:val="32"/>
          <w:highlight w:val="none"/>
        </w:rPr>
        <w:fldChar w:fldCharType="end"/>
      </w:r>
    </w:p>
    <w:p w14:paraId="4AA1FF46">
      <w:pPr>
        <w:pStyle w:val="7"/>
        <w:tabs>
          <w:tab w:val="right" w:pos="8306"/>
        </w:tabs>
        <w:ind w:left="0" w:leftChars="0"/>
        <w:rPr>
          <w:rFonts w:ascii="仿宋_GB2312" w:hAnsi="仿宋_GB2312" w:eastAsia="仿宋_GB2312" w:cs="仿宋_GB2312"/>
          <w:bCs/>
          <w:kern w:val="0"/>
          <w:sz w:val="32"/>
          <w:szCs w:val="32"/>
          <w:highlight w:val="none"/>
        </w:rPr>
      </w:pPr>
      <w:r>
        <w:rPr>
          <w:highlight w:val="none"/>
        </w:rPr>
        <w:fldChar w:fldCharType="begin"/>
      </w:r>
      <w:r>
        <w:rPr>
          <w:highlight w:val="none"/>
        </w:rPr>
        <w:instrText xml:space="preserve"> HYPERLINK \l "_Toc7643" </w:instrText>
      </w:r>
      <w:r>
        <w:rPr>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14:paraId="2FE09F82">
      <w:pPr>
        <w:pStyle w:val="7"/>
        <w:tabs>
          <w:tab w:val="right" w:pos="8306"/>
        </w:tabs>
        <w:ind w:left="0" w:leftChars="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九、《国有资本经营预算财政拨款收入支出决算表》</w:t>
      </w:r>
    </w:p>
    <w:p w14:paraId="63E2BEC1">
      <w:pPr>
        <w:rPr>
          <w:highlight w:val="none"/>
        </w:rPr>
      </w:pPr>
      <w:r>
        <w:rPr>
          <w:rFonts w:hint="eastAsia" w:ascii="仿宋_GB2312" w:hAnsi="仿宋_GB2312" w:eastAsia="仿宋_GB2312" w:cs="仿宋_GB2312"/>
          <w:sz w:val="32"/>
          <w:szCs w:val="32"/>
          <w:highlight w:val="none"/>
        </w:rPr>
        <w:fldChar w:fldCharType="end"/>
      </w:r>
    </w:p>
    <w:p w14:paraId="6E3136AA">
      <w:pPr>
        <w:rPr>
          <w:rFonts w:ascii="仿宋_GB2312" w:eastAsia="仿宋_GB2312"/>
          <w:sz w:val="32"/>
          <w:szCs w:val="32"/>
          <w:highlight w:val="none"/>
        </w:rPr>
      </w:pPr>
      <w:r>
        <w:rPr>
          <w:rFonts w:hint="eastAsia" w:ascii="仿宋_GB2312" w:eastAsia="仿宋_GB2312"/>
          <w:sz w:val="32"/>
          <w:szCs w:val="32"/>
          <w:highlight w:val="none"/>
        </w:rPr>
        <w:br w:type="page"/>
      </w:r>
    </w:p>
    <w:p w14:paraId="17343A02">
      <w:pPr>
        <w:jc w:val="center"/>
        <w:outlineLvl w:val="0"/>
        <w:rPr>
          <w:rFonts w:ascii="黑体" w:hAnsi="黑体" w:eastAsia="黑体"/>
          <w:sz w:val="32"/>
          <w:szCs w:val="32"/>
          <w:highlight w:val="none"/>
        </w:rPr>
      </w:pPr>
      <w:bookmarkStart w:id="0" w:name="_Toc24028"/>
      <w:bookmarkStart w:id="1" w:name="_Toc32314"/>
      <w:r>
        <w:rPr>
          <w:rFonts w:hint="eastAsia" w:ascii="黑体" w:hAnsi="黑体" w:eastAsia="黑体"/>
          <w:sz w:val="32"/>
          <w:szCs w:val="32"/>
          <w:highlight w:val="none"/>
        </w:rPr>
        <w:t>第一部分 单位概况</w:t>
      </w:r>
      <w:bookmarkEnd w:id="0"/>
      <w:bookmarkEnd w:id="1"/>
    </w:p>
    <w:p w14:paraId="50A84D43">
      <w:pPr>
        <w:ind w:firstLine="640" w:firstLineChars="200"/>
        <w:outlineLvl w:val="1"/>
        <w:rPr>
          <w:rFonts w:ascii="黑体" w:hAnsi="黑体" w:eastAsia="黑体" w:cs="宋体"/>
          <w:bCs/>
          <w:kern w:val="0"/>
          <w:sz w:val="32"/>
          <w:szCs w:val="32"/>
          <w:highlight w:val="none"/>
        </w:rPr>
      </w:pPr>
      <w:bookmarkStart w:id="2" w:name="_Toc30567"/>
      <w:bookmarkStart w:id="3" w:name="_Toc30738"/>
      <w:r>
        <w:rPr>
          <w:rFonts w:hint="eastAsia" w:ascii="黑体" w:hAnsi="黑体" w:eastAsia="黑体" w:cs="宋体"/>
          <w:bCs/>
          <w:kern w:val="0"/>
          <w:sz w:val="32"/>
          <w:szCs w:val="32"/>
          <w:highlight w:val="none"/>
        </w:rPr>
        <w:t>一、主要职能</w:t>
      </w:r>
      <w:bookmarkEnd w:id="2"/>
      <w:bookmarkEnd w:id="3"/>
    </w:p>
    <w:p w14:paraId="38B3F649">
      <w:pPr>
        <w:snapToGrid w:val="0"/>
        <w:spacing w:line="520" w:lineRule="exact"/>
        <w:ind w:firstLine="640" w:firstLineChars="200"/>
        <w:rPr>
          <w:rFonts w:hint="eastAsia" w:ascii="仿宋_GB2312" w:hAnsi="仿宋" w:eastAsia="仿宋_GB2312"/>
          <w:sz w:val="32"/>
          <w:szCs w:val="32"/>
          <w:highlight w:val="none"/>
          <w:u w:val="none"/>
        </w:rPr>
      </w:pPr>
      <w:bookmarkStart w:id="4" w:name="_Toc31238"/>
      <w:bookmarkStart w:id="5" w:name="_Toc2151"/>
      <w:r>
        <w:rPr>
          <w:rFonts w:hint="eastAsia" w:ascii="仿宋_GB2312" w:hAnsi="仿宋" w:eastAsia="仿宋_GB2312"/>
          <w:sz w:val="32"/>
          <w:szCs w:val="32"/>
          <w:highlight w:val="none"/>
          <w:u w:val="none"/>
          <w:lang w:val="en-US" w:eastAsia="zh-CN"/>
        </w:rPr>
        <w:t>服务于离退休人员，为离退休人员发放离退休资金做好必要的保障。</w:t>
      </w:r>
    </w:p>
    <w:p w14:paraId="43F23316">
      <w:pPr>
        <w:ind w:firstLine="640" w:firstLineChars="200"/>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二、机构设置及</w:t>
      </w:r>
      <w:bookmarkEnd w:id="4"/>
      <w:r>
        <w:rPr>
          <w:rFonts w:hint="eastAsia" w:ascii="黑体" w:hAnsi="黑体" w:eastAsia="黑体" w:cs="宋体"/>
          <w:bCs/>
          <w:kern w:val="0"/>
          <w:sz w:val="32"/>
          <w:szCs w:val="32"/>
          <w:highlight w:val="none"/>
        </w:rPr>
        <w:t>人员情况</w:t>
      </w:r>
      <w:bookmarkEnd w:id="5"/>
    </w:p>
    <w:p w14:paraId="216E83AF">
      <w:pPr>
        <w:ind w:firstLine="640" w:firstLineChars="200"/>
        <w:jc w:val="left"/>
        <w:rPr>
          <w:rFonts w:ascii="仿宋_GB2312" w:hAnsi="仿宋_GB2312" w:eastAsia="仿宋_GB2312" w:cs="仿宋_GB2312"/>
          <w:b/>
          <w:sz w:val="32"/>
          <w:szCs w:val="32"/>
          <w:highlight w:val="none"/>
        </w:rPr>
      </w:pPr>
      <w:r>
        <w:rPr>
          <w:rFonts w:hint="eastAsia" w:ascii="仿宋_GB2312" w:eastAsia="仿宋_GB2312"/>
          <w:sz w:val="32"/>
          <w:szCs w:val="32"/>
          <w:highlight w:val="none"/>
        </w:rPr>
        <w:t>新疆公路建设（集团）有限责任公司2023年度，实有人数</w:t>
      </w:r>
      <w:r>
        <w:rPr>
          <w:rFonts w:hint="eastAsia" w:ascii="仿宋_GB2312" w:eastAsia="仿宋_GB2312"/>
          <w:sz w:val="32"/>
          <w:szCs w:val="32"/>
          <w:highlight w:val="none"/>
          <w:lang w:val="zh-CN"/>
        </w:rPr>
        <w:t>48</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zh-CN"/>
        </w:rPr>
        <w:t>0</w:t>
      </w:r>
      <w:r>
        <w:rPr>
          <w:rFonts w:hint="eastAsia" w:ascii="仿宋_GB2312" w:eastAsia="仿宋_GB2312"/>
          <w:sz w:val="32"/>
          <w:szCs w:val="32"/>
          <w:highlight w:val="none"/>
        </w:rPr>
        <w:t>人，离休人员</w:t>
      </w:r>
      <w:r>
        <w:rPr>
          <w:rFonts w:hint="eastAsia" w:ascii="仿宋_GB2312" w:eastAsia="仿宋_GB2312"/>
          <w:sz w:val="32"/>
          <w:szCs w:val="32"/>
          <w:highlight w:val="none"/>
          <w:lang w:val="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zh-CN"/>
        </w:rPr>
        <w:t>48</w:t>
      </w:r>
      <w:r>
        <w:rPr>
          <w:rFonts w:hint="eastAsia" w:ascii="仿宋_GB2312" w:eastAsia="仿宋_GB2312"/>
          <w:sz w:val="32"/>
          <w:szCs w:val="32"/>
          <w:highlight w:val="none"/>
        </w:rPr>
        <w:t>人。</w:t>
      </w:r>
    </w:p>
    <w:p w14:paraId="63B75EE7">
      <w:pPr>
        <w:ind w:firstLine="640" w:firstLineChars="200"/>
        <w:rPr>
          <w:rFonts w:ascii="仿宋_GB2312" w:hAnsi="宋体" w:eastAsia="仿宋_GB2312" w:cs="宋体"/>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highlight w:val="none"/>
        </w:rPr>
        <w:t>单位无下属预算单位，下设</w:t>
      </w:r>
      <w:r>
        <w:rPr>
          <w:rFonts w:hint="eastAsia" w:ascii="仿宋_GB2312" w:hAnsi="黑体" w:eastAsia="仿宋_GB2312" w:cs="宋体"/>
          <w:bCs/>
          <w:kern w:val="0"/>
          <w:sz w:val="32"/>
          <w:szCs w:val="32"/>
          <w:highlight w:val="none"/>
          <w:lang w:val="en-US" w:eastAsia="zh-CN"/>
        </w:rPr>
        <w:t>0</w:t>
      </w:r>
      <w:r>
        <w:rPr>
          <w:rFonts w:hint="eastAsia" w:ascii="仿宋_GB2312" w:hAnsi="黑体" w:eastAsia="仿宋_GB2312" w:cs="宋体"/>
          <w:bCs/>
          <w:kern w:val="0"/>
          <w:sz w:val="32"/>
          <w:szCs w:val="32"/>
          <w:highlight w:val="none"/>
        </w:rPr>
        <w:t>个处室</w:t>
      </w:r>
      <w:r>
        <w:rPr>
          <w:rFonts w:hint="eastAsia" w:ascii="仿宋_GB2312" w:hAnsi="宋体" w:eastAsia="仿宋_GB2312" w:cs="宋体"/>
          <w:kern w:val="0"/>
          <w:sz w:val="32"/>
          <w:szCs w:val="32"/>
          <w:highlight w:val="none"/>
        </w:rPr>
        <w:t>。</w:t>
      </w:r>
    </w:p>
    <w:p w14:paraId="73FB24AB">
      <w:pPr>
        <w:jc w:val="center"/>
        <w:outlineLvl w:val="0"/>
        <w:rPr>
          <w:rFonts w:ascii="黑体" w:hAnsi="黑体" w:eastAsia="黑体"/>
          <w:color w:val="auto"/>
          <w:sz w:val="32"/>
          <w:szCs w:val="32"/>
          <w:highlight w:val="none"/>
        </w:rPr>
      </w:pPr>
      <w:bookmarkStart w:id="6" w:name="_Toc3092"/>
      <w:bookmarkStart w:id="7" w:name="_Toc29374"/>
      <w:r>
        <w:rPr>
          <w:rFonts w:hint="eastAsia" w:ascii="黑体" w:hAnsi="黑体" w:eastAsia="黑体"/>
          <w:sz w:val="32"/>
          <w:szCs w:val="32"/>
          <w:highlight w:val="none"/>
        </w:rPr>
        <w:t>第二部分 部门决算情况说明</w:t>
      </w:r>
      <w:bookmarkEnd w:id="6"/>
      <w:bookmarkEnd w:id="7"/>
    </w:p>
    <w:p w14:paraId="51146DF0">
      <w:pPr>
        <w:ind w:firstLine="640" w:firstLineChars="200"/>
        <w:outlineLvl w:val="1"/>
        <w:rPr>
          <w:rFonts w:ascii="黑体" w:hAnsi="黑体" w:eastAsia="黑体" w:cs="宋体"/>
          <w:bCs/>
          <w:kern w:val="0"/>
          <w:sz w:val="32"/>
          <w:szCs w:val="32"/>
          <w:highlight w:val="none"/>
        </w:rPr>
      </w:pPr>
      <w:bookmarkStart w:id="8" w:name="_Toc25314"/>
      <w:bookmarkStart w:id="9" w:name="_Toc12566"/>
      <w:r>
        <w:rPr>
          <w:rFonts w:hint="eastAsia" w:ascii="黑体" w:hAnsi="黑体" w:eastAsia="黑体" w:cs="宋体"/>
          <w:bCs/>
          <w:kern w:val="0"/>
          <w:sz w:val="32"/>
          <w:szCs w:val="32"/>
          <w:highlight w:val="none"/>
        </w:rPr>
        <w:t>一、收入支出决算总体情况说明</w:t>
      </w:r>
      <w:bookmarkEnd w:id="8"/>
      <w:bookmarkEnd w:id="9"/>
    </w:p>
    <w:p w14:paraId="1B0E5768">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2023年度收入总计210.35万元，其中：本年收入合计210.35万元，使用非财政拨款结余0.00万元，年初结转和结余0.00万元。</w:t>
      </w:r>
    </w:p>
    <w:p w14:paraId="141F6394">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2023年度支出总计210.35万元，其中：本年支出合计210.35万元，结余分配0.00万元，年末结转和结余0.00万元。</w:t>
      </w:r>
    </w:p>
    <w:p w14:paraId="0E0226C0">
      <w:pPr>
        <w:ind w:firstLine="640" w:firstLineChars="20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rPr>
        <w:t>收入支出总体与上年相比，</w:t>
      </w:r>
      <w:r>
        <w:rPr>
          <w:rFonts w:hint="eastAsia" w:ascii="仿宋_GB2312" w:eastAsia="仿宋_GB2312"/>
          <w:sz w:val="32"/>
          <w:szCs w:val="32"/>
          <w:highlight w:val="none"/>
          <w:lang w:val="zh-CN"/>
        </w:rPr>
        <w:t>增加</w:t>
      </w:r>
      <w:r>
        <w:rPr>
          <w:rFonts w:hint="eastAsia" w:ascii="仿宋_GB2312" w:eastAsia="仿宋_GB2312"/>
          <w:sz w:val="32"/>
          <w:szCs w:val="32"/>
          <w:highlight w:val="none"/>
        </w:rPr>
        <w:t>210.35</w:t>
      </w:r>
      <w:r>
        <w:rPr>
          <w:rFonts w:hint="eastAsia" w:ascii="仿宋_GB2312" w:eastAsia="仿宋_GB2312"/>
          <w:sz w:val="32"/>
          <w:szCs w:val="32"/>
          <w:highlight w:val="none"/>
          <w:lang w:val="zh-CN"/>
        </w:rPr>
        <w:t>万元</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100.00</w:t>
      </w:r>
      <w:r>
        <w:rPr>
          <w:rFonts w:hint="eastAsia" w:ascii="仿宋_GB2312" w:eastAsia="仿宋_GB2312"/>
          <w:sz w:val="32"/>
          <w:szCs w:val="32"/>
          <w:highlight w:val="none"/>
        </w:rPr>
        <w:t>%，主要原因是：</w:t>
      </w:r>
      <w:r>
        <w:rPr>
          <w:rFonts w:hint="eastAsia" w:ascii="仿宋_GB2312" w:eastAsia="仿宋_GB2312"/>
          <w:sz w:val="32"/>
          <w:szCs w:val="32"/>
          <w:highlight w:val="none"/>
          <w:lang w:val="en-US" w:eastAsia="zh-CN"/>
        </w:rPr>
        <w:t>公路建设集团以前年度决算内容合并至上级主管单位，2023年单独进行公开。</w:t>
      </w:r>
    </w:p>
    <w:p w14:paraId="23C71263">
      <w:pPr>
        <w:ind w:firstLine="640" w:firstLineChars="200"/>
        <w:jc w:val="left"/>
        <w:outlineLvl w:val="1"/>
        <w:rPr>
          <w:rFonts w:ascii="黑体" w:hAnsi="黑体" w:eastAsia="黑体" w:cs="宋体"/>
          <w:bCs/>
          <w:kern w:val="0"/>
          <w:sz w:val="32"/>
          <w:szCs w:val="32"/>
          <w:highlight w:val="none"/>
        </w:rPr>
      </w:pPr>
      <w:bookmarkStart w:id="10" w:name="_Toc12142"/>
      <w:bookmarkStart w:id="11" w:name="_Toc1979"/>
      <w:r>
        <w:rPr>
          <w:rFonts w:hint="eastAsia" w:ascii="黑体" w:hAnsi="黑体" w:eastAsia="黑体" w:cs="宋体"/>
          <w:bCs/>
          <w:kern w:val="0"/>
          <w:sz w:val="32"/>
          <w:szCs w:val="32"/>
          <w:highlight w:val="none"/>
        </w:rPr>
        <w:t>二、收入决算情况说明</w:t>
      </w:r>
      <w:bookmarkEnd w:id="10"/>
      <w:bookmarkEnd w:id="11"/>
    </w:p>
    <w:p w14:paraId="5B99FF67">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本年收入210.35万元，其中：财政拨款收入</w:t>
      </w:r>
      <w:r>
        <w:rPr>
          <w:rFonts w:hint="eastAsia" w:ascii="仿宋_GB2312" w:eastAsia="仿宋_GB2312"/>
          <w:sz w:val="32"/>
          <w:szCs w:val="32"/>
          <w:highlight w:val="none"/>
          <w:lang w:val="zh-CN"/>
        </w:rPr>
        <w:t>210.35</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100.00</w:t>
      </w:r>
      <w:r>
        <w:rPr>
          <w:rFonts w:hint="eastAsia" w:ascii="仿宋_GB2312" w:eastAsia="仿宋_GB2312"/>
          <w:sz w:val="32"/>
          <w:szCs w:val="32"/>
          <w:highlight w:val="none"/>
        </w:rPr>
        <w:t>%；上级补助收入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%；事业收入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%；经营收入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%；附属单位上缴收入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%；其他收入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w:t>
      </w:r>
    </w:p>
    <w:p w14:paraId="3A3FCA95">
      <w:pPr>
        <w:ind w:firstLine="640" w:firstLineChars="200"/>
        <w:jc w:val="left"/>
        <w:outlineLvl w:val="1"/>
        <w:rPr>
          <w:rFonts w:ascii="黑体" w:hAnsi="黑体" w:eastAsia="黑体" w:cs="宋体"/>
          <w:bCs/>
          <w:kern w:val="0"/>
          <w:sz w:val="32"/>
          <w:szCs w:val="32"/>
          <w:highlight w:val="none"/>
        </w:rPr>
      </w:pPr>
      <w:bookmarkStart w:id="12" w:name="_Toc27961"/>
      <w:bookmarkStart w:id="13" w:name="_Toc13201"/>
      <w:r>
        <w:rPr>
          <w:rFonts w:hint="eastAsia" w:ascii="黑体" w:hAnsi="黑体" w:eastAsia="黑体" w:cs="宋体"/>
          <w:bCs/>
          <w:kern w:val="0"/>
          <w:sz w:val="32"/>
          <w:szCs w:val="32"/>
          <w:highlight w:val="none"/>
        </w:rPr>
        <w:t>三、支出决算情况说明</w:t>
      </w:r>
      <w:bookmarkEnd w:id="12"/>
      <w:bookmarkEnd w:id="13"/>
    </w:p>
    <w:p w14:paraId="4BCEE7FB">
      <w:pPr>
        <w:ind w:firstLine="640" w:firstLineChars="200"/>
        <w:jc w:val="left"/>
        <w:rPr>
          <w:rFonts w:eastAsia="仿宋_GB2312" w:cs="仿宋_GB2312"/>
          <w:sz w:val="30"/>
          <w:szCs w:val="30"/>
          <w:highlight w:val="none"/>
          <w:lang w:val="zh-CN"/>
        </w:rPr>
      </w:pPr>
      <w:r>
        <w:rPr>
          <w:rFonts w:hint="eastAsia" w:eastAsia="仿宋_GB2312" w:cs="仿宋_GB2312"/>
          <w:sz w:val="32"/>
          <w:szCs w:val="32"/>
          <w:highlight w:val="none"/>
          <w:lang w:val="zh-CN"/>
        </w:rPr>
        <w:t>本年支出210.35万元，其中：基本支出210.35万元，占100.00%；项目支出0.00万元，占0.00%；上缴上级支出0.00万元，占0.00%；经营支出0.00万元，占0.00%；对附属单位补助支出0.00万元，占0.00%。</w:t>
      </w:r>
    </w:p>
    <w:p w14:paraId="42681A9F">
      <w:pPr>
        <w:ind w:firstLine="640" w:firstLineChars="200"/>
        <w:jc w:val="left"/>
        <w:outlineLvl w:val="1"/>
        <w:rPr>
          <w:rFonts w:ascii="黑体" w:hAnsi="黑体" w:eastAsia="黑体" w:cs="宋体"/>
          <w:bCs/>
          <w:kern w:val="0"/>
          <w:sz w:val="32"/>
          <w:szCs w:val="32"/>
          <w:highlight w:val="none"/>
        </w:rPr>
      </w:pPr>
      <w:bookmarkStart w:id="14" w:name="_Toc26564"/>
      <w:bookmarkStart w:id="15" w:name="_Toc4393"/>
      <w:r>
        <w:rPr>
          <w:rFonts w:hint="eastAsia" w:ascii="黑体" w:hAnsi="黑体" w:eastAsia="黑体" w:cs="宋体"/>
          <w:bCs/>
          <w:kern w:val="0"/>
          <w:sz w:val="32"/>
          <w:szCs w:val="32"/>
          <w:highlight w:val="none"/>
        </w:rPr>
        <w:t>四、财政拨款收入支出决算总体情况说明</w:t>
      </w:r>
      <w:bookmarkEnd w:id="14"/>
      <w:bookmarkEnd w:id="15"/>
    </w:p>
    <w:p w14:paraId="73485550">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2023年度财政拨款收入总计</w:t>
      </w:r>
      <w:r>
        <w:rPr>
          <w:rFonts w:hint="eastAsia" w:ascii="仿宋_GB2312" w:eastAsia="仿宋_GB2312"/>
          <w:sz w:val="32"/>
          <w:szCs w:val="32"/>
          <w:highlight w:val="none"/>
          <w:lang w:val="zh-CN"/>
        </w:rPr>
        <w:t>210.35</w:t>
      </w:r>
      <w:r>
        <w:rPr>
          <w:rFonts w:hint="eastAsia" w:ascii="仿宋_GB2312" w:eastAsia="仿宋_GB2312"/>
          <w:sz w:val="32"/>
          <w:szCs w:val="32"/>
          <w:highlight w:val="none"/>
        </w:rPr>
        <w:t>万元，其中：年初财政拨款结转和结余</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万元，本年财政拨款收入</w:t>
      </w:r>
      <w:r>
        <w:rPr>
          <w:rFonts w:hint="eastAsia" w:ascii="仿宋_GB2312" w:eastAsia="仿宋_GB2312"/>
          <w:sz w:val="32"/>
          <w:szCs w:val="32"/>
          <w:highlight w:val="none"/>
          <w:lang w:val="zh-CN"/>
        </w:rPr>
        <w:t>210.35</w:t>
      </w:r>
      <w:r>
        <w:rPr>
          <w:rFonts w:hint="eastAsia" w:ascii="仿宋_GB2312" w:eastAsia="仿宋_GB2312"/>
          <w:sz w:val="32"/>
          <w:szCs w:val="32"/>
          <w:highlight w:val="none"/>
        </w:rPr>
        <w:t>万元。财政拨款支出总计</w:t>
      </w:r>
      <w:r>
        <w:rPr>
          <w:rFonts w:hint="eastAsia" w:ascii="仿宋_GB2312" w:eastAsia="仿宋_GB2312"/>
          <w:sz w:val="32"/>
          <w:szCs w:val="32"/>
          <w:highlight w:val="none"/>
          <w:lang w:val="zh-CN"/>
        </w:rPr>
        <w:t>210.35</w:t>
      </w:r>
      <w:r>
        <w:rPr>
          <w:rFonts w:hint="eastAsia" w:ascii="仿宋_GB2312" w:eastAsia="仿宋_GB2312"/>
          <w:sz w:val="32"/>
          <w:szCs w:val="32"/>
          <w:highlight w:val="none"/>
        </w:rPr>
        <w:t>万元，其中：年末财政拨款结转和结余</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万元，本年财政拨款支出</w:t>
      </w:r>
      <w:r>
        <w:rPr>
          <w:rFonts w:hint="eastAsia" w:ascii="仿宋_GB2312" w:eastAsia="仿宋_GB2312"/>
          <w:sz w:val="32"/>
          <w:szCs w:val="32"/>
          <w:highlight w:val="none"/>
          <w:lang w:val="zh-CN"/>
        </w:rPr>
        <w:t>210.35</w:t>
      </w:r>
      <w:r>
        <w:rPr>
          <w:rFonts w:hint="eastAsia" w:ascii="仿宋_GB2312" w:eastAsia="仿宋_GB2312"/>
          <w:sz w:val="32"/>
          <w:szCs w:val="32"/>
          <w:highlight w:val="none"/>
        </w:rPr>
        <w:t>万元。</w:t>
      </w:r>
    </w:p>
    <w:p w14:paraId="008E09B8">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财政拨款收入支出总体与上年相比,</w:t>
      </w:r>
      <w:r>
        <w:rPr>
          <w:rFonts w:hint="eastAsia" w:ascii="仿宋_GB2312" w:eastAsia="仿宋_GB2312"/>
          <w:sz w:val="32"/>
          <w:szCs w:val="32"/>
          <w:highlight w:val="none"/>
          <w:lang w:val="zh-CN"/>
        </w:rPr>
        <w:t>增加210.35万元</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100.00</w:t>
      </w:r>
      <w:r>
        <w:rPr>
          <w:rFonts w:hint="eastAsia" w:ascii="仿宋_GB2312" w:eastAsia="仿宋_GB2312"/>
          <w:sz w:val="32"/>
          <w:szCs w:val="32"/>
          <w:highlight w:val="none"/>
        </w:rPr>
        <w:t>%,主要原因是：</w:t>
      </w:r>
      <w:r>
        <w:rPr>
          <w:rFonts w:hint="eastAsia" w:ascii="仿宋_GB2312" w:eastAsia="仿宋_GB2312"/>
          <w:sz w:val="32"/>
          <w:szCs w:val="32"/>
          <w:highlight w:val="none"/>
          <w:lang w:val="en-US" w:eastAsia="zh-CN"/>
        </w:rPr>
        <w:t>公路建设集团以前年度决算内容合并至上级主管单位，2023年单独进行公开</w:t>
      </w:r>
      <w:r>
        <w:rPr>
          <w:rFonts w:hint="eastAsia" w:ascii="仿宋_GB2312" w:eastAsia="仿宋_GB2312"/>
          <w:sz w:val="32"/>
          <w:szCs w:val="32"/>
          <w:highlight w:val="none"/>
        </w:rPr>
        <w:t>。与年初预算相比，年初预算数</w:t>
      </w:r>
      <w:r>
        <w:rPr>
          <w:rFonts w:hint="eastAsia" w:ascii="仿宋_GB2312" w:eastAsia="仿宋_GB2312"/>
          <w:sz w:val="32"/>
          <w:szCs w:val="32"/>
          <w:highlight w:val="none"/>
          <w:lang w:val="zh-CN"/>
        </w:rPr>
        <w:t>116.82</w:t>
      </w:r>
      <w:r>
        <w:rPr>
          <w:rFonts w:hint="eastAsia" w:ascii="仿宋_GB2312" w:eastAsia="仿宋_GB2312"/>
          <w:sz w:val="32"/>
          <w:szCs w:val="32"/>
          <w:highlight w:val="none"/>
        </w:rPr>
        <w:t>万元，决算数</w:t>
      </w:r>
      <w:r>
        <w:rPr>
          <w:rFonts w:hint="eastAsia" w:ascii="仿宋_GB2312" w:eastAsia="仿宋_GB2312"/>
          <w:sz w:val="32"/>
          <w:szCs w:val="32"/>
          <w:highlight w:val="none"/>
          <w:lang w:val="zh-CN"/>
        </w:rPr>
        <w:t>210.35</w:t>
      </w:r>
      <w:r>
        <w:rPr>
          <w:rFonts w:hint="eastAsia" w:ascii="仿宋_GB2312" w:eastAsia="仿宋_GB2312"/>
          <w:sz w:val="32"/>
          <w:szCs w:val="32"/>
          <w:highlight w:val="none"/>
        </w:rPr>
        <w:t>万元，预决算差异率80.06%，主要原因是：</w:t>
      </w:r>
      <w:r>
        <w:rPr>
          <w:rFonts w:hint="eastAsia" w:ascii="仿宋_GB2312" w:eastAsia="仿宋_GB2312"/>
          <w:sz w:val="32"/>
          <w:szCs w:val="32"/>
          <w:highlight w:val="none"/>
          <w:lang w:val="en-US" w:eastAsia="zh-CN"/>
        </w:rPr>
        <w:t>年中追加</w:t>
      </w:r>
      <w:r>
        <w:rPr>
          <w:rFonts w:hint="eastAsia" w:ascii="仿宋" w:eastAsia="仿宋"/>
          <w:b w:val="0"/>
          <w:bCs w:val="0"/>
          <w:sz w:val="32"/>
          <w:szCs w:val="32"/>
          <w:highlight w:val="none"/>
          <w:u w:val="none"/>
          <w:shd w:val="clear"/>
          <w:lang w:val="en-US" w:eastAsia="zh-CN"/>
        </w:rPr>
        <w:t>绩效工资</w:t>
      </w:r>
      <w:r>
        <w:rPr>
          <w:rFonts w:hint="eastAsia" w:ascii="仿宋_GB2312" w:eastAsia="仿宋_GB2312"/>
          <w:sz w:val="32"/>
          <w:szCs w:val="32"/>
          <w:highlight w:val="none"/>
        </w:rPr>
        <w:t>。</w:t>
      </w:r>
    </w:p>
    <w:p w14:paraId="5AE1FD9B">
      <w:pPr>
        <w:ind w:firstLine="640" w:firstLineChars="200"/>
        <w:jc w:val="left"/>
        <w:outlineLvl w:val="1"/>
        <w:rPr>
          <w:rFonts w:ascii="黑体" w:hAnsi="黑体" w:eastAsia="黑体" w:cs="宋体"/>
          <w:bCs/>
          <w:kern w:val="0"/>
          <w:sz w:val="32"/>
          <w:szCs w:val="32"/>
          <w:highlight w:val="none"/>
        </w:rPr>
      </w:pPr>
      <w:bookmarkStart w:id="16" w:name="_Toc20360"/>
      <w:bookmarkStart w:id="17" w:name="_Toc13833"/>
      <w:r>
        <w:rPr>
          <w:rFonts w:hint="eastAsia" w:ascii="黑体" w:hAnsi="黑体" w:eastAsia="黑体" w:cs="宋体"/>
          <w:bCs/>
          <w:kern w:val="0"/>
          <w:sz w:val="32"/>
          <w:szCs w:val="32"/>
          <w:highlight w:val="none"/>
        </w:rPr>
        <w:t>五、一般公共预算财政拨款支出决算情况说明</w:t>
      </w:r>
      <w:bookmarkEnd w:id="16"/>
      <w:bookmarkEnd w:id="17"/>
    </w:p>
    <w:p w14:paraId="6A5F30C8">
      <w:pPr>
        <w:ind w:firstLine="640" w:firstLineChars="200"/>
        <w:jc w:val="left"/>
        <w:outlineLvl w:val="2"/>
        <w:rPr>
          <w:rFonts w:ascii="黑体" w:hAnsi="黑体" w:eastAsia="黑体"/>
          <w:sz w:val="32"/>
          <w:szCs w:val="32"/>
          <w:highlight w:val="none"/>
        </w:rPr>
      </w:pPr>
      <w:r>
        <w:rPr>
          <w:rFonts w:hint="eastAsia" w:ascii="黑体" w:hAnsi="黑体" w:eastAsia="黑体"/>
          <w:sz w:val="32"/>
          <w:szCs w:val="32"/>
          <w:highlight w:val="none"/>
        </w:rPr>
        <w:t>（一）一般公共预算财政拨款支出决算总体情况</w:t>
      </w:r>
    </w:p>
    <w:p w14:paraId="2B914263">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2023年度一般公共预算财政拨款支出210.35万元，占本年支出合计的</w:t>
      </w:r>
      <w:r>
        <w:rPr>
          <w:rFonts w:hint="eastAsia" w:ascii="仿宋_GB2312" w:eastAsia="仿宋_GB2312"/>
          <w:sz w:val="32"/>
          <w:szCs w:val="32"/>
          <w:highlight w:val="none"/>
          <w:lang w:val="zh-CN"/>
        </w:rPr>
        <w:t>100.00%</w:t>
      </w:r>
      <w:r>
        <w:rPr>
          <w:rFonts w:hint="eastAsia" w:ascii="仿宋_GB2312" w:eastAsia="仿宋_GB2312"/>
          <w:sz w:val="32"/>
          <w:szCs w:val="32"/>
          <w:highlight w:val="none"/>
        </w:rPr>
        <w:t>。与上年相比，</w:t>
      </w:r>
      <w:r>
        <w:rPr>
          <w:rFonts w:hint="eastAsia" w:ascii="仿宋_GB2312" w:eastAsia="仿宋_GB2312"/>
          <w:sz w:val="32"/>
          <w:szCs w:val="32"/>
          <w:highlight w:val="none"/>
          <w:lang w:val="zh-CN"/>
        </w:rPr>
        <w:t>增加</w:t>
      </w:r>
      <w:r>
        <w:rPr>
          <w:rFonts w:hint="eastAsia" w:ascii="仿宋_GB2312" w:eastAsia="仿宋_GB2312"/>
          <w:color w:val="auto"/>
          <w:spacing w:val="0"/>
          <w:sz w:val="32"/>
          <w:szCs w:val="32"/>
          <w:highlight w:val="none"/>
          <w:lang w:val="zh-CN" w:eastAsia="zh-CN"/>
        </w:rPr>
        <w:t>210.35</w:t>
      </w:r>
      <w:r>
        <w:rPr>
          <w:rFonts w:hint="eastAsia" w:ascii="仿宋_GB2312" w:eastAsia="仿宋_GB2312"/>
          <w:sz w:val="32"/>
          <w:szCs w:val="32"/>
          <w:highlight w:val="none"/>
          <w:lang w:val="zh-CN"/>
        </w:rPr>
        <w:t>万元</w:t>
      </w:r>
      <w:r>
        <w:rPr>
          <w:rFonts w:hint="eastAsia" w:ascii="仿宋_GB2312" w:eastAsia="仿宋_GB2312"/>
          <w:sz w:val="32"/>
          <w:szCs w:val="32"/>
          <w:highlight w:val="none"/>
        </w:rPr>
        <w:t>，增长</w:t>
      </w:r>
      <w:r>
        <w:rPr>
          <w:rFonts w:hint="eastAsia" w:ascii="仿宋_GB2312" w:eastAsia="仿宋_GB2312"/>
          <w:color w:val="auto"/>
          <w:spacing w:val="0"/>
          <w:sz w:val="32"/>
          <w:szCs w:val="32"/>
          <w:highlight w:val="none"/>
          <w:lang w:val="en-US" w:eastAsia="zh-CN"/>
        </w:rPr>
        <w:t>100.00%</w:t>
      </w:r>
      <w:r>
        <w:rPr>
          <w:rFonts w:hint="eastAsia" w:ascii="仿宋_GB2312" w:eastAsia="仿宋_GB2312"/>
          <w:sz w:val="32"/>
          <w:szCs w:val="32"/>
          <w:highlight w:val="none"/>
        </w:rPr>
        <w:t>,主要原因是：</w:t>
      </w:r>
      <w:r>
        <w:rPr>
          <w:rFonts w:hint="eastAsia" w:ascii="仿宋_GB2312" w:eastAsia="仿宋_GB2312"/>
          <w:sz w:val="32"/>
          <w:szCs w:val="32"/>
          <w:highlight w:val="none"/>
          <w:lang w:val="en-US" w:eastAsia="zh-CN"/>
        </w:rPr>
        <w:t>公路建设集团以前年度决算内容合并至上级主管单位，2023年单独进行公开</w:t>
      </w:r>
      <w:r>
        <w:rPr>
          <w:rFonts w:hint="eastAsia" w:ascii="仿宋_GB2312" w:eastAsia="仿宋_GB2312"/>
          <w:sz w:val="32"/>
          <w:szCs w:val="32"/>
          <w:highlight w:val="none"/>
        </w:rPr>
        <w:t>。与年初预算相比，年初预算数</w:t>
      </w:r>
      <w:r>
        <w:rPr>
          <w:rFonts w:hint="eastAsia" w:ascii="仿宋_GB2312" w:eastAsia="仿宋_GB2312"/>
          <w:sz w:val="32"/>
          <w:szCs w:val="32"/>
          <w:highlight w:val="none"/>
          <w:lang w:val="zh-CN"/>
        </w:rPr>
        <w:t>116.82</w:t>
      </w:r>
      <w:r>
        <w:rPr>
          <w:rFonts w:hint="eastAsia" w:ascii="仿宋_GB2312" w:eastAsia="仿宋_GB2312"/>
          <w:sz w:val="32"/>
          <w:szCs w:val="32"/>
          <w:highlight w:val="none"/>
        </w:rPr>
        <w:t>万元，决算数</w:t>
      </w:r>
      <w:r>
        <w:rPr>
          <w:rFonts w:hint="eastAsia" w:ascii="仿宋_GB2312" w:eastAsia="仿宋_GB2312"/>
          <w:sz w:val="32"/>
          <w:szCs w:val="32"/>
          <w:highlight w:val="none"/>
          <w:lang w:val="zh-CN"/>
        </w:rPr>
        <w:t>210.35</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zh-CN"/>
        </w:rPr>
        <w:t>80.06%</w:t>
      </w:r>
      <w:r>
        <w:rPr>
          <w:rFonts w:hint="eastAsia" w:ascii="仿宋_GB2312" w:eastAsia="仿宋_GB2312"/>
          <w:sz w:val="32"/>
          <w:szCs w:val="32"/>
          <w:highlight w:val="none"/>
        </w:rPr>
        <w:t>，主要原因是：</w:t>
      </w:r>
      <w:r>
        <w:rPr>
          <w:rFonts w:hint="eastAsia" w:ascii="仿宋_GB2312" w:eastAsia="仿宋_GB2312"/>
          <w:sz w:val="32"/>
          <w:szCs w:val="32"/>
          <w:highlight w:val="none"/>
          <w:lang w:val="en-US" w:eastAsia="zh-CN"/>
        </w:rPr>
        <w:t>年中追加</w:t>
      </w:r>
      <w:r>
        <w:rPr>
          <w:rFonts w:hint="eastAsia" w:ascii="仿宋" w:eastAsia="仿宋"/>
          <w:b w:val="0"/>
          <w:bCs w:val="0"/>
          <w:sz w:val="32"/>
          <w:szCs w:val="32"/>
          <w:highlight w:val="none"/>
          <w:u w:val="none"/>
          <w:shd w:val="clear"/>
          <w:lang w:val="en-US" w:eastAsia="zh-CN"/>
        </w:rPr>
        <w:t>绩效工资</w:t>
      </w:r>
      <w:r>
        <w:rPr>
          <w:rFonts w:hint="eastAsia" w:ascii="仿宋_GB2312" w:eastAsia="仿宋_GB2312"/>
          <w:sz w:val="32"/>
          <w:szCs w:val="32"/>
          <w:highlight w:val="none"/>
        </w:rPr>
        <w:t>。</w:t>
      </w:r>
    </w:p>
    <w:p w14:paraId="4CCEA35F">
      <w:pPr>
        <w:numPr>
          <w:ilvl w:val="0"/>
          <w:numId w:val="1"/>
        </w:numPr>
        <w:ind w:firstLine="640" w:firstLineChars="200"/>
        <w:jc w:val="left"/>
        <w:outlineLvl w:val="2"/>
        <w:rPr>
          <w:rFonts w:ascii="黑体" w:hAnsi="黑体" w:eastAsia="黑体"/>
          <w:sz w:val="32"/>
          <w:szCs w:val="32"/>
          <w:highlight w:val="none"/>
        </w:rPr>
      </w:pPr>
      <w:r>
        <w:rPr>
          <w:rFonts w:hint="eastAsia" w:ascii="黑体" w:hAnsi="黑体" w:eastAsia="黑体"/>
          <w:sz w:val="32"/>
          <w:szCs w:val="32"/>
          <w:highlight w:val="none"/>
        </w:rPr>
        <w:t>一般公共预算财政拨款支出决算结构情况</w:t>
      </w:r>
    </w:p>
    <w:p w14:paraId="4C87C8F5">
      <w:pPr>
        <w:pStyle w:val="8"/>
        <w:widowControl/>
        <w:spacing w:before="0" w:beforeAutospacing="0" w:after="0" w:afterAutospacing="0"/>
        <w:ind w:firstLine="640" w:firstLineChars="200"/>
        <w:rPr>
          <w:rFonts w:ascii="仿宋_GB2312" w:eastAsia="仿宋_GB2312"/>
          <w:kern w:val="2"/>
          <w:sz w:val="32"/>
          <w:szCs w:val="32"/>
          <w:highlight w:val="none"/>
          <w:lang w:val="zh-CN"/>
        </w:rPr>
      </w:pPr>
      <w:r>
        <w:rPr>
          <w:rFonts w:hint="eastAsia" w:ascii="仿宋_GB2312" w:eastAsia="仿宋_GB2312"/>
          <w:kern w:val="2"/>
          <w:sz w:val="32"/>
          <w:szCs w:val="32"/>
          <w:highlight w:val="none"/>
          <w:lang w:val="en-US" w:eastAsia="zh-CN"/>
        </w:rPr>
        <w:t>1</w:t>
      </w:r>
      <w:r>
        <w:rPr>
          <w:rFonts w:ascii="仿宋_GB2312" w:eastAsia="仿宋_GB2312"/>
          <w:kern w:val="2"/>
          <w:sz w:val="32"/>
          <w:szCs w:val="32"/>
          <w:highlight w:val="none"/>
          <w:lang w:val="zh-CN"/>
        </w:rPr>
        <w:t>.社会保障和就业支出（类）</w:t>
      </w:r>
      <w:r>
        <w:rPr>
          <w:rFonts w:hint="eastAsia" w:ascii="仿宋_GB2312" w:eastAsia="仿宋_GB2312"/>
          <w:kern w:val="2"/>
          <w:sz w:val="32"/>
          <w:szCs w:val="32"/>
          <w:highlight w:val="none"/>
          <w:lang w:val="zh-CN"/>
        </w:rPr>
        <w:t>88.51</w:t>
      </w:r>
      <w:r>
        <w:rPr>
          <w:rFonts w:ascii="仿宋_GB2312" w:eastAsia="仿宋_GB2312"/>
          <w:kern w:val="2"/>
          <w:sz w:val="32"/>
          <w:szCs w:val="32"/>
          <w:highlight w:val="none"/>
          <w:lang w:val="zh-CN"/>
        </w:rPr>
        <w:t>万元，占</w:t>
      </w:r>
      <w:r>
        <w:rPr>
          <w:rFonts w:hint="eastAsia" w:ascii="仿宋_GB2312" w:eastAsia="仿宋_GB2312"/>
          <w:kern w:val="2"/>
          <w:sz w:val="32"/>
          <w:szCs w:val="32"/>
          <w:highlight w:val="none"/>
          <w:lang w:val="zh-CN"/>
        </w:rPr>
        <w:t>42.08</w:t>
      </w:r>
      <w:r>
        <w:rPr>
          <w:rFonts w:ascii="仿宋_GB2312" w:eastAsia="仿宋_GB2312"/>
          <w:kern w:val="2"/>
          <w:sz w:val="32"/>
          <w:szCs w:val="32"/>
          <w:highlight w:val="none"/>
          <w:lang w:val="zh-CN"/>
        </w:rPr>
        <w:t>%；</w:t>
      </w:r>
    </w:p>
    <w:p w14:paraId="024A5684">
      <w:pPr>
        <w:pStyle w:val="8"/>
        <w:widowControl/>
        <w:spacing w:before="0" w:beforeAutospacing="0" w:after="0" w:afterAutospacing="0"/>
        <w:ind w:firstLine="640" w:firstLineChars="200"/>
        <w:rPr>
          <w:rFonts w:ascii="仿宋_GB2312" w:eastAsia="仿宋_GB2312"/>
          <w:kern w:val="2"/>
          <w:sz w:val="32"/>
          <w:szCs w:val="32"/>
          <w:highlight w:val="none"/>
          <w:lang w:val="zh-CN"/>
        </w:rPr>
      </w:pPr>
      <w:r>
        <w:rPr>
          <w:rFonts w:hint="eastAsia" w:ascii="仿宋_GB2312" w:eastAsia="仿宋_GB2312"/>
          <w:kern w:val="2"/>
          <w:sz w:val="32"/>
          <w:szCs w:val="32"/>
          <w:highlight w:val="none"/>
          <w:lang w:val="en-US" w:eastAsia="zh-CN"/>
        </w:rPr>
        <w:t>2</w:t>
      </w:r>
      <w:r>
        <w:rPr>
          <w:rFonts w:ascii="仿宋_GB2312" w:eastAsia="仿宋_GB2312"/>
          <w:kern w:val="2"/>
          <w:sz w:val="32"/>
          <w:szCs w:val="32"/>
          <w:highlight w:val="none"/>
          <w:lang w:val="zh-CN"/>
        </w:rPr>
        <w:t>.交通运输支出（类）</w:t>
      </w:r>
      <w:r>
        <w:rPr>
          <w:rFonts w:hint="eastAsia" w:ascii="仿宋_GB2312" w:eastAsia="仿宋_GB2312"/>
          <w:kern w:val="2"/>
          <w:sz w:val="32"/>
          <w:szCs w:val="32"/>
          <w:highlight w:val="none"/>
          <w:lang w:val="zh-CN"/>
        </w:rPr>
        <w:t>121.84</w:t>
      </w:r>
      <w:r>
        <w:rPr>
          <w:rFonts w:ascii="仿宋_GB2312" w:eastAsia="仿宋_GB2312"/>
          <w:kern w:val="2"/>
          <w:sz w:val="32"/>
          <w:szCs w:val="32"/>
          <w:highlight w:val="none"/>
          <w:lang w:val="zh-CN"/>
        </w:rPr>
        <w:t xml:space="preserve">万元，占 </w:t>
      </w:r>
      <w:r>
        <w:rPr>
          <w:rFonts w:hint="eastAsia" w:ascii="仿宋_GB2312" w:eastAsia="仿宋_GB2312"/>
          <w:kern w:val="2"/>
          <w:sz w:val="32"/>
          <w:szCs w:val="32"/>
          <w:highlight w:val="none"/>
          <w:lang w:val="zh-CN"/>
        </w:rPr>
        <w:t>57.92</w:t>
      </w:r>
      <w:r>
        <w:rPr>
          <w:rFonts w:ascii="仿宋_GB2312" w:eastAsia="仿宋_GB2312"/>
          <w:kern w:val="2"/>
          <w:sz w:val="32"/>
          <w:szCs w:val="32"/>
          <w:highlight w:val="none"/>
          <w:lang w:val="zh-CN"/>
        </w:rPr>
        <w:t>%；</w:t>
      </w:r>
    </w:p>
    <w:p w14:paraId="544C809D">
      <w:pPr>
        <w:ind w:firstLine="640" w:firstLineChars="200"/>
        <w:jc w:val="left"/>
        <w:outlineLvl w:val="2"/>
        <w:rPr>
          <w:rFonts w:ascii="黑体" w:hAnsi="黑体" w:eastAsia="黑体"/>
          <w:sz w:val="32"/>
          <w:szCs w:val="32"/>
          <w:highlight w:val="none"/>
        </w:rPr>
      </w:pPr>
      <w:r>
        <w:rPr>
          <w:rFonts w:hint="eastAsia" w:ascii="黑体" w:hAnsi="黑体" w:eastAsia="黑体"/>
          <w:sz w:val="32"/>
          <w:szCs w:val="32"/>
          <w:highlight w:val="none"/>
        </w:rPr>
        <w:t>（三）一般公共预算财政拨款支出决算具体情况</w:t>
      </w:r>
    </w:p>
    <w:p w14:paraId="2DC5BC42">
      <w:pPr>
        <w:ind w:firstLine="640" w:firstLineChars="200"/>
        <w:rPr>
          <w:rFonts w:eastAsia="仿宋_GB2312"/>
          <w:sz w:val="32"/>
          <w:szCs w:val="32"/>
          <w:highlight w:val="none"/>
          <w:lang w:val="zh-CN"/>
        </w:rPr>
      </w:pPr>
      <w:r>
        <w:rPr>
          <w:rFonts w:hint="eastAsia" w:eastAsia="仿宋_GB2312"/>
          <w:sz w:val="32"/>
          <w:szCs w:val="32"/>
          <w:highlight w:val="none"/>
        </w:rPr>
        <w:t>1.交通运输支出（类）公路水路运输（款）公路养护（项）:支出决算数为121.84万元，比上年决算增加121.84万元，增长</w:t>
      </w:r>
      <w:r>
        <w:rPr>
          <w:rFonts w:hint="eastAsia" w:eastAsia="仿宋_GB2312"/>
          <w:sz w:val="32"/>
          <w:szCs w:val="32"/>
          <w:highlight w:val="none"/>
          <w:lang w:val="en-US" w:eastAsia="zh-CN"/>
        </w:rPr>
        <w:t>100</w:t>
      </w:r>
      <w:r>
        <w:rPr>
          <w:rFonts w:hint="eastAsia" w:eastAsia="仿宋_GB2312"/>
          <w:sz w:val="32"/>
          <w:szCs w:val="32"/>
          <w:highlight w:val="none"/>
        </w:rPr>
        <w:t>%，主要原因是：</w:t>
      </w:r>
      <w:r>
        <w:rPr>
          <w:rFonts w:hint="eastAsia" w:ascii="仿宋_GB2312" w:eastAsia="仿宋_GB2312"/>
          <w:sz w:val="32"/>
          <w:szCs w:val="32"/>
          <w:highlight w:val="none"/>
          <w:lang w:val="en-US" w:eastAsia="zh-CN"/>
        </w:rPr>
        <w:t>公路建设集团以前年度决算内容合并至上级主管单位，2023年单独进行公开</w:t>
      </w:r>
      <w:r>
        <w:rPr>
          <w:rFonts w:hint="eastAsia" w:eastAsia="仿宋_GB2312"/>
          <w:sz w:val="32"/>
          <w:szCs w:val="32"/>
          <w:highlight w:val="none"/>
          <w:lang w:val="zh-CN"/>
        </w:rPr>
        <w:t>。</w:t>
      </w:r>
    </w:p>
    <w:p w14:paraId="58001D82">
      <w:pPr>
        <w:ind w:firstLine="640" w:firstLineChars="200"/>
        <w:rPr>
          <w:rFonts w:eastAsia="仿宋_GB2312"/>
          <w:sz w:val="32"/>
          <w:szCs w:val="32"/>
          <w:highlight w:val="none"/>
          <w:lang w:val="zh-CN"/>
        </w:rPr>
      </w:pPr>
      <w:r>
        <w:rPr>
          <w:rFonts w:hint="eastAsia" w:eastAsia="仿宋_GB2312"/>
          <w:sz w:val="32"/>
          <w:szCs w:val="32"/>
          <w:highlight w:val="none"/>
        </w:rPr>
        <w:t>2.社会保障和就业支出（类）行政事业单位养老支出（款）事业单位离退休（项）:支出决算数为88.51万元，比上年决算增加88.51万元，增长</w:t>
      </w:r>
      <w:r>
        <w:rPr>
          <w:rFonts w:hint="eastAsia" w:eastAsia="仿宋_GB2312"/>
          <w:sz w:val="32"/>
          <w:szCs w:val="32"/>
          <w:highlight w:val="none"/>
          <w:lang w:val="en-US" w:eastAsia="zh-CN"/>
        </w:rPr>
        <w:t>100</w:t>
      </w:r>
      <w:r>
        <w:rPr>
          <w:rFonts w:hint="eastAsia" w:eastAsia="仿宋_GB2312"/>
          <w:sz w:val="32"/>
          <w:szCs w:val="32"/>
          <w:highlight w:val="none"/>
        </w:rPr>
        <w:t>%，主要原因是：</w:t>
      </w:r>
      <w:r>
        <w:rPr>
          <w:rFonts w:hint="eastAsia" w:ascii="仿宋_GB2312" w:eastAsia="仿宋_GB2312"/>
          <w:sz w:val="32"/>
          <w:szCs w:val="32"/>
          <w:highlight w:val="none"/>
          <w:lang w:val="en-US" w:eastAsia="zh-CN"/>
        </w:rPr>
        <w:t>公路建设集团以前年度决算内容合并至上级主管单位，2023年单独进行公开</w:t>
      </w:r>
      <w:r>
        <w:rPr>
          <w:rFonts w:hint="eastAsia" w:eastAsia="仿宋_GB2312"/>
          <w:sz w:val="32"/>
          <w:szCs w:val="32"/>
          <w:highlight w:val="none"/>
          <w:lang w:val="zh-CN"/>
        </w:rPr>
        <w:t>。</w:t>
      </w:r>
    </w:p>
    <w:p w14:paraId="6BC8B4A9">
      <w:pPr>
        <w:ind w:firstLine="640" w:firstLineChars="200"/>
        <w:jc w:val="left"/>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六、一般公共预算财政拨款基本支出决算情况说明</w:t>
      </w:r>
    </w:p>
    <w:p w14:paraId="035069C8">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2023年度一般公共预算财政拨款基本支出210.35万元，其中：人员经费210.35万元，包括：生活补助、奖励金。</w:t>
      </w:r>
    </w:p>
    <w:p w14:paraId="6505F82A">
      <w:pPr>
        <w:ind w:firstLine="640" w:firstLineChars="200"/>
        <w:jc w:val="left"/>
        <w:rPr>
          <w:rFonts w:ascii="仿宋_GB2312" w:hAnsi="宋体" w:eastAsia="仿宋_GB2312" w:cs="宋体"/>
          <w:kern w:val="0"/>
          <w:sz w:val="32"/>
          <w:szCs w:val="32"/>
          <w:highlight w:val="none"/>
        </w:rPr>
      </w:pPr>
      <w:r>
        <w:rPr>
          <w:rFonts w:hint="eastAsia" w:ascii="仿宋_GB2312" w:eastAsia="仿宋_GB2312"/>
          <w:sz w:val="32"/>
          <w:szCs w:val="32"/>
          <w:highlight w:val="none"/>
        </w:rPr>
        <w:t>公用经费0.00万元，包括：</w:t>
      </w:r>
      <w:r>
        <w:rPr>
          <w:rFonts w:hint="eastAsia" w:ascii="仿宋_GB2312" w:eastAsia="仿宋_GB2312"/>
          <w:sz w:val="32"/>
          <w:szCs w:val="32"/>
          <w:highlight w:val="none"/>
          <w:lang w:val="en-US" w:eastAsia="zh-CN"/>
        </w:rPr>
        <w:t>无</w:t>
      </w:r>
      <w:r>
        <w:rPr>
          <w:rFonts w:hint="eastAsia" w:ascii="仿宋_GB2312" w:eastAsia="仿宋_GB2312"/>
          <w:sz w:val="32"/>
          <w:szCs w:val="32"/>
          <w:highlight w:val="none"/>
        </w:rPr>
        <w:t>公用经费。</w:t>
      </w:r>
    </w:p>
    <w:p w14:paraId="50224AE3">
      <w:pPr>
        <w:ind w:firstLine="640" w:firstLineChars="200"/>
        <w:jc w:val="left"/>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七、财政拨款“三公”经费支出决算情况说明</w:t>
      </w:r>
    </w:p>
    <w:p w14:paraId="46E2184E">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2023年度</w:t>
      </w:r>
      <w:r>
        <w:rPr>
          <w:rFonts w:hint="eastAsia" w:ascii="仿宋_GB2312" w:eastAsia="仿宋_GB2312"/>
          <w:sz w:val="32"/>
          <w:szCs w:val="32"/>
          <w:highlight w:val="none"/>
        </w:rPr>
        <w:t>财政拨款</w:t>
      </w:r>
      <w:r>
        <w:rPr>
          <w:rFonts w:hint="eastAsia" w:ascii="仿宋_GB2312" w:eastAsia="仿宋_GB2312"/>
          <w:sz w:val="32"/>
          <w:szCs w:val="32"/>
          <w:highlight w:val="none"/>
          <w:lang w:val="zh-CN"/>
        </w:rPr>
        <w:t>“三公”经费支出0.00万元，</w:t>
      </w:r>
      <w:r>
        <w:rPr>
          <w:rFonts w:hint="eastAsia" w:ascii="仿宋_GB2312" w:eastAsia="仿宋_GB2312"/>
          <w:sz w:val="32"/>
          <w:szCs w:val="32"/>
          <w:highlight w:val="none"/>
        </w:rPr>
        <w:t>比上年</w:t>
      </w:r>
      <w:r>
        <w:rPr>
          <w:rFonts w:hint="eastAsia" w:ascii="仿宋_GB2312" w:eastAsia="仿宋_GB2312"/>
          <w:sz w:val="32"/>
          <w:szCs w:val="32"/>
          <w:highlight w:val="none"/>
          <w:lang w:val="zh-CN"/>
        </w:rPr>
        <w:t>增加0.00万元，</w:t>
      </w:r>
      <w:r>
        <w:rPr>
          <w:rFonts w:hint="eastAsia" w:ascii="仿宋_GB2312" w:eastAsia="仿宋_GB2312"/>
          <w:sz w:val="32"/>
          <w:szCs w:val="32"/>
          <w:highlight w:val="none"/>
        </w:rPr>
        <w:t>增长0.00%,</w:t>
      </w:r>
      <w:r>
        <w:rPr>
          <w:rFonts w:hint="eastAsia" w:ascii="仿宋_GB2312" w:eastAsia="仿宋_GB2312"/>
          <w:sz w:val="32"/>
          <w:szCs w:val="32"/>
          <w:highlight w:val="none"/>
          <w:lang w:val="zh-CN"/>
        </w:rPr>
        <w:t>主要原因是：</w:t>
      </w:r>
      <w:r>
        <w:rPr>
          <w:rFonts w:hint="eastAsia" w:ascii="仿宋_GB2312" w:eastAsia="仿宋_GB2312"/>
          <w:sz w:val="32"/>
          <w:szCs w:val="32"/>
          <w:highlight w:val="none"/>
          <w:lang w:val="en-US" w:eastAsia="zh-CN"/>
        </w:rPr>
        <w:t>我单位无</w:t>
      </w:r>
      <w:r>
        <w:rPr>
          <w:rFonts w:hint="eastAsia" w:ascii="仿宋_GB2312" w:eastAsia="仿宋_GB2312"/>
          <w:sz w:val="32"/>
          <w:szCs w:val="32"/>
          <w:highlight w:val="none"/>
          <w:lang w:val="zh-CN"/>
        </w:rPr>
        <w:t>“三公”经费支出</w:t>
      </w:r>
      <w:r>
        <w:rPr>
          <w:rFonts w:hint="eastAsia" w:ascii="仿宋_GB2312" w:hAnsi="仿宋" w:eastAsia="仿宋_GB2312"/>
          <w:sz w:val="32"/>
          <w:szCs w:val="32"/>
          <w:highlight w:val="none"/>
          <w:u w:val="none"/>
          <w:lang w:val="en-US" w:eastAsia="zh-CN"/>
        </w:rPr>
        <w:t>；</w:t>
      </w:r>
      <w:r>
        <w:rPr>
          <w:rFonts w:hint="eastAsia" w:ascii="仿宋_GB2312" w:eastAsia="仿宋_GB2312"/>
          <w:sz w:val="32"/>
          <w:szCs w:val="32"/>
          <w:highlight w:val="none"/>
          <w:lang w:val="zh-CN"/>
        </w:rPr>
        <w:t>其中：因公出国（境）费支出0.00万元，占0.00%，比上年增加0.00万元，</w:t>
      </w:r>
      <w:r>
        <w:rPr>
          <w:rFonts w:hint="eastAsia" w:ascii="仿宋_GB2312" w:eastAsia="仿宋_GB2312"/>
          <w:sz w:val="32"/>
          <w:szCs w:val="32"/>
          <w:highlight w:val="none"/>
        </w:rPr>
        <w:t>增长0.00%,</w:t>
      </w:r>
      <w:r>
        <w:rPr>
          <w:rFonts w:hint="eastAsia" w:ascii="仿宋_GB2312" w:eastAsia="仿宋_GB2312"/>
          <w:sz w:val="32"/>
          <w:szCs w:val="32"/>
          <w:highlight w:val="none"/>
          <w:lang w:val="zh-CN"/>
        </w:rPr>
        <w:t>主要原因是：</w:t>
      </w:r>
      <w:r>
        <w:rPr>
          <w:rFonts w:hint="eastAsia" w:ascii="仿宋_GB2312" w:eastAsia="仿宋_GB2312"/>
          <w:sz w:val="32"/>
          <w:szCs w:val="32"/>
          <w:highlight w:val="none"/>
          <w:lang w:val="en-US" w:eastAsia="zh-CN"/>
        </w:rPr>
        <w:t>我单位无</w:t>
      </w:r>
      <w:r>
        <w:rPr>
          <w:rFonts w:hint="eastAsia" w:ascii="仿宋_GB2312" w:eastAsia="仿宋_GB2312"/>
          <w:sz w:val="32"/>
          <w:szCs w:val="32"/>
          <w:highlight w:val="none"/>
          <w:lang w:val="zh-CN"/>
        </w:rPr>
        <w:t>因公出国（境）费支出；公务用车购置及运行维护费支出0.00万元，占0.00%，比上年增加0.00万元，</w:t>
      </w:r>
      <w:r>
        <w:rPr>
          <w:rFonts w:hint="eastAsia" w:ascii="仿宋_GB2312" w:eastAsia="仿宋_GB2312"/>
          <w:sz w:val="32"/>
          <w:szCs w:val="32"/>
          <w:highlight w:val="none"/>
        </w:rPr>
        <w:t>增长0.00%,</w:t>
      </w:r>
      <w:r>
        <w:rPr>
          <w:rFonts w:hint="eastAsia" w:ascii="仿宋_GB2312" w:eastAsia="仿宋_GB2312"/>
          <w:sz w:val="32"/>
          <w:szCs w:val="32"/>
          <w:highlight w:val="none"/>
          <w:lang w:val="zh-CN"/>
        </w:rPr>
        <w:t>主要原因是：</w:t>
      </w:r>
      <w:r>
        <w:rPr>
          <w:rFonts w:hint="eastAsia" w:ascii="仿宋_GB2312" w:eastAsia="仿宋_GB2312"/>
          <w:sz w:val="32"/>
          <w:szCs w:val="32"/>
          <w:highlight w:val="none"/>
          <w:lang w:val="en-US" w:eastAsia="zh-CN"/>
        </w:rPr>
        <w:t>我单位无</w:t>
      </w:r>
      <w:r>
        <w:rPr>
          <w:rFonts w:hint="eastAsia" w:ascii="仿宋_GB2312" w:eastAsia="仿宋_GB2312"/>
          <w:sz w:val="32"/>
          <w:szCs w:val="32"/>
          <w:highlight w:val="none"/>
          <w:lang w:val="zh-CN"/>
        </w:rPr>
        <w:t>公务用车购置及运行维护费支出；公务接待费支出0.00万元，占0.00%，比上年增加0.00万元，</w:t>
      </w:r>
      <w:r>
        <w:rPr>
          <w:rFonts w:hint="eastAsia" w:ascii="仿宋_GB2312" w:eastAsia="仿宋_GB2312"/>
          <w:sz w:val="32"/>
          <w:szCs w:val="32"/>
          <w:highlight w:val="none"/>
        </w:rPr>
        <w:t>增长0.00%,</w:t>
      </w:r>
      <w:r>
        <w:rPr>
          <w:rFonts w:hint="eastAsia" w:ascii="仿宋_GB2312" w:eastAsia="仿宋_GB2312"/>
          <w:sz w:val="32"/>
          <w:szCs w:val="32"/>
          <w:highlight w:val="none"/>
          <w:lang w:val="zh-CN"/>
        </w:rPr>
        <w:t>主要原因是：</w:t>
      </w:r>
      <w:r>
        <w:rPr>
          <w:rFonts w:hint="eastAsia" w:ascii="仿宋_GB2312" w:eastAsia="仿宋_GB2312"/>
          <w:sz w:val="32"/>
          <w:szCs w:val="32"/>
          <w:highlight w:val="none"/>
          <w:lang w:val="en-US" w:eastAsia="zh-CN"/>
        </w:rPr>
        <w:t>我单位无</w:t>
      </w:r>
      <w:r>
        <w:rPr>
          <w:rFonts w:hint="eastAsia" w:ascii="仿宋_GB2312" w:eastAsia="仿宋_GB2312"/>
          <w:sz w:val="32"/>
          <w:szCs w:val="32"/>
          <w:highlight w:val="none"/>
          <w:lang w:val="zh-CN"/>
        </w:rPr>
        <w:t>公务接待费支出</w:t>
      </w:r>
    </w:p>
    <w:p w14:paraId="40CA9355">
      <w:pPr>
        <w:ind w:firstLine="640" w:firstLineChars="200"/>
        <w:jc w:val="left"/>
        <w:rPr>
          <w:rFonts w:ascii="仿宋_GB2312" w:eastAsia="仿宋_GB2312"/>
          <w:sz w:val="32"/>
          <w:szCs w:val="32"/>
          <w:highlight w:val="none"/>
          <w:lang w:val="zh-CN"/>
        </w:rPr>
      </w:pPr>
      <w:r>
        <w:rPr>
          <w:rFonts w:hint="eastAsia" w:ascii="仿宋_GB2312" w:eastAsia="仿宋_GB2312"/>
          <w:sz w:val="32"/>
          <w:szCs w:val="32"/>
          <w:highlight w:val="none"/>
          <w:lang w:val="zh-CN"/>
        </w:rPr>
        <w:t>具体情况如下：</w:t>
      </w:r>
    </w:p>
    <w:p w14:paraId="703EB232">
      <w:pPr>
        <w:ind w:firstLine="640" w:firstLineChars="200"/>
        <w:jc w:val="left"/>
        <w:rPr>
          <w:rFonts w:ascii="仿宋_GB2312" w:eastAsia="仿宋_GB2312"/>
          <w:sz w:val="32"/>
          <w:szCs w:val="32"/>
          <w:highlight w:val="none"/>
          <w:lang w:val="zh-CN"/>
        </w:rPr>
      </w:pPr>
      <w:r>
        <w:rPr>
          <w:rFonts w:hint="eastAsia" w:ascii="仿宋_GB2312" w:eastAsia="仿宋_GB2312"/>
          <w:sz w:val="32"/>
          <w:szCs w:val="32"/>
          <w:highlight w:val="none"/>
          <w:lang w:val="zh-CN"/>
        </w:rPr>
        <w:t>因公出国（境）费支出0.00万元，开支内容包括</w:t>
      </w:r>
      <w:r>
        <w:rPr>
          <w:rFonts w:hint="eastAsia" w:ascii="仿宋_GB2312" w:eastAsia="仿宋_GB2312"/>
          <w:sz w:val="32"/>
          <w:szCs w:val="32"/>
          <w:highlight w:val="none"/>
          <w:lang w:val="en-US" w:eastAsia="zh-CN"/>
        </w:rPr>
        <w:t>无</w:t>
      </w:r>
      <w:r>
        <w:rPr>
          <w:rFonts w:hint="eastAsia" w:ascii="仿宋_GB2312" w:eastAsia="仿宋_GB2312"/>
          <w:sz w:val="32"/>
          <w:szCs w:val="32"/>
          <w:highlight w:val="none"/>
          <w:lang w:val="zh-CN"/>
        </w:rPr>
        <w:t>因公出国（境）费支出。单位全年安排的因公出国（境）团组0个，因公出国（境）0人次。</w:t>
      </w:r>
    </w:p>
    <w:p w14:paraId="41EEDBD2">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lang w:val="zh-CN"/>
        </w:rPr>
        <w:t>公务用车购置及运行维护费0.00万元，其中：公务用车购置费0.00万元，公务用车运行维护费0.00万元。公务用车运行维护费开支内容包括</w:t>
      </w:r>
      <w:r>
        <w:rPr>
          <w:rFonts w:hint="eastAsia" w:ascii="仿宋_GB2312" w:eastAsia="仿宋_GB2312"/>
          <w:sz w:val="32"/>
          <w:szCs w:val="32"/>
          <w:highlight w:val="none"/>
          <w:lang w:val="en-US" w:eastAsia="zh-CN"/>
        </w:rPr>
        <w:t>无</w:t>
      </w:r>
      <w:r>
        <w:rPr>
          <w:rFonts w:hint="eastAsia" w:ascii="仿宋_GB2312" w:eastAsia="仿宋_GB2312"/>
          <w:sz w:val="32"/>
          <w:szCs w:val="32"/>
          <w:highlight w:val="none"/>
          <w:lang w:val="zh-CN"/>
        </w:rPr>
        <w:t>公务用车购置及运行维护费。公务用车购置数0辆，公务用车保有量0辆。国有资产占用情况</w:t>
      </w:r>
      <w:r>
        <w:rPr>
          <w:rFonts w:hint="eastAsia" w:ascii="仿宋_GB2312" w:eastAsia="仿宋_GB2312"/>
          <w:sz w:val="32"/>
          <w:szCs w:val="32"/>
          <w:highlight w:val="none"/>
        </w:rPr>
        <w:t>中固定资产车辆</w:t>
      </w:r>
      <w:r>
        <w:rPr>
          <w:rFonts w:hint="eastAsia" w:ascii="仿宋_GB2312" w:eastAsia="仿宋_GB2312"/>
          <w:sz w:val="32"/>
          <w:szCs w:val="32"/>
          <w:highlight w:val="none"/>
          <w:lang w:val="zh-CN"/>
        </w:rPr>
        <w:t>0辆，</w:t>
      </w:r>
      <w:r>
        <w:rPr>
          <w:rFonts w:hint="eastAsia" w:ascii="仿宋_GB2312" w:eastAsia="仿宋_GB2312"/>
          <w:sz w:val="32"/>
          <w:szCs w:val="32"/>
          <w:highlight w:val="none"/>
        </w:rPr>
        <w:t>与</w:t>
      </w:r>
      <w:r>
        <w:rPr>
          <w:rFonts w:hint="eastAsia" w:ascii="仿宋_GB2312" w:eastAsia="仿宋_GB2312"/>
          <w:sz w:val="32"/>
          <w:szCs w:val="32"/>
          <w:highlight w:val="none"/>
          <w:lang w:val="zh-CN"/>
        </w:rPr>
        <w:t>公务用车</w:t>
      </w:r>
      <w:r>
        <w:rPr>
          <w:rFonts w:hint="eastAsia" w:ascii="仿宋_GB2312" w:eastAsia="仿宋_GB2312"/>
          <w:sz w:val="32"/>
          <w:szCs w:val="32"/>
          <w:highlight w:val="none"/>
        </w:rPr>
        <w:t>保有量差异</w:t>
      </w:r>
      <w:r>
        <w:rPr>
          <w:rFonts w:hint="eastAsia" w:ascii="仿宋_GB2312" w:eastAsia="仿宋_GB2312"/>
          <w:sz w:val="32"/>
          <w:szCs w:val="32"/>
          <w:highlight w:val="none"/>
          <w:lang w:val="zh-CN"/>
        </w:rPr>
        <w:t>原因是：</w:t>
      </w:r>
      <w:r>
        <w:rPr>
          <w:rFonts w:hint="eastAsia" w:ascii="仿宋_GB2312" w:eastAsia="仿宋_GB2312"/>
          <w:sz w:val="32"/>
          <w:szCs w:val="32"/>
          <w:highlight w:val="none"/>
          <w:lang w:val="en-US" w:eastAsia="zh-CN"/>
        </w:rPr>
        <w:t>无公务用车，故不存在差异</w:t>
      </w:r>
      <w:r>
        <w:rPr>
          <w:rFonts w:hint="eastAsia" w:ascii="仿宋_GB2312" w:eastAsia="仿宋_GB2312"/>
          <w:sz w:val="32"/>
          <w:szCs w:val="32"/>
          <w:highlight w:val="none"/>
          <w:lang w:val="zh-CN"/>
        </w:rPr>
        <w:t>。</w:t>
      </w:r>
      <w:bookmarkStart w:id="48" w:name="_GoBack"/>
      <w:bookmarkEnd w:id="48"/>
    </w:p>
    <w:p w14:paraId="0F96413C">
      <w:pPr>
        <w:ind w:firstLine="640" w:firstLineChars="200"/>
        <w:jc w:val="left"/>
        <w:rPr>
          <w:rFonts w:ascii="仿宋_GB2312" w:eastAsia="仿宋_GB2312"/>
          <w:sz w:val="32"/>
          <w:szCs w:val="32"/>
          <w:highlight w:val="none"/>
          <w:lang w:val="zh-CN"/>
        </w:rPr>
      </w:pPr>
      <w:r>
        <w:rPr>
          <w:rFonts w:hint="eastAsia" w:ascii="仿宋_GB2312" w:eastAsia="仿宋_GB2312"/>
          <w:sz w:val="32"/>
          <w:szCs w:val="32"/>
          <w:highlight w:val="none"/>
          <w:lang w:val="zh-CN"/>
        </w:rPr>
        <w:t>公务接待费0.00万元，开支内容包括</w:t>
      </w:r>
      <w:r>
        <w:rPr>
          <w:rFonts w:hint="eastAsia" w:ascii="仿宋_GB2312" w:eastAsia="仿宋_GB2312"/>
          <w:sz w:val="32"/>
          <w:szCs w:val="32"/>
          <w:highlight w:val="none"/>
          <w:lang w:val="en-US" w:eastAsia="zh-CN"/>
        </w:rPr>
        <w:t>无</w:t>
      </w:r>
      <w:r>
        <w:rPr>
          <w:rFonts w:hint="eastAsia" w:ascii="仿宋_GB2312" w:eastAsia="仿宋_GB2312"/>
          <w:sz w:val="32"/>
          <w:szCs w:val="32"/>
          <w:highlight w:val="none"/>
          <w:lang w:val="zh-CN"/>
        </w:rPr>
        <w:t>公务接待费。单位全年安排的国内公务接待0批次，0人次。</w:t>
      </w:r>
    </w:p>
    <w:p w14:paraId="4B0A4F2A">
      <w:pPr>
        <w:ind w:firstLine="640" w:firstLineChars="200"/>
        <w:jc w:val="left"/>
        <w:rPr>
          <w:rFonts w:ascii="仿宋_GB2312" w:eastAsia="仿宋_GB2312"/>
          <w:sz w:val="32"/>
          <w:szCs w:val="32"/>
          <w:highlight w:val="none"/>
          <w:lang w:val="zh-CN"/>
        </w:rPr>
      </w:pPr>
      <w:r>
        <w:rPr>
          <w:rFonts w:hint="eastAsia" w:ascii="仿宋_GB2312" w:eastAsia="仿宋_GB2312"/>
          <w:sz w:val="32"/>
          <w:szCs w:val="32"/>
          <w:highlight w:val="none"/>
          <w:lang w:val="zh-CN"/>
        </w:rPr>
        <w:t>与</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预算相比</w:t>
      </w:r>
      <w:r>
        <w:rPr>
          <w:rFonts w:hint="eastAsia" w:ascii="仿宋_GB2312" w:eastAsia="仿宋_GB2312"/>
          <w:sz w:val="32"/>
          <w:szCs w:val="32"/>
          <w:highlight w:val="none"/>
        </w:rPr>
        <w:t>,</w:t>
      </w:r>
      <w:r>
        <w:rPr>
          <w:rFonts w:hint="eastAsia" w:ascii="仿宋_GB2312" w:eastAsia="仿宋_GB2312"/>
          <w:sz w:val="32"/>
          <w:szCs w:val="32"/>
          <w:highlight w:val="none"/>
          <w:lang w:val="zh-CN"/>
        </w:rPr>
        <w:t>财政拨款“三公”经费支出</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预算数0.00万元，决算数0.00万元，预决算差异率0.00%，主要原因是：</w:t>
      </w:r>
      <w:r>
        <w:rPr>
          <w:rFonts w:hint="eastAsia" w:ascii="仿宋_GB2312" w:eastAsia="仿宋_GB2312"/>
          <w:sz w:val="32"/>
          <w:szCs w:val="32"/>
          <w:highlight w:val="none"/>
          <w:lang w:val="en-US" w:eastAsia="zh-CN"/>
        </w:rPr>
        <w:t>我单位无</w:t>
      </w:r>
      <w:r>
        <w:rPr>
          <w:rFonts w:hint="eastAsia" w:ascii="仿宋_GB2312" w:eastAsia="仿宋_GB2312"/>
          <w:sz w:val="32"/>
          <w:szCs w:val="32"/>
          <w:highlight w:val="none"/>
          <w:lang w:val="zh-CN"/>
        </w:rPr>
        <w:t>“三公”经费支出。其中：因公出国（境）费</w:t>
      </w:r>
      <w:r>
        <w:rPr>
          <w:rFonts w:hint="eastAsia" w:ascii="仿宋_GB2312" w:eastAsia="仿宋_GB2312"/>
          <w:sz w:val="32"/>
          <w:szCs w:val="32"/>
          <w:highlight w:val="none"/>
        </w:rPr>
        <w:t>全年预算数</w:t>
      </w:r>
      <w:r>
        <w:rPr>
          <w:rFonts w:hint="eastAsia" w:ascii="仿宋_GB2312" w:eastAsia="仿宋_GB2312"/>
          <w:sz w:val="32"/>
          <w:szCs w:val="32"/>
          <w:highlight w:val="none"/>
          <w:lang w:val="zh-CN"/>
        </w:rPr>
        <w:t>0.00万元，决算数0.00万元，预决算差异率0.00%，主要原因是：</w:t>
      </w:r>
      <w:r>
        <w:rPr>
          <w:rFonts w:hint="eastAsia" w:ascii="仿宋_GB2312" w:eastAsia="仿宋_GB2312"/>
          <w:sz w:val="32"/>
          <w:szCs w:val="32"/>
          <w:highlight w:val="none"/>
          <w:lang w:val="en-US" w:eastAsia="zh-CN"/>
        </w:rPr>
        <w:t>我单位无此项支出</w:t>
      </w:r>
      <w:r>
        <w:rPr>
          <w:rFonts w:hint="eastAsia" w:ascii="仿宋_GB2312" w:eastAsia="仿宋_GB2312"/>
          <w:sz w:val="32"/>
          <w:szCs w:val="32"/>
          <w:highlight w:val="none"/>
          <w:lang w:val="zh-CN"/>
        </w:rPr>
        <w:t>；公务用车购置费</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预算数0.00万元，决算数0.00万元，预决算差异率0.00%，主要原因是：</w:t>
      </w:r>
      <w:r>
        <w:rPr>
          <w:rFonts w:hint="eastAsia" w:ascii="仿宋_GB2312" w:eastAsia="仿宋_GB2312"/>
          <w:sz w:val="32"/>
          <w:szCs w:val="32"/>
          <w:highlight w:val="none"/>
          <w:lang w:val="en-US" w:eastAsia="zh-CN"/>
        </w:rPr>
        <w:t>我单位无此项支出</w:t>
      </w:r>
      <w:r>
        <w:rPr>
          <w:rFonts w:hint="eastAsia" w:ascii="仿宋_GB2312" w:eastAsia="仿宋_GB2312"/>
          <w:sz w:val="32"/>
          <w:szCs w:val="32"/>
          <w:highlight w:val="none"/>
          <w:lang w:val="zh-CN"/>
        </w:rPr>
        <w:t>；公务用车运行费</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预算数0.00万元，决算数0.00万元，预决算差异率0.00%，主要原因是：</w:t>
      </w:r>
      <w:r>
        <w:rPr>
          <w:rFonts w:hint="eastAsia" w:ascii="仿宋_GB2312" w:eastAsia="仿宋_GB2312"/>
          <w:sz w:val="32"/>
          <w:szCs w:val="32"/>
          <w:highlight w:val="none"/>
          <w:lang w:val="en-US" w:eastAsia="zh-CN"/>
        </w:rPr>
        <w:t>我单位无此项支出</w:t>
      </w:r>
      <w:r>
        <w:rPr>
          <w:rFonts w:hint="eastAsia" w:ascii="仿宋_GB2312" w:eastAsia="仿宋_GB2312"/>
          <w:sz w:val="32"/>
          <w:szCs w:val="32"/>
          <w:highlight w:val="none"/>
          <w:lang w:val="zh-CN"/>
        </w:rPr>
        <w:t>；公务接待费</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预算数0.00万元，决算数0.00万元，预决算差异率0.00%，主要原因是：</w:t>
      </w:r>
      <w:r>
        <w:rPr>
          <w:rFonts w:hint="eastAsia" w:ascii="仿宋_GB2312" w:eastAsia="仿宋_GB2312"/>
          <w:sz w:val="32"/>
          <w:szCs w:val="32"/>
          <w:highlight w:val="none"/>
          <w:lang w:val="en-US" w:eastAsia="zh-CN"/>
        </w:rPr>
        <w:t>我单位无此项支出</w:t>
      </w:r>
      <w:r>
        <w:rPr>
          <w:rFonts w:hint="eastAsia" w:ascii="仿宋_GB2312" w:eastAsia="仿宋_GB2312"/>
          <w:sz w:val="32"/>
          <w:szCs w:val="32"/>
          <w:highlight w:val="none"/>
          <w:lang w:val="zh-CN"/>
        </w:rPr>
        <w:t>。</w:t>
      </w:r>
    </w:p>
    <w:p w14:paraId="0CC9DA52">
      <w:pPr>
        <w:ind w:firstLine="640" w:firstLineChars="200"/>
        <w:jc w:val="left"/>
        <w:outlineLvl w:val="1"/>
        <w:rPr>
          <w:rFonts w:ascii="黑体" w:hAnsi="黑体" w:eastAsia="黑体" w:cs="宋体"/>
          <w:bCs/>
          <w:kern w:val="0"/>
          <w:sz w:val="32"/>
          <w:szCs w:val="32"/>
          <w:highlight w:val="none"/>
        </w:rPr>
      </w:pPr>
      <w:bookmarkStart w:id="18" w:name="_Toc7927"/>
      <w:bookmarkStart w:id="19" w:name="_Toc5810"/>
      <w:r>
        <w:rPr>
          <w:rFonts w:hint="eastAsia" w:ascii="黑体" w:hAnsi="黑体" w:eastAsia="黑体" w:cs="宋体"/>
          <w:bCs/>
          <w:kern w:val="0"/>
          <w:sz w:val="32"/>
          <w:szCs w:val="32"/>
          <w:highlight w:val="none"/>
        </w:rPr>
        <w:t>八、政府性基金预算财政拨款收入支出决算情况说明</w:t>
      </w:r>
      <w:bookmarkEnd w:id="18"/>
      <w:bookmarkEnd w:id="19"/>
    </w:p>
    <w:p w14:paraId="307D6B04">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我单位本年度无政府性基金预算财政拨款收入、支出及结转和结余，政府性基金预算财政拨款收入支出决算表为空表。</w:t>
      </w:r>
    </w:p>
    <w:p w14:paraId="09FE9962">
      <w:pPr>
        <w:ind w:firstLine="640" w:firstLineChars="200"/>
        <w:jc w:val="left"/>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九、国有资本经营预算财政拨款收入支出决算情况说明</w:t>
      </w:r>
    </w:p>
    <w:p w14:paraId="7FB959E2">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我单位本年度无国有资本经营预算财政拨款收入、支出及结转和结余，国有资本经营预算财政拨款收入支出决算表为空表。</w:t>
      </w:r>
    </w:p>
    <w:p w14:paraId="00589FC2">
      <w:pPr>
        <w:ind w:firstLine="640" w:firstLineChars="200"/>
        <w:jc w:val="left"/>
        <w:outlineLvl w:val="1"/>
        <w:rPr>
          <w:rFonts w:ascii="黑体" w:hAnsi="黑体" w:eastAsia="黑体" w:cs="宋体"/>
          <w:bCs/>
          <w:kern w:val="0"/>
          <w:sz w:val="32"/>
          <w:szCs w:val="32"/>
          <w:highlight w:val="none"/>
        </w:rPr>
      </w:pPr>
      <w:bookmarkStart w:id="20" w:name="_Toc1235"/>
      <w:bookmarkStart w:id="21" w:name="_Toc7314"/>
      <w:r>
        <w:rPr>
          <w:rFonts w:hint="eastAsia" w:ascii="黑体" w:hAnsi="黑体" w:eastAsia="黑体" w:cs="宋体"/>
          <w:bCs/>
          <w:kern w:val="0"/>
          <w:sz w:val="32"/>
          <w:szCs w:val="32"/>
          <w:highlight w:val="none"/>
        </w:rPr>
        <w:t>十、其他重要事项的情况说明</w:t>
      </w:r>
      <w:bookmarkEnd w:id="20"/>
      <w:bookmarkEnd w:id="21"/>
    </w:p>
    <w:p w14:paraId="4C85E4C3">
      <w:pPr>
        <w:ind w:firstLine="640" w:firstLineChars="200"/>
        <w:jc w:val="left"/>
        <w:outlineLvl w:val="2"/>
        <w:rPr>
          <w:rFonts w:ascii="黑体" w:hAnsi="黑体" w:eastAsia="黑体"/>
          <w:sz w:val="32"/>
          <w:szCs w:val="32"/>
          <w:highlight w:val="none"/>
        </w:rPr>
      </w:pPr>
      <w:bookmarkStart w:id="22" w:name="_Toc13105"/>
      <w:bookmarkStart w:id="23" w:name="_Toc14519"/>
      <w:r>
        <w:rPr>
          <w:rFonts w:hint="eastAsia" w:ascii="黑体" w:hAnsi="黑体" w:eastAsia="黑体"/>
          <w:sz w:val="32"/>
          <w:szCs w:val="32"/>
          <w:highlight w:val="none"/>
        </w:rPr>
        <w:t>（一）机关运行经费支出情况</w:t>
      </w:r>
      <w:bookmarkEnd w:id="22"/>
      <w:bookmarkEnd w:id="23"/>
    </w:p>
    <w:p w14:paraId="06501FAA">
      <w:pPr>
        <w:ind w:firstLine="640" w:firstLineChars="200"/>
        <w:rPr>
          <w:rFonts w:eastAsia="仿宋_GB2312"/>
          <w:sz w:val="32"/>
          <w:szCs w:val="32"/>
          <w:highlight w:val="none"/>
          <w:lang w:val="zh-CN"/>
        </w:rPr>
      </w:pPr>
      <w:bookmarkStart w:id="24" w:name="_Toc26704"/>
      <w:bookmarkStart w:id="25" w:name="_Toc227"/>
      <w:r>
        <w:rPr>
          <w:rFonts w:hint="eastAsia" w:eastAsia="仿宋_GB2312"/>
          <w:sz w:val="32"/>
          <w:szCs w:val="32"/>
          <w:highlight w:val="none"/>
          <w:lang w:val="zh-CN"/>
        </w:rPr>
        <w:t>2023年度</w:t>
      </w:r>
      <w:r>
        <w:rPr>
          <w:rFonts w:hint="eastAsia" w:eastAsia="仿宋_GB2312"/>
          <w:sz w:val="32"/>
          <w:szCs w:val="32"/>
          <w:highlight w:val="none"/>
        </w:rPr>
        <w:t>新疆公路建设（集团）有限责任公司</w:t>
      </w:r>
      <w:r>
        <w:rPr>
          <w:rFonts w:hint="eastAsia" w:eastAsia="仿宋_GB2312"/>
          <w:sz w:val="32"/>
          <w:szCs w:val="32"/>
          <w:highlight w:val="none"/>
          <w:lang w:val="zh-CN"/>
        </w:rPr>
        <w:t>（事业单位）公用经费支出0.00万元，比上年增加0.00万元，增长0.00%，主要原因是：</w:t>
      </w:r>
      <w:r>
        <w:rPr>
          <w:rFonts w:hint="eastAsia" w:ascii="仿宋_GB2312" w:eastAsia="仿宋_GB2312"/>
          <w:sz w:val="32"/>
          <w:szCs w:val="32"/>
          <w:highlight w:val="none"/>
          <w:lang w:val="en-US" w:eastAsia="zh-CN"/>
        </w:rPr>
        <w:t>我单位由事业单位改制为国有企业后，只是给事业退休的</w:t>
      </w:r>
      <w:r>
        <w:rPr>
          <w:rFonts w:hint="eastAsia" w:ascii="仿宋_GB2312" w:hAnsi="仿宋" w:eastAsia="仿宋_GB2312"/>
          <w:sz w:val="32"/>
          <w:szCs w:val="32"/>
          <w:highlight w:val="none"/>
          <w:u w:val="none"/>
          <w:lang w:val="en-US" w:eastAsia="zh-CN"/>
        </w:rPr>
        <w:t>人员发放工资和提供必要的保障，</w:t>
      </w:r>
      <w:r>
        <w:rPr>
          <w:rFonts w:hint="eastAsia" w:ascii="仿宋_GB2312" w:eastAsia="仿宋_GB2312"/>
          <w:sz w:val="32"/>
          <w:szCs w:val="32"/>
          <w:highlight w:val="none"/>
          <w:lang w:val="en-US" w:eastAsia="zh-CN"/>
        </w:rPr>
        <w:t>无此项支出</w:t>
      </w:r>
      <w:r>
        <w:rPr>
          <w:rFonts w:hint="eastAsia" w:eastAsia="仿宋_GB2312"/>
          <w:sz w:val="32"/>
          <w:szCs w:val="32"/>
          <w:highlight w:val="none"/>
          <w:lang w:val="zh-CN"/>
        </w:rPr>
        <w:t>。</w:t>
      </w:r>
    </w:p>
    <w:p w14:paraId="3B1BB502">
      <w:pPr>
        <w:ind w:firstLine="640" w:firstLineChars="200"/>
        <w:jc w:val="left"/>
        <w:rPr>
          <w:rFonts w:eastAsia="黑体"/>
          <w:sz w:val="32"/>
          <w:szCs w:val="30"/>
          <w:highlight w:val="none"/>
          <w:lang w:val="zh-CN"/>
        </w:rPr>
      </w:pPr>
      <w:r>
        <w:rPr>
          <w:rFonts w:hint="eastAsia" w:eastAsia="黑体"/>
          <w:sz w:val="32"/>
          <w:szCs w:val="30"/>
          <w:highlight w:val="none"/>
          <w:lang w:val="zh-CN"/>
        </w:rPr>
        <w:t>（二）政府采购情况</w:t>
      </w:r>
      <w:bookmarkEnd w:id="24"/>
      <w:bookmarkEnd w:id="25"/>
    </w:p>
    <w:p w14:paraId="75CA6936">
      <w:pPr>
        <w:ind w:firstLine="640" w:firstLineChars="200"/>
        <w:jc w:val="left"/>
        <w:rPr>
          <w:rFonts w:eastAsia="仿宋_GB2312"/>
          <w:sz w:val="32"/>
          <w:szCs w:val="32"/>
          <w:highlight w:val="none"/>
          <w:lang w:val="zh-CN"/>
        </w:rPr>
      </w:pPr>
      <w:r>
        <w:rPr>
          <w:rFonts w:hint="eastAsia" w:eastAsia="仿宋_GB2312"/>
          <w:sz w:val="32"/>
          <w:szCs w:val="32"/>
          <w:highlight w:val="none"/>
          <w:lang w:val="zh-CN"/>
        </w:rPr>
        <w:t>2023年度政府采购支出总额0.00万元，其中：政府采购货物支出0.00万元、政府采购工程支出0.00万元、政府采购服务支出0.00万元。</w:t>
      </w:r>
    </w:p>
    <w:p w14:paraId="00F288BC">
      <w:pPr>
        <w:ind w:firstLine="640" w:firstLineChars="200"/>
        <w:jc w:val="left"/>
        <w:rPr>
          <w:rFonts w:eastAsia="仿宋_GB2312"/>
          <w:sz w:val="32"/>
          <w:szCs w:val="32"/>
          <w:highlight w:val="none"/>
        </w:rPr>
      </w:pPr>
      <w:r>
        <w:rPr>
          <w:rFonts w:hint="eastAsia" w:eastAsia="仿宋_GB2312"/>
          <w:sz w:val="32"/>
          <w:szCs w:val="32"/>
          <w:highlight w:val="none"/>
          <w:lang w:val="zh-CN"/>
        </w:rPr>
        <w:t>授予中小企业合同金额0.00万元，占政府采购支出总额的0.00</w:t>
      </w:r>
      <w:r>
        <w:rPr>
          <w:rFonts w:eastAsia="仿宋_GB2312"/>
          <w:sz w:val="32"/>
          <w:szCs w:val="32"/>
          <w:highlight w:val="none"/>
          <w:lang w:val="zh-CN"/>
        </w:rPr>
        <w:t>%</w:t>
      </w:r>
      <w:r>
        <w:rPr>
          <w:rFonts w:hint="eastAsia" w:eastAsia="仿宋_GB2312"/>
          <w:sz w:val="32"/>
          <w:szCs w:val="32"/>
          <w:highlight w:val="none"/>
          <w:lang w:val="zh-CN"/>
        </w:rPr>
        <w:t>，其中：授予小微企业合同金额0.00万元，占政府采购支出总额的0.00</w:t>
      </w:r>
      <w:r>
        <w:rPr>
          <w:rFonts w:eastAsia="仿宋_GB2312"/>
          <w:sz w:val="32"/>
          <w:szCs w:val="32"/>
          <w:highlight w:val="none"/>
          <w:lang w:val="zh-CN"/>
        </w:rPr>
        <w:t>%</w:t>
      </w:r>
      <w:r>
        <w:rPr>
          <w:rFonts w:hint="eastAsia" w:eastAsia="仿宋_GB2312"/>
          <w:sz w:val="32"/>
          <w:szCs w:val="32"/>
          <w:highlight w:val="none"/>
        </w:rPr>
        <w:t>。</w:t>
      </w:r>
    </w:p>
    <w:p w14:paraId="3C6AC1AE">
      <w:pPr>
        <w:ind w:firstLine="640" w:firstLineChars="200"/>
        <w:jc w:val="left"/>
        <w:rPr>
          <w:rFonts w:eastAsia="黑体"/>
          <w:sz w:val="32"/>
          <w:szCs w:val="30"/>
          <w:highlight w:val="none"/>
          <w:lang w:val="zh-CN"/>
        </w:rPr>
      </w:pPr>
      <w:bookmarkStart w:id="26" w:name="_Toc4591"/>
      <w:bookmarkStart w:id="27" w:name="_Toc8391"/>
      <w:r>
        <w:rPr>
          <w:rFonts w:hint="eastAsia" w:eastAsia="黑体"/>
          <w:sz w:val="32"/>
          <w:szCs w:val="30"/>
          <w:highlight w:val="none"/>
          <w:lang w:val="zh-CN"/>
        </w:rPr>
        <w:t>（三）国有资产占用情况说明</w:t>
      </w:r>
      <w:bookmarkEnd w:id="26"/>
      <w:bookmarkEnd w:id="27"/>
    </w:p>
    <w:p w14:paraId="44A8B585">
      <w:pPr>
        <w:ind w:firstLine="640" w:firstLineChars="200"/>
        <w:jc w:val="left"/>
        <w:rPr>
          <w:rFonts w:eastAsia="仿宋_GB2312"/>
          <w:sz w:val="32"/>
          <w:szCs w:val="32"/>
          <w:highlight w:val="none"/>
          <w:lang w:val="zh-CN"/>
        </w:rPr>
      </w:pPr>
      <w:r>
        <w:rPr>
          <w:rFonts w:hint="eastAsia" w:eastAsia="仿宋_GB2312"/>
          <w:sz w:val="32"/>
          <w:szCs w:val="32"/>
          <w:highlight w:val="none"/>
        </w:rPr>
        <w:t>截至2023</w:t>
      </w:r>
      <w:r>
        <w:rPr>
          <w:rFonts w:hint="eastAsia" w:eastAsia="仿宋_GB2312"/>
          <w:sz w:val="32"/>
          <w:szCs w:val="32"/>
          <w:highlight w:val="none"/>
          <w:lang w:val="zh-CN"/>
        </w:rPr>
        <w:t>年</w:t>
      </w:r>
      <w:r>
        <w:rPr>
          <w:rFonts w:hint="eastAsia" w:eastAsia="仿宋_GB2312"/>
          <w:sz w:val="32"/>
          <w:szCs w:val="32"/>
          <w:highlight w:val="none"/>
        </w:rPr>
        <w:t>12月31日</w:t>
      </w:r>
      <w:r>
        <w:rPr>
          <w:rFonts w:hint="eastAsia" w:eastAsia="仿宋_GB2312"/>
          <w:sz w:val="32"/>
          <w:szCs w:val="32"/>
          <w:highlight w:val="none"/>
          <w:lang w:val="zh-CN"/>
        </w:rPr>
        <w:t>，</w:t>
      </w:r>
      <w:r>
        <w:rPr>
          <w:rFonts w:hint="eastAsia" w:eastAsia="仿宋_GB2312"/>
          <w:sz w:val="32"/>
          <w:szCs w:val="32"/>
          <w:highlight w:val="none"/>
        </w:rPr>
        <w:t>固定资产原值</w:t>
      </w:r>
      <w:r>
        <w:rPr>
          <w:rFonts w:hint="eastAsia" w:eastAsia="仿宋_GB2312"/>
          <w:sz w:val="32"/>
          <w:szCs w:val="32"/>
          <w:highlight w:val="none"/>
          <w:lang w:val="zh-CN"/>
        </w:rPr>
        <w:t>0.00</w:t>
      </w:r>
      <w:r>
        <w:rPr>
          <w:rFonts w:hint="eastAsia" w:eastAsia="仿宋_GB2312"/>
          <w:sz w:val="32"/>
          <w:szCs w:val="32"/>
          <w:highlight w:val="none"/>
        </w:rPr>
        <w:t>万元，房</w:t>
      </w:r>
      <w:r>
        <w:rPr>
          <w:rFonts w:hint="eastAsia" w:eastAsia="仿宋_GB2312"/>
          <w:sz w:val="32"/>
          <w:szCs w:val="32"/>
          <w:highlight w:val="none"/>
          <w:lang w:val="zh-CN"/>
        </w:rPr>
        <w:t>屋0.0平方米，价值0.00万元。车辆0辆，价值0.00万元，其中：副部（省）级及以上领导用车0辆、主要</w:t>
      </w:r>
      <w:r>
        <w:rPr>
          <w:rFonts w:hint="eastAsia" w:eastAsia="仿宋_GB2312"/>
          <w:sz w:val="32"/>
          <w:szCs w:val="32"/>
          <w:highlight w:val="none"/>
        </w:rPr>
        <w:t>负责人</w:t>
      </w:r>
      <w:r>
        <w:rPr>
          <w:rFonts w:hint="eastAsia" w:eastAsia="仿宋_GB2312"/>
          <w:sz w:val="32"/>
          <w:szCs w:val="32"/>
          <w:highlight w:val="none"/>
          <w:lang w:val="zh-CN"/>
        </w:rPr>
        <w:t>用车0辆、机要通信用车0辆、应急保障用车0辆、执法执勤用车0辆、特种专业技术用车0辆、离退休干部</w:t>
      </w:r>
      <w:r>
        <w:rPr>
          <w:rFonts w:hint="eastAsia" w:eastAsia="仿宋_GB2312"/>
          <w:sz w:val="32"/>
          <w:szCs w:val="32"/>
          <w:highlight w:val="none"/>
        </w:rPr>
        <w:t>服务</w:t>
      </w:r>
      <w:r>
        <w:rPr>
          <w:rFonts w:hint="eastAsia" w:eastAsia="仿宋_GB2312"/>
          <w:sz w:val="32"/>
          <w:szCs w:val="32"/>
          <w:highlight w:val="none"/>
          <w:lang w:val="zh-CN"/>
        </w:rPr>
        <w:t>用车0辆、其他用车0辆，其他用车主要是：</w:t>
      </w:r>
      <w:r>
        <w:rPr>
          <w:rFonts w:hint="eastAsia" w:eastAsia="仿宋_GB2312"/>
          <w:sz w:val="32"/>
          <w:szCs w:val="32"/>
          <w:highlight w:val="none"/>
          <w:lang w:val="en-US" w:eastAsia="zh-CN"/>
        </w:rPr>
        <w:t>无</w:t>
      </w:r>
      <w:r>
        <w:rPr>
          <w:rFonts w:hint="eastAsia" w:eastAsia="仿宋_GB2312"/>
          <w:sz w:val="32"/>
          <w:szCs w:val="32"/>
          <w:highlight w:val="none"/>
          <w:lang w:val="zh-CN"/>
        </w:rPr>
        <w:t>其他用车；单价100万元（含）以上设备（不含车辆）0</w:t>
      </w:r>
      <w:r>
        <w:rPr>
          <w:rFonts w:hint="eastAsia" w:eastAsia="仿宋_GB2312"/>
          <w:sz w:val="32"/>
          <w:szCs w:val="32"/>
          <w:highlight w:val="none"/>
        </w:rPr>
        <w:t>台（</w:t>
      </w:r>
      <w:r>
        <w:rPr>
          <w:rFonts w:hint="eastAsia" w:eastAsia="仿宋_GB2312"/>
          <w:sz w:val="32"/>
          <w:szCs w:val="32"/>
          <w:highlight w:val="none"/>
          <w:lang w:val="zh-CN"/>
        </w:rPr>
        <w:t>套）。</w:t>
      </w:r>
    </w:p>
    <w:p w14:paraId="29D3759C">
      <w:pPr>
        <w:ind w:firstLine="640" w:firstLineChars="200"/>
        <w:jc w:val="left"/>
        <w:outlineLvl w:val="1"/>
        <w:rPr>
          <w:rFonts w:ascii="黑体" w:hAnsi="黑体" w:eastAsia="黑体" w:cs="宋体"/>
          <w:bCs/>
          <w:kern w:val="0"/>
          <w:sz w:val="32"/>
          <w:szCs w:val="32"/>
          <w:highlight w:val="none"/>
        </w:rPr>
      </w:pPr>
      <w:bookmarkStart w:id="28" w:name="_Toc435"/>
      <w:bookmarkStart w:id="29" w:name="_Toc11283"/>
      <w:r>
        <w:rPr>
          <w:rFonts w:hint="eastAsia" w:ascii="黑体" w:hAnsi="黑体" w:eastAsia="黑体" w:cs="宋体"/>
          <w:bCs/>
          <w:kern w:val="0"/>
          <w:sz w:val="32"/>
          <w:szCs w:val="32"/>
          <w:highlight w:val="none"/>
        </w:rPr>
        <w:t>十一、预算绩效的情况说明</w:t>
      </w:r>
      <w:bookmarkEnd w:id="28"/>
      <w:bookmarkEnd w:id="29"/>
    </w:p>
    <w:p w14:paraId="0B093089">
      <w:pPr>
        <w:snapToGrid w:val="0"/>
        <w:spacing w:line="520" w:lineRule="exact"/>
        <w:ind w:firstLine="640" w:firstLineChars="200"/>
        <w:rPr>
          <w:rFonts w:hint="default" w:ascii="仿宋_GB2312" w:hAnsi="仿宋" w:eastAsia="仿宋_GB2312"/>
          <w:sz w:val="32"/>
          <w:szCs w:val="32"/>
          <w:highlight w:val="none"/>
          <w:lang w:val="en-US" w:eastAsia="zh-CN"/>
        </w:rPr>
      </w:pPr>
      <w:r>
        <w:rPr>
          <w:rFonts w:hint="eastAsia" w:ascii="仿宋_GB2312" w:eastAsia="仿宋_GB2312"/>
          <w:sz w:val="32"/>
          <w:szCs w:val="32"/>
          <w:highlight w:val="none"/>
        </w:rPr>
        <w:t>根据预算绩效管理要求，我单位2023年度预算绩效评价项目</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个，全年预算数</w:t>
      </w:r>
      <w:r>
        <w:rPr>
          <w:rFonts w:hint="eastAsia" w:ascii="仿宋_GB2312" w:eastAsia="仿宋_GB2312"/>
          <w:sz w:val="32"/>
          <w:szCs w:val="32"/>
          <w:highlight w:val="none"/>
          <w:lang w:val="zh-CN"/>
        </w:rPr>
        <w:t>116.82</w:t>
      </w:r>
      <w:r>
        <w:rPr>
          <w:rFonts w:hint="eastAsia" w:ascii="仿宋_GB2312" w:eastAsia="仿宋_GB2312"/>
          <w:sz w:val="32"/>
          <w:szCs w:val="32"/>
          <w:highlight w:val="none"/>
        </w:rPr>
        <w:t>万元，全年执行数</w:t>
      </w:r>
      <w:r>
        <w:rPr>
          <w:rFonts w:hint="eastAsia" w:ascii="仿宋_GB2312" w:eastAsia="仿宋_GB2312"/>
          <w:sz w:val="32"/>
          <w:szCs w:val="32"/>
          <w:highlight w:val="none"/>
          <w:lang w:val="zh-CN"/>
        </w:rPr>
        <w:t>116.82</w:t>
      </w:r>
      <w:r>
        <w:rPr>
          <w:rFonts w:hint="eastAsia" w:ascii="仿宋_GB2312" w:eastAsia="仿宋_GB2312"/>
          <w:sz w:val="32"/>
          <w:szCs w:val="32"/>
          <w:highlight w:val="none"/>
        </w:rPr>
        <w:t>万元。预算绩效管理取得的成效：一是</w:t>
      </w:r>
      <w:r>
        <w:rPr>
          <w:rFonts w:hint="eastAsia" w:ascii="仿宋_GB2312" w:hAnsi="仿宋" w:eastAsia="仿宋_GB2312"/>
          <w:sz w:val="32"/>
          <w:szCs w:val="32"/>
          <w:highlight w:val="none"/>
          <w:lang w:val="en-US" w:eastAsia="zh-CN"/>
        </w:rPr>
        <w:t>维护单位公信力，体现政府对干部职工的关心关爱，切实加强离退休人员自身建设和物质条件保障，维护社会、单位和谐稳定，全力打造高质量的离退休娱乐生活，更好服务离退休人员</w:t>
      </w:r>
      <w:r>
        <w:rPr>
          <w:rFonts w:hint="eastAsia" w:ascii="仿宋_GB2312" w:eastAsia="仿宋_GB2312"/>
          <w:sz w:val="32"/>
          <w:szCs w:val="32"/>
          <w:highlight w:val="none"/>
        </w:rPr>
        <w:t>；二是</w:t>
      </w:r>
      <w:r>
        <w:rPr>
          <w:rFonts w:hint="eastAsia" w:ascii="仿宋_GB2312" w:hAnsi="仿宋" w:eastAsia="仿宋_GB2312"/>
          <w:sz w:val="32"/>
          <w:szCs w:val="32"/>
          <w:highlight w:val="none"/>
        </w:rPr>
        <w:t>本单位</w:t>
      </w:r>
      <w:r>
        <w:rPr>
          <w:rFonts w:hint="eastAsia" w:ascii="仿宋_GB2312" w:hAnsi="仿宋" w:eastAsia="仿宋_GB2312"/>
          <w:sz w:val="32"/>
          <w:szCs w:val="32"/>
          <w:highlight w:val="none"/>
          <w:lang w:val="en-US" w:eastAsia="zh-CN"/>
        </w:rPr>
        <w:t>能够按照上级要求做好年度预算管理</w:t>
      </w:r>
      <w:r>
        <w:rPr>
          <w:rFonts w:hint="eastAsia" w:ascii="仿宋_GB2312" w:hAnsi="仿宋" w:eastAsia="仿宋_GB2312"/>
          <w:sz w:val="32"/>
          <w:szCs w:val="32"/>
          <w:highlight w:val="none"/>
        </w:rPr>
        <w:t>、绩效管理</w:t>
      </w:r>
      <w:r>
        <w:rPr>
          <w:rFonts w:hint="eastAsia" w:ascii="仿宋_GB2312" w:hAnsi="仿宋" w:eastAsia="仿宋_GB2312"/>
          <w:sz w:val="32"/>
          <w:szCs w:val="32"/>
          <w:highlight w:val="none"/>
          <w:lang w:val="en-US" w:eastAsia="zh-CN"/>
        </w:rPr>
        <w:t>及决算管理工作，及时进行人员分工</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安排会计人员进行</w:t>
      </w:r>
      <w:r>
        <w:rPr>
          <w:rFonts w:hint="eastAsia" w:ascii="仿宋_GB2312" w:hAnsi="仿宋" w:eastAsia="仿宋_GB2312"/>
          <w:sz w:val="32"/>
          <w:szCs w:val="32"/>
          <w:highlight w:val="none"/>
        </w:rPr>
        <w:t>编报</w:t>
      </w:r>
      <w:r>
        <w:rPr>
          <w:rFonts w:hint="eastAsia" w:ascii="仿宋_GB2312" w:hAnsi="仿宋" w:eastAsia="仿宋_GB2312"/>
          <w:sz w:val="32"/>
          <w:szCs w:val="32"/>
          <w:highlight w:val="none"/>
          <w:lang w:val="en-US" w:eastAsia="zh-CN"/>
        </w:rPr>
        <w:t>并由负责人</w:t>
      </w:r>
      <w:r>
        <w:rPr>
          <w:rFonts w:hint="eastAsia" w:ascii="仿宋_GB2312" w:hAnsi="仿宋" w:eastAsia="仿宋_GB2312"/>
          <w:sz w:val="32"/>
          <w:szCs w:val="32"/>
          <w:highlight w:val="none"/>
        </w:rPr>
        <w:t>审核</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确保</w:t>
      </w:r>
      <w:r>
        <w:rPr>
          <w:rFonts w:hint="eastAsia" w:ascii="仿宋_GB2312" w:hAnsi="仿宋" w:eastAsia="仿宋_GB2312"/>
          <w:sz w:val="32"/>
          <w:szCs w:val="32"/>
          <w:highlight w:val="none"/>
        </w:rPr>
        <w:t>本单位决算及绩效信息公开工作</w:t>
      </w:r>
      <w:r>
        <w:rPr>
          <w:rFonts w:hint="eastAsia" w:ascii="仿宋_GB2312" w:hAnsi="仿宋" w:eastAsia="仿宋_GB2312"/>
          <w:sz w:val="32"/>
          <w:szCs w:val="32"/>
          <w:highlight w:val="none"/>
          <w:lang w:val="en-US" w:eastAsia="zh-CN"/>
        </w:rPr>
        <w:t>及时报送，并及时统计资金执行情况，按时完成上级安排的各项相关工作</w:t>
      </w:r>
      <w:r>
        <w:rPr>
          <w:rFonts w:hint="eastAsia" w:ascii="仿宋_GB2312" w:hAnsi="仿宋" w:eastAsia="仿宋_GB2312"/>
          <w:sz w:val="32"/>
          <w:szCs w:val="32"/>
          <w:highlight w:val="none"/>
        </w:rPr>
        <w:t>。</w:t>
      </w:r>
    </w:p>
    <w:p w14:paraId="7FEFD495">
      <w:pPr>
        <w:snapToGrid w:val="0"/>
        <w:spacing w:line="58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发现的问题及原因：</w:t>
      </w:r>
      <w:r>
        <w:rPr>
          <w:rFonts w:hint="eastAsia" w:ascii="仿宋_GB2312" w:eastAsia="仿宋_GB2312"/>
          <w:sz w:val="32"/>
          <w:szCs w:val="32"/>
          <w:highlight w:val="none"/>
          <w:lang w:val="en-US" w:eastAsia="zh-CN"/>
        </w:rPr>
        <w:t>沟通协作有待加强</w:t>
      </w:r>
      <w:r>
        <w:rPr>
          <w:rFonts w:hint="eastAsia" w:ascii="仿宋_GB2312" w:eastAsia="仿宋_GB2312"/>
          <w:sz w:val="32"/>
          <w:szCs w:val="32"/>
          <w:highlight w:val="none"/>
        </w:rPr>
        <w:t>。下一步改进措施：一是</w:t>
      </w:r>
      <w:r>
        <w:rPr>
          <w:rFonts w:hint="eastAsia" w:ascii="仿宋_GB2312" w:eastAsia="仿宋_GB2312"/>
          <w:sz w:val="32"/>
          <w:szCs w:val="32"/>
          <w:highlight w:val="none"/>
          <w:lang w:val="en-US" w:eastAsia="zh-CN"/>
        </w:rPr>
        <w:t>加强理论学习，适应当前新形势下的发展与变革，积极探索运用创新的工作方式提升工作效率</w:t>
      </w:r>
      <w:r>
        <w:rPr>
          <w:rFonts w:hint="eastAsia" w:ascii="仿宋_GB2312" w:eastAsia="仿宋_GB2312"/>
          <w:sz w:val="32"/>
          <w:szCs w:val="32"/>
          <w:highlight w:val="none"/>
        </w:rPr>
        <w:t>；二是</w:t>
      </w:r>
      <w:r>
        <w:rPr>
          <w:rFonts w:hint="eastAsia" w:ascii="仿宋" w:hAnsi="仿宋" w:eastAsia="仿宋" w:cs="仿宋"/>
          <w:sz w:val="32"/>
          <w:szCs w:val="32"/>
          <w:highlight w:val="none"/>
          <w:lang w:val="en-US" w:eastAsia="zh-CN"/>
        </w:rPr>
        <w:t>提高工作人员的专业素养，加强部门决算数据分析利用工作，组织人员积极学习各项财经法规，确保人员业务素养与工作岗位职责相匹配。</w:t>
      </w:r>
      <w:r>
        <w:rPr>
          <w:rFonts w:hint="eastAsia" w:ascii="仿宋_GB2312" w:eastAsia="仿宋_GB2312"/>
          <w:sz w:val="32"/>
          <w:szCs w:val="32"/>
          <w:highlight w:val="none"/>
        </w:rPr>
        <w:t>具体项目自评情况附绩效自评表及自评报告。</w:t>
      </w:r>
    </w:p>
    <w:p w14:paraId="7EAC4820">
      <w:pPr>
        <w:ind w:firstLine="640" w:firstLineChars="20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十二、其他需说明的事项</w:t>
      </w:r>
    </w:p>
    <w:p w14:paraId="40B16C08">
      <w:pPr>
        <w:ind w:firstLine="640" w:firstLineChars="200"/>
        <w:rPr>
          <w:rFonts w:eastAsia="仿宋_GB2312"/>
          <w:sz w:val="32"/>
          <w:szCs w:val="32"/>
          <w:highlight w:val="none"/>
          <w:lang w:val="zh-CN"/>
        </w:rPr>
      </w:pPr>
      <w:bookmarkStart w:id="30" w:name="_Toc24143"/>
      <w:bookmarkStart w:id="31" w:name="_Toc3250"/>
      <w:r>
        <w:rPr>
          <w:rFonts w:hint="eastAsia" w:ascii="仿宋_GB2312" w:eastAsia="仿宋_GB2312"/>
          <w:sz w:val="32"/>
          <w:szCs w:val="32"/>
          <w:highlight w:val="none"/>
          <w:lang w:val="en-US" w:eastAsia="zh-CN"/>
        </w:rPr>
        <w:t>我单位由事业单位改制为国有企业后，仅为事业退休的</w:t>
      </w:r>
      <w:r>
        <w:rPr>
          <w:rFonts w:hint="eastAsia" w:ascii="仿宋_GB2312" w:hAnsi="仿宋" w:eastAsia="仿宋_GB2312"/>
          <w:sz w:val="32"/>
          <w:szCs w:val="32"/>
          <w:highlight w:val="none"/>
          <w:u w:val="none"/>
          <w:lang w:val="en-US" w:eastAsia="zh-CN"/>
        </w:rPr>
        <w:t>人员发放工资和提供必要的生活保障，</w:t>
      </w:r>
      <w:r>
        <w:rPr>
          <w:rFonts w:hint="eastAsia" w:ascii="仿宋_GB2312" w:eastAsia="仿宋_GB2312"/>
          <w:sz w:val="32"/>
          <w:szCs w:val="32"/>
          <w:highlight w:val="none"/>
          <w:lang w:val="en-US" w:eastAsia="zh-CN"/>
        </w:rPr>
        <w:t>无安排</w:t>
      </w:r>
      <w:r>
        <w:rPr>
          <w:rFonts w:hint="eastAsia" w:eastAsia="仿宋_GB2312"/>
          <w:sz w:val="32"/>
          <w:szCs w:val="32"/>
          <w:highlight w:val="none"/>
          <w:lang w:val="zh-CN"/>
        </w:rPr>
        <w:t>中小企业</w:t>
      </w:r>
      <w:r>
        <w:rPr>
          <w:rFonts w:hint="eastAsia" w:ascii="仿宋_GB2312" w:eastAsia="仿宋_GB2312"/>
          <w:sz w:val="32"/>
          <w:szCs w:val="32"/>
          <w:highlight w:val="none"/>
          <w:lang w:val="en-US" w:eastAsia="zh-CN"/>
        </w:rPr>
        <w:t>政府采购预算</w:t>
      </w:r>
      <w:r>
        <w:rPr>
          <w:rFonts w:hint="eastAsia" w:eastAsia="仿宋_GB2312"/>
          <w:sz w:val="32"/>
          <w:szCs w:val="32"/>
          <w:highlight w:val="none"/>
          <w:lang w:val="zh-CN"/>
        </w:rPr>
        <w:t>。</w:t>
      </w:r>
    </w:p>
    <w:p w14:paraId="079C372A">
      <w:pPr>
        <w:jc w:val="center"/>
        <w:outlineLvl w:val="0"/>
        <w:rPr>
          <w:rFonts w:ascii="黑体" w:hAnsi="黑体" w:eastAsia="黑体"/>
          <w:sz w:val="32"/>
          <w:szCs w:val="32"/>
          <w:highlight w:val="none"/>
        </w:rPr>
      </w:pPr>
      <w:r>
        <w:rPr>
          <w:rFonts w:hint="eastAsia" w:ascii="黑体" w:hAnsi="黑体" w:eastAsia="黑体"/>
          <w:sz w:val="32"/>
          <w:szCs w:val="32"/>
          <w:highlight w:val="none"/>
        </w:rPr>
        <w:br w:type="page"/>
      </w:r>
      <w:r>
        <w:rPr>
          <w:rFonts w:hint="eastAsia" w:ascii="黑体" w:hAnsi="黑体" w:eastAsia="黑体"/>
          <w:sz w:val="32"/>
          <w:szCs w:val="32"/>
          <w:highlight w:val="none"/>
        </w:rPr>
        <w:t>第三部分 专业名词解释</w:t>
      </w:r>
      <w:bookmarkEnd w:id="30"/>
      <w:bookmarkEnd w:id="31"/>
    </w:p>
    <w:p w14:paraId="4E09C339">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一、财政拨款收入：</w:t>
      </w:r>
      <w:r>
        <w:rPr>
          <w:rFonts w:hint="eastAsia" w:ascii="仿宋_GB2312" w:eastAsia="仿宋_GB2312"/>
          <w:sz w:val="32"/>
          <w:szCs w:val="32"/>
          <w:highlight w:val="none"/>
        </w:rPr>
        <w:t>指同级财政当年拨付的资金。</w:t>
      </w:r>
    </w:p>
    <w:p w14:paraId="2EB49BDB">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二、上级补助收入：</w:t>
      </w:r>
      <w:r>
        <w:rPr>
          <w:rFonts w:hint="eastAsia" w:ascii="仿宋_GB2312" w:eastAsia="仿宋_GB2312"/>
          <w:sz w:val="32"/>
          <w:szCs w:val="32"/>
          <w:highlight w:val="none"/>
        </w:rPr>
        <w:t>指事业单位从主管部门和上级单位取得的非财政补助收入。</w:t>
      </w:r>
    </w:p>
    <w:p w14:paraId="20A953C5">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三、事业收入：</w:t>
      </w:r>
      <w:r>
        <w:rPr>
          <w:rFonts w:hint="eastAsia" w:ascii="仿宋_GB2312" w:eastAsia="仿宋_GB2312"/>
          <w:sz w:val="32"/>
          <w:szCs w:val="32"/>
          <w:highlight w:val="none"/>
        </w:rPr>
        <w:t>指事业单位开展专业业务活动及其辅助活动所取得的收入。</w:t>
      </w:r>
    </w:p>
    <w:p w14:paraId="143995A6">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四、经营收入：</w:t>
      </w:r>
      <w:r>
        <w:rPr>
          <w:rFonts w:hint="eastAsia" w:ascii="仿宋_GB2312" w:eastAsia="仿宋_GB2312"/>
          <w:sz w:val="32"/>
          <w:szCs w:val="32"/>
          <w:highlight w:val="none"/>
        </w:rPr>
        <w:t>指事业单位在专业业务活动及其辅助活动之外开展非独立核算经营活动取得的收入。</w:t>
      </w:r>
    </w:p>
    <w:p w14:paraId="2A49FD13">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五、附属单位上缴收入：</w:t>
      </w:r>
      <w:r>
        <w:rPr>
          <w:rFonts w:hint="eastAsia" w:ascii="仿宋_GB2312" w:eastAsia="仿宋_GB2312"/>
          <w:sz w:val="32"/>
          <w:szCs w:val="32"/>
          <w:highlight w:val="none"/>
        </w:rPr>
        <w:t>指事业单位附属的独立核算单位按有关规定上缴的收入。</w:t>
      </w:r>
    </w:p>
    <w:p w14:paraId="56B2A12D">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六、其他收入：</w:t>
      </w:r>
      <w:r>
        <w:rPr>
          <w:rFonts w:hint="eastAsia" w:ascii="仿宋_GB2312" w:eastAsia="仿宋_GB2312"/>
          <w:sz w:val="32"/>
          <w:szCs w:val="32"/>
          <w:highlight w:val="none"/>
        </w:rPr>
        <w:t>指除上述“财政拨款收入”、“事业收入”、“经营收入”、“附属单位上缴收入”等之外取得的收入。</w:t>
      </w:r>
    </w:p>
    <w:p w14:paraId="4FC9DDD8">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七、年初结转和结余：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A781ECA">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八、年末结转和结余：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DA4143">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九、基本支出：</w:t>
      </w:r>
      <w:r>
        <w:rPr>
          <w:rFonts w:hint="eastAsia" w:ascii="仿宋_GB2312" w:eastAsia="仿宋_GB2312"/>
          <w:sz w:val="32"/>
          <w:szCs w:val="32"/>
          <w:highlight w:val="none"/>
        </w:rPr>
        <w:t>指为保障机构正常运转、完成日常工作任务而发生的人员支出和公用支出。</w:t>
      </w:r>
    </w:p>
    <w:p w14:paraId="7F80A7DF">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十、项目支出：</w:t>
      </w:r>
      <w:r>
        <w:rPr>
          <w:rFonts w:hint="eastAsia" w:ascii="仿宋_GB2312" w:eastAsia="仿宋_GB2312"/>
          <w:sz w:val="32"/>
          <w:szCs w:val="32"/>
          <w:highlight w:val="none"/>
        </w:rPr>
        <w:t>指在基本支出之外为完成特定行政任务和事业发展目标所发生的支出。</w:t>
      </w:r>
    </w:p>
    <w:p w14:paraId="2E5EC53B">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十一、经营支出：</w:t>
      </w:r>
      <w:r>
        <w:rPr>
          <w:rFonts w:hint="eastAsia" w:ascii="仿宋_GB2312" w:eastAsia="仿宋_GB2312"/>
          <w:sz w:val="32"/>
          <w:szCs w:val="32"/>
          <w:highlight w:val="none"/>
        </w:rPr>
        <w:t>指事业单位在专业业务活动及其辅助活动之外开展非独立核算经营活动发生的支出。</w:t>
      </w:r>
    </w:p>
    <w:p w14:paraId="5EB9B141">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十二、对附属单位补助支出：</w:t>
      </w:r>
      <w:r>
        <w:rPr>
          <w:rFonts w:hint="eastAsia" w:ascii="仿宋_GB2312" w:eastAsia="仿宋_GB2312"/>
          <w:sz w:val="32"/>
          <w:szCs w:val="32"/>
          <w:highlight w:val="none"/>
        </w:rPr>
        <w:t>指事业单位发生的用非财政预算资金对附属单位的补助支出。</w:t>
      </w:r>
    </w:p>
    <w:p w14:paraId="79C6F3C5">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十三、“三公”经费：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985103">
      <w:pPr>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十四、机关运行经费：</w:t>
      </w:r>
      <w:r>
        <w:rPr>
          <w:rFonts w:hint="eastAsia" w:ascii="仿宋_GB2312" w:eastAsia="仿宋_GB2312"/>
          <w:sz w:val="32"/>
          <w:szCs w:val="32"/>
          <w:highlight w:val="none"/>
        </w:rPr>
        <w:t>行政单位和参照公务员法管理的事业单位财政拨款基本支出中的公用经费支出。</w:t>
      </w:r>
    </w:p>
    <w:p w14:paraId="604FECCA">
      <w:pPr>
        <w:ind w:firstLine="640" w:firstLineChars="200"/>
        <w:jc w:val="center"/>
        <w:outlineLvl w:val="0"/>
        <w:rPr>
          <w:rFonts w:ascii="黑体" w:hAnsi="黑体" w:eastAsia="黑体"/>
          <w:sz w:val="32"/>
          <w:szCs w:val="32"/>
          <w:highlight w:val="none"/>
        </w:rPr>
      </w:pPr>
      <w:r>
        <w:rPr>
          <w:rFonts w:hint="eastAsia" w:ascii="仿宋_GB2312" w:eastAsia="仿宋_GB2312"/>
          <w:sz w:val="32"/>
          <w:szCs w:val="32"/>
          <w:highlight w:val="none"/>
        </w:rPr>
        <w:br w:type="page"/>
      </w:r>
      <w:r>
        <w:rPr>
          <w:rFonts w:hint="eastAsia" w:ascii="黑体" w:hAnsi="黑体" w:eastAsia="黑体"/>
          <w:sz w:val="32"/>
          <w:szCs w:val="32"/>
          <w:highlight w:val="none"/>
        </w:rPr>
        <w:t>第四部分 部门决算报表（见附表）</w:t>
      </w:r>
    </w:p>
    <w:p w14:paraId="365101F7">
      <w:pPr>
        <w:ind w:firstLine="640" w:firstLineChars="200"/>
        <w:outlineLvl w:val="1"/>
        <w:rPr>
          <w:rFonts w:ascii="黑体" w:hAnsi="黑体" w:eastAsia="仿宋_GB2312" w:cs="宋体"/>
          <w:bCs/>
          <w:kern w:val="0"/>
          <w:sz w:val="32"/>
          <w:szCs w:val="32"/>
          <w:highlight w:val="none"/>
        </w:rPr>
      </w:pPr>
      <w:bookmarkStart w:id="32" w:name="_Toc2183"/>
      <w:bookmarkStart w:id="33" w:name="_Toc6062"/>
      <w:r>
        <w:rPr>
          <w:rFonts w:hint="eastAsia" w:ascii="黑体" w:hAnsi="黑体" w:eastAsia="仿宋_GB2312" w:cs="宋体"/>
          <w:bCs/>
          <w:kern w:val="0"/>
          <w:sz w:val="32"/>
          <w:szCs w:val="32"/>
          <w:highlight w:val="none"/>
        </w:rPr>
        <w:t>一、《收入支出决算总表》</w:t>
      </w:r>
      <w:bookmarkEnd w:id="32"/>
      <w:bookmarkEnd w:id="33"/>
    </w:p>
    <w:p w14:paraId="3D5D1F08">
      <w:pPr>
        <w:ind w:firstLine="640" w:firstLineChars="200"/>
        <w:outlineLvl w:val="1"/>
        <w:rPr>
          <w:rFonts w:ascii="黑体" w:hAnsi="黑体" w:eastAsia="仿宋_GB2312" w:cs="宋体"/>
          <w:bCs/>
          <w:kern w:val="0"/>
          <w:sz w:val="32"/>
          <w:szCs w:val="32"/>
          <w:highlight w:val="none"/>
        </w:rPr>
      </w:pPr>
      <w:bookmarkStart w:id="34" w:name="_Toc30364"/>
      <w:bookmarkStart w:id="35" w:name="_Toc24532"/>
      <w:r>
        <w:rPr>
          <w:rFonts w:hint="eastAsia" w:ascii="黑体" w:hAnsi="黑体" w:eastAsia="仿宋_GB2312" w:cs="宋体"/>
          <w:bCs/>
          <w:kern w:val="0"/>
          <w:sz w:val="32"/>
          <w:szCs w:val="32"/>
          <w:highlight w:val="none"/>
        </w:rPr>
        <w:t>二、《收入决算表》</w:t>
      </w:r>
      <w:bookmarkEnd w:id="34"/>
      <w:bookmarkEnd w:id="35"/>
    </w:p>
    <w:p w14:paraId="77B900AF">
      <w:pPr>
        <w:ind w:firstLine="640" w:firstLineChars="200"/>
        <w:outlineLvl w:val="1"/>
        <w:rPr>
          <w:rFonts w:ascii="黑体" w:hAnsi="黑体" w:eastAsia="仿宋_GB2312" w:cs="宋体"/>
          <w:bCs/>
          <w:kern w:val="0"/>
          <w:sz w:val="32"/>
          <w:szCs w:val="32"/>
          <w:highlight w:val="none"/>
        </w:rPr>
      </w:pPr>
      <w:bookmarkStart w:id="36" w:name="_Toc21304"/>
      <w:bookmarkStart w:id="37" w:name="_Toc32434"/>
      <w:r>
        <w:rPr>
          <w:rFonts w:hint="eastAsia" w:ascii="黑体" w:hAnsi="黑体" w:eastAsia="仿宋_GB2312" w:cs="宋体"/>
          <w:bCs/>
          <w:kern w:val="0"/>
          <w:sz w:val="32"/>
          <w:szCs w:val="32"/>
          <w:highlight w:val="none"/>
        </w:rPr>
        <w:t>三、《支出决算表》</w:t>
      </w:r>
      <w:bookmarkEnd w:id="36"/>
      <w:bookmarkEnd w:id="37"/>
    </w:p>
    <w:p w14:paraId="77B07F0A">
      <w:pPr>
        <w:ind w:firstLine="640" w:firstLineChars="200"/>
        <w:outlineLvl w:val="1"/>
        <w:rPr>
          <w:rFonts w:ascii="黑体" w:hAnsi="黑体" w:eastAsia="仿宋_GB2312" w:cs="宋体"/>
          <w:bCs/>
          <w:kern w:val="0"/>
          <w:sz w:val="32"/>
          <w:szCs w:val="32"/>
          <w:highlight w:val="none"/>
        </w:rPr>
      </w:pPr>
      <w:bookmarkStart w:id="38" w:name="_Toc28786"/>
      <w:bookmarkStart w:id="39" w:name="_Toc14238"/>
      <w:r>
        <w:rPr>
          <w:rFonts w:hint="eastAsia" w:ascii="黑体" w:hAnsi="黑体" w:eastAsia="仿宋_GB2312" w:cs="宋体"/>
          <w:bCs/>
          <w:kern w:val="0"/>
          <w:sz w:val="32"/>
          <w:szCs w:val="32"/>
          <w:highlight w:val="none"/>
        </w:rPr>
        <w:t>四、《财政拨款收入支出决算总表》</w:t>
      </w:r>
      <w:bookmarkEnd w:id="38"/>
      <w:bookmarkEnd w:id="39"/>
    </w:p>
    <w:p w14:paraId="142CF79E">
      <w:pPr>
        <w:ind w:firstLine="640" w:firstLineChars="200"/>
        <w:outlineLvl w:val="1"/>
        <w:rPr>
          <w:rFonts w:ascii="黑体" w:hAnsi="黑体" w:eastAsia="仿宋_GB2312" w:cs="宋体"/>
          <w:bCs/>
          <w:kern w:val="0"/>
          <w:sz w:val="32"/>
          <w:szCs w:val="32"/>
          <w:highlight w:val="none"/>
        </w:rPr>
      </w:pPr>
      <w:bookmarkStart w:id="40" w:name="_Toc14869"/>
      <w:bookmarkStart w:id="41" w:name="_Toc10347"/>
      <w:r>
        <w:rPr>
          <w:rFonts w:hint="eastAsia" w:ascii="黑体" w:hAnsi="黑体" w:eastAsia="仿宋_GB2312" w:cs="宋体"/>
          <w:bCs/>
          <w:kern w:val="0"/>
          <w:sz w:val="32"/>
          <w:szCs w:val="32"/>
          <w:highlight w:val="none"/>
        </w:rPr>
        <w:t>五、《一般公共预算财政拨款支出决算表》</w:t>
      </w:r>
      <w:bookmarkEnd w:id="40"/>
      <w:bookmarkEnd w:id="41"/>
    </w:p>
    <w:p w14:paraId="2B8BE935">
      <w:pPr>
        <w:ind w:firstLine="640" w:firstLineChars="200"/>
        <w:outlineLvl w:val="1"/>
        <w:rPr>
          <w:rFonts w:ascii="黑体" w:hAnsi="黑体" w:eastAsia="仿宋_GB2312" w:cs="宋体"/>
          <w:bCs/>
          <w:kern w:val="0"/>
          <w:sz w:val="32"/>
          <w:szCs w:val="32"/>
          <w:highlight w:val="none"/>
        </w:rPr>
      </w:pPr>
      <w:bookmarkStart w:id="42" w:name="_Toc5626"/>
      <w:bookmarkStart w:id="43" w:name="_Toc8884"/>
      <w:r>
        <w:rPr>
          <w:rFonts w:hint="eastAsia" w:ascii="黑体" w:hAnsi="黑体" w:eastAsia="仿宋_GB2312" w:cs="宋体"/>
          <w:bCs/>
          <w:kern w:val="0"/>
          <w:sz w:val="32"/>
          <w:szCs w:val="32"/>
          <w:highlight w:val="none"/>
        </w:rPr>
        <w:t>六、《一般公共预算财政拨款基本支出决算表》</w:t>
      </w:r>
      <w:bookmarkEnd w:id="42"/>
      <w:bookmarkEnd w:id="43"/>
    </w:p>
    <w:p w14:paraId="518DC95E">
      <w:pPr>
        <w:ind w:firstLine="640" w:firstLineChars="200"/>
        <w:outlineLvl w:val="1"/>
        <w:rPr>
          <w:rFonts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rPr>
        <w:t>七、</w:t>
      </w:r>
      <w:bookmarkStart w:id="44" w:name="_Toc32663"/>
      <w:bookmarkStart w:id="45" w:name="_Toc29106"/>
      <w:r>
        <w:rPr>
          <w:rFonts w:hint="eastAsia" w:ascii="黑体" w:hAnsi="黑体" w:eastAsia="仿宋_GB2312" w:cs="宋体"/>
          <w:bCs/>
          <w:kern w:val="0"/>
          <w:sz w:val="32"/>
          <w:szCs w:val="32"/>
          <w:highlight w:val="none"/>
        </w:rPr>
        <w:t>《财政拨款“三公”经费支出决算表》</w:t>
      </w:r>
      <w:bookmarkEnd w:id="44"/>
      <w:bookmarkEnd w:id="45"/>
    </w:p>
    <w:p w14:paraId="492133C2">
      <w:pPr>
        <w:ind w:firstLine="640" w:firstLineChars="200"/>
        <w:outlineLvl w:val="1"/>
        <w:rPr>
          <w:rFonts w:ascii="黑体" w:hAnsi="黑体" w:eastAsia="仿宋_GB2312" w:cs="宋体"/>
          <w:bCs/>
          <w:kern w:val="0"/>
          <w:sz w:val="32"/>
          <w:szCs w:val="32"/>
          <w:highlight w:val="none"/>
        </w:rPr>
      </w:pPr>
      <w:bookmarkStart w:id="46" w:name="_Toc7643"/>
      <w:bookmarkStart w:id="47" w:name="_Toc5453"/>
      <w:r>
        <w:rPr>
          <w:rFonts w:hint="eastAsia" w:ascii="黑体" w:hAnsi="黑体" w:eastAsia="仿宋_GB2312" w:cs="宋体"/>
          <w:bCs/>
          <w:kern w:val="0"/>
          <w:sz w:val="32"/>
          <w:szCs w:val="32"/>
          <w:highlight w:val="none"/>
        </w:rPr>
        <w:t>八、《政府性基金预算财政拨款收入支出决算表》</w:t>
      </w:r>
      <w:bookmarkEnd w:id="46"/>
      <w:bookmarkEnd w:id="47"/>
    </w:p>
    <w:p w14:paraId="7B6327F9">
      <w:pPr>
        <w:ind w:firstLine="640" w:firstLineChars="200"/>
        <w:outlineLvl w:val="1"/>
        <w:rPr>
          <w:rFonts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rPr>
        <w:t>九、《国有资本经营预算财政拨款收入支出决算表》</w:t>
      </w:r>
    </w:p>
    <w:p w14:paraId="4B2D32CC">
      <w:pPr>
        <w:ind w:firstLine="640" w:firstLineChars="200"/>
        <w:rPr>
          <w:rFonts w:ascii="仿宋_GB2312" w:eastAsia="仿宋_GB2312"/>
          <w:sz w:val="32"/>
          <w:szCs w:val="32"/>
          <w:highlight w:val="none"/>
        </w:rPr>
      </w:pPr>
    </w:p>
    <w:p w14:paraId="38AECB6D">
      <w:pPr>
        <w:ind w:firstLine="640" w:firstLineChars="200"/>
        <w:outlineLvl w:val="1"/>
        <w:rPr>
          <w:rFonts w:ascii="黑体" w:hAnsi="黑体" w:eastAsia="黑体" w:cs="宋体"/>
          <w:bCs/>
          <w:kern w:val="0"/>
          <w:sz w:val="32"/>
          <w:szCs w:val="32"/>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E107E04-4CC6-45BC-835A-5603D116C6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embedRegular r:id="rId2" w:fontKey="{B2EF1718-5F81-4702-87D1-E47FB1D532B7}"/>
  </w:font>
  <w:font w:name="仿宋_GB2312">
    <w:panose1 w:val="02010609030101010101"/>
    <w:charset w:val="86"/>
    <w:family w:val="modern"/>
    <w:pitch w:val="default"/>
    <w:sig w:usb0="00000001" w:usb1="080E0000" w:usb2="00000000" w:usb3="00000000" w:csb0="00040000" w:csb1="00000000"/>
    <w:embedRegular r:id="rId3" w:fontKey="{92956E05-1540-4103-B19C-797AFF2C40A1}"/>
  </w:font>
  <w:font w:name="仿宋">
    <w:panose1 w:val="02010609060101010101"/>
    <w:charset w:val="86"/>
    <w:family w:val="auto"/>
    <w:pitch w:val="default"/>
    <w:sig w:usb0="800002BF" w:usb1="38CF7CFA" w:usb2="00000016" w:usb3="00000000" w:csb0="00040001" w:csb1="00000000"/>
    <w:embedRegular r:id="rId4" w:fontKey="{34E38C1D-EC90-4656-8211-176ECEB3EFA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F83E7">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3AFB43C8">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mExM2VlZGQ2YTBiN2U3MGFlNmVmMzQ0NTc5YzYzOGYifQ=="/>
    <w:docVar w:name="KSO_WPS_MARK_KEY" w:val="41ee2a61-2d54-4f93-83be-afdb9a40d732"/>
  </w:docVars>
  <w:rsids>
    <w:rsidRoot w:val="00F47A31"/>
    <w:rsid w:val="00213C59"/>
    <w:rsid w:val="00253070"/>
    <w:rsid w:val="003210CE"/>
    <w:rsid w:val="006F0FFD"/>
    <w:rsid w:val="00B70D59"/>
    <w:rsid w:val="00F47A31"/>
    <w:rsid w:val="00F52A8D"/>
    <w:rsid w:val="019404F8"/>
    <w:rsid w:val="02BD3108"/>
    <w:rsid w:val="02F73D26"/>
    <w:rsid w:val="034D4FEF"/>
    <w:rsid w:val="035D1785"/>
    <w:rsid w:val="039F47CE"/>
    <w:rsid w:val="03AB3D2A"/>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466DBD"/>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43419"/>
    <w:rsid w:val="1DAF458D"/>
    <w:rsid w:val="1E086ACE"/>
    <w:rsid w:val="1E62130A"/>
    <w:rsid w:val="1E856C23"/>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9229A8"/>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507D30"/>
    <w:rsid w:val="2BB94DBF"/>
    <w:rsid w:val="2C6F314E"/>
    <w:rsid w:val="2CC206BE"/>
    <w:rsid w:val="2D1136DF"/>
    <w:rsid w:val="2D20606D"/>
    <w:rsid w:val="2D4F33A1"/>
    <w:rsid w:val="2DB87198"/>
    <w:rsid w:val="2DB93C54"/>
    <w:rsid w:val="2E3D144C"/>
    <w:rsid w:val="2E891204"/>
    <w:rsid w:val="2F0F6FF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AD15AA"/>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24671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BE5517"/>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4CA70A7"/>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87BCA"/>
    <w:rsid w:val="595C505B"/>
    <w:rsid w:val="595E55C3"/>
    <w:rsid w:val="596E7E20"/>
    <w:rsid w:val="5A60780B"/>
    <w:rsid w:val="5A701363"/>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9B5708"/>
    <w:rsid w:val="60D0261B"/>
    <w:rsid w:val="618E3791"/>
    <w:rsid w:val="61947DCA"/>
    <w:rsid w:val="61A46A97"/>
    <w:rsid w:val="61D1382F"/>
    <w:rsid w:val="61F114A2"/>
    <w:rsid w:val="62512BB4"/>
    <w:rsid w:val="625D7D1A"/>
    <w:rsid w:val="62DD7D21"/>
    <w:rsid w:val="632F6580"/>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073DC9"/>
    <w:rsid w:val="67134CEF"/>
    <w:rsid w:val="671F1ABD"/>
    <w:rsid w:val="67521A59"/>
    <w:rsid w:val="67C304AB"/>
    <w:rsid w:val="683F0658"/>
    <w:rsid w:val="689C6793"/>
    <w:rsid w:val="68DB0208"/>
    <w:rsid w:val="68FB170C"/>
    <w:rsid w:val="691B3D98"/>
    <w:rsid w:val="693748F0"/>
    <w:rsid w:val="69846A0E"/>
    <w:rsid w:val="698A2B24"/>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4495</Words>
  <Characters>5019</Characters>
  <Lines>51</Lines>
  <Paragraphs>14</Paragraphs>
  <TotalTime>1</TotalTime>
  <ScaleCrop>false</ScaleCrop>
  <LinksUpToDate>false</LinksUpToDate>
  <CharactersWithSpaces>5150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肤浅</cp:lastModifiedBy>
  <dcterms:modified xsi:type="dcterms:W3CDTF">2024-10-14T04:42:24Z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